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3BD81">
      <w:pPr>
        <w:spacing w:after="160"/>
        <w:rPr>
          <w:rFonts w:ascii="Times New Roman Bold" w:hAnsi="Times New Roman Bold" w:cs="Times New Roman Bold"/>
          <w:b/>
          <w:sz w:val="24"/>
          <w:szCs w:val="24"/>
        </w:rPr>
      </w:pPr>
      <w:r>
        <w:rPr>
          <w:rFonts w:ascii="Times New Roman Bold" w:hAnsi="Times New Roman Bold" w:eastAsia="Arial" w:cs="Times New Roman Bold"/>
          <w:b/>
          <w:sz w:val="24"/>
          <w:szCs w:val="24"/>
        </w:rPr>
        <w:t xml:space="preserve">Table </w:t>
      </w:r>
      <w:r>
        <w:rPr>
          <w:rFonts w:hint="eastAsia" w:ascii="Times New Roman Bold" w:hAnsi="Times New Roman Bold" w:eastAsia="SimSun" w:cs="Times New Roman Bold"/>
          <w:b/>
          <w:sz w:val="24"/>
          <w:szCs w:val="24"/>
        </w:rPr>
        <w:t>S</w:t>
      </w:r>
      <w:r>
        <w:rPr>
          <w:rFonts w:ascii="Times New Roman Bold" w:hAnsi="Times New Roman Bold" w:eastAsia="Arial" w:cs="Times New Roman Bold"/>
          <w:b/>
          <w:sz w:val="24"/>
          <w:szCs w:val="24"/>
        </w:rPr>
        <w:t>1. Characteristics of the External Validation Cohorts by PET Acquisition Modality</w:t>
      </w:r>
    </w:p>
    <w:tbl>
      <w:tblPr>
        <w:tblStyle w:val="3"/>
        <w:tblW w:w="0" w:type="auto"/>
        <w:tblInd w:w="0" w:type="dxa"/>
        <w:tblBorders>
          <w:top w:val="single" w:color="000000" w:sz="8" w:space="0"/>
          <w:left w:val="none" w:color="FFFFFF" w:sz="0" w:space="0"/>
          <w:bottom w:val="single" w:color="000000" w:sz="8" w:space="0"/>
          <w:right w:val="none" w:color="FFFFFF" w:sz="0" w:space="0"/>
          <w:insideH w:val="none" w:color="D9D9D9" w:sz="4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3137"/>
        <w:gridCol w:w="3151"/>
      </w:tblGrid>
      <w:tr w14:paraId="5149D387">
        <w:tc>
          <w:tcPr>
            <w:tcW w:w="3040" w:type="dxa"/>
            <w:tcBorders>
              <w:bottom w:val="single" w:color="666666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9E065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b/>
                <w:color w:val="000000"/>
                <w:sz w:val="24"/>
                <w:szCs w:val="24"/>
              </w:rPr>
              <w:t>Characteristic</w:t>
            </w:r>
          </w:p>
        </w:tc>
        <w:tc>
          <w:tcPr>
            <w:tcW w:w="3137" w:type="dxa"/>
            <w:tcBorders>
              <w:bottom w:val="single" w:color="666666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A25722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b/>
                <w:color w:val="000000"/>
                <w:sz w:val="24"/>
                <w:szCs w:val="24"/>
              </w:rPr>
              <w:t>External PET/MR</w:t>
            </w:r>
          </w:p>
        </w:tc>
        <w:tc>
          <w:tcPr>
            <w:tcW w:w="3151" w:type="dxa"/>
            <w:tcBorders>
              <w:bottom w:val="single" w:color="666666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5A864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b/>
                <w:color w:val="000000"/>
                <w:sz w:val="24"/>
                <w:szCs w:val="24"/>
              </w:rPr>
              <w:t>External PET/CT</w:t>
            </w:r>
          </w:p>
        </w:tc>
      </w:tr>
      <w:tr w14:paraId="6BAE8667">
        <w:tc>
          <w:tcPr>
            <w:tcW w:w="3040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1844BBA9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Participants, n</w:t>
            </w:r>
          </w:p>
        </w:tc>
        <w:tc>
          <w:tcPr>
            <w:tcW w:w="3137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1FDFFF2A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51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6F4CADA5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38</w:t>
            </w:r>
          </w:p>
        </w:tc>
      </w:tr>
      <w:tr w14:paraId="40F20845">
        <w:tc>
          <w:tcPr>
            <w:tcW w:w="3040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21671A2D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Age, years, mean ± SD</w:t>
            </w:r>
          </w:p>
        </w:tc>
        <w:tc>
          <w:tcPr>
            <w:tcW w:w="3137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0B63F476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68.7 ± 9.8</w:t>
            </w:r>
          </w:p>
        </w:tc>
        <w:tc>
          <w:tcPr>
            <w:tcW w:w="3151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14A60A9E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68</w:t>
            </w:r>
            <w:bookmarkStart w:id="0" w:name="_GoBack"/>
            <w:bookmarkEnd w:id="0"/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.1 ± 7.9</w:t>
            </w:r>
          </w:p>
        </w:tc>
      </w:tr>
      <w:tr w14:paraId="2E4D5A24">
        <w:tc>
          <w:tcPr>
            <w:tcW w:w="3040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203413BD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Female, n (%)</w:t>
            </w:r>
          </w:p>
        </w:tc>
        <w:tc>
          <w:tcPr>
            <w:tcW w:w="3137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08E5F6E1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25 (50.0)</w:t>
            </w:r>
          </w:p>
        </w:tc>
        <w:tc>
          <w:tcPr>
            <w:tcW w:w="3151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793CD892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17 (44.7)</w:t>
            </w:r>
          </w:p>
        </w:tc>
      </w:tr>
      <w:tr w14:paraId="75F884F1">
        <w:tc>
          <w:tcPr>
            <w:tcW w:w="3040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6887EFB7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PET scanner</w:t>
            </w:r>
          </w:p>
        </w:tc>
        <w:tc>
          <w:tcPr>
            <w:tcW w:w="3137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42043B1D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UIH uPMR 790</w:t>
            </w:r>
          </w:p>
        </w:tc>
        <w:tc>
          <w:tcPr>
            <w:tcW w:w="3151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375C9623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UIH uMI 510</w:t>
            </w:r>
          </w:p>
        </w:tc>
      </w:tr>
      <w:tr w14:paraId="363B10CE">
        <w:tc>
          <w:tcPr>
            <w:tcW w:w="3040" w:type="dxa"/>
            <w:tcBorders>
              <w:top w:val="single" w:color="666666" w:sz="6" w:space="0"/>
            </w:tcBorders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5A1115A6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b/>
                <w:color w:val="000000"/>
                <w:sz w:val="24"/>
                <w:szCs w:val="24"/>
              </w:rPr>
              <w:t>Visual read</w:t>
            </w:r>
          </w:p>
        </w:tc>
        <w:tc>
          <w:tcPr>
            <w:tcW w:w="3137" w:type="dxa"/>
            <w:tcBorders>
              <w:top w:val="single" w:color="666666" w:sz="6" w:space="0"/>
            </w:tcBorders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5C786422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color="666666" w:sz="6" w:space="0"/>
            </w:tcBorders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11A65C99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</w:p>
        </w:tc>
      </w:tr>
      <w:tr w14:paraId="05951166">
        <w:tc>
          <w:tcPr>
            <w:tcW w:w="3040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130083A8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 xml:space="preserve">  Negative, n (%)</w:t>
            </w:r>
          </w:p>
        </w:tc>
        <w:tc>
          <w:tcPr>
            <w:tcW w:w="3137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15C78F30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22 (44.0)</w:t>
            </w:r>
          </w:p>
        </w:tc>
        <w:tc>
          <w:tcPr>
            <w:tcW w:w="3151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23CCDF09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13 (34.2)</w:t>
            </w:r>
          </w:p>
        </w:tc>
      </w:tr>
      <w:tr w14:paraId="798E84BF">
        <w:tc>
          <w:tcPr>
            <w:tcW w:w="3040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42C92137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 xml:space="preserve">  Intermediate, n (%)</w:t>
            </w:r>
          </w:p>
        </w:tc>
        <w:tc>
          <w:tcPr>
            <w:tcW w:w="3137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390C066F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4 (8.0)</w:t>
            </w:r>
          </w:p>
        </w:tc>
        <w:tc>
          <w:tcPr>
            <w:tcW w:w="3151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1D5FA6CB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4 (10.5)</w:t>
            </w:r>
          </w:p>
        </w:tc>
      </w:tr>
      <w:tr w14:paraId="687872F7">
        <w:tc>
          <w:tcPr>
            <w:tcW w:w="3040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6B878CC5">
            <w:pPr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 xml:space="preserve">  Positive, n (%)</w:t>
            </w:r>
          </w:p>
        </w:tc>
        <w:tc>
          <w:tcPr>
            <w:tcW w:w="3137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4A30454C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24 (48.0)</w:t>
            </w:r>
          </w:p>
        </w:tc>
        <w:tc>
          <w:tcPr>
            <w:tcW w:w="3151" w:type="dxa"/>
            <w:tcMar>
              <w:top w:w="54" w:type="dxa"/>
              <w:left w:w="80" w:type="dxa"/>
              <w:bottom w:w="54" w:type="dxa"/>
              <w:right w:w="80" w:type="dxa"/>
            </w:tcMar>
            <w:vAlign w:val="center"/>
          </w:tcPr>
          <w:p w14:paraId="38DF4575">
            <w:pPr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Arial" w:cs="Times New Roman Regular"/>
                <w:color w:val="000000"/>
                <w:sz w:val="24"/>
                <w:szCs w:val="24"/>
              </w:rPr>
              <w:t>21 (55.3)</w:t>
            </w:r>
          </w:p>
        </w:tc>
      </w:tr>
    </w:tbl>
    <w:p w14:paraId="6FDF6949">
      <w:pPr>
        <w:spacing w:before="160" w:line="480" w:lineRule="auto"/>
        <w:jc w:val="both"/>
        <w:rPr>
          <w:rFonts w:ascii="Times New Roman Regular" w:hAnsi="Times New Roman Regular" w:eastAsia="Arial" w:cs="Times New Roman Regular"/>
          <w:color w:val="282828"/>
          <w:sz w:val="24"/>
          <w:szCs w:val="24"/>
        </w:rPr>
      </w:pPr>
      <w:r>
        <w:rPr>
          <w:rFonts w:ascii="Times New Roman Regular" w:hAnsi="Times New Roman Regular" w:eastAsia="Arial" w:cs="Times New Roman Regular"/>
          <w:color w:val="282828"/>
          <w:sz w:val="24"/>
          <w:szCs w:val="24"/>
        </w:rPr>
        <w:t>Data are presented as mean ± SD or n (%).  Scanner models are reported separately for each modality-specific dataset. Abbreviations: PET/CT, positron emission tomography/computed tomography; PET/MR, positron emission tomography/magnetic resonance; SD, standard deviation; UIH, United Imaging Healthcare.</w:t>
      </w:r>
    </w:p>
    <w:p w14:paraId="68D70383">
      <w:pPr>
        <w:spacing w:before="160" w:line="360" w:lineRule="auto"/>
        <w:jc w:val="both"/>
        <w:rPr>
          <w:rFonts w:ascii="Times New Roman" w:hAnsi="Times New Roman" w:eastAsia="Arial" w:cs="Times New Roman"/>
          <w:bCs/>
          <w:color w:val="282828"/>
          <w:sz w:val="24"/>
          <w:szCs w:val="24"/>
        </w:rPr>
      </w:pPr>
    </w:p>
    <w:p w14:paraId="6AF78EB4">
      <w:pPr>
        <w:spacing w:before="160" w:line="360" w:lineRule="auto"/>
        <w:jc w:val="both"/>
        <w:rPr>
          <w:rFonts w:hint="eastAsia" w:ascii="Times New Roman" w:hAnsi="Times New Roman" w:eastAsia="Arial" w:cs="Times New Roman"/>
          <w:bCs/>
          <w:color w:val="282828"/>
          <w:sz w:val="24"/>
          <w:szCs w:val="24"/>
        </w:rPr>
      </w:pPr>
    </w:p>
    <w:p w14:paraId="1BAEAB4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60" w:line="360" w:lineRule="auto"/>
        <w:rPr>
          <w:rFonts w:ascii="Times New Roman Bold" w:hAnsi="Times New Roman Bold" w:cs="Times New Roman Bold"/>
          <w:b/>
          <w:sz w:val="24"/>
          <w:szCs w:val="24"/>
        </w:rPr>
      </w:pPr>
      <w:r>
        <w:rPr>
          <w:rFonts w:ascii="Times New Roman Bold" w:hAnsi="Times New Roman Bold" w:eastAsia="Arial" w:cs="Times New Roman Bold"/>
          <w:b/>
          <w:color w:val="000000"/>
          <w:sz w:val="24"/>
          <w:szCs w:val="24"/>
        </w:rPr>
        <w:t>Table S</w:t>
      </w:r>
      <w:r>
        <w:rPr>
          <w:rFonts w:ascii="Times New Roman Bold" w:hAnsi="Times New Roman Bold" w:eastAsia="SimSun" w:cs="Times New Roman Bold"/>
          <w:b/>
          <w:color w:val="000000"/>
          <w:sz w:val="24"/>
          <w:szCs w:val="24"/>
        </w:rPr>
        <w:t>2</w:t>
      </w:r>
      <w:r>
        <w:rPr>
          <w:rFonts w:ascii="Times New Roman Bold" w:hAnsi="Times New Roman Bold" w:eastAsia="Arial" w:cs="Times New Roman Bold"/>
          <w:b/>
          <w:color w:val="000000"/>
          <w:sz w:val="24"/>
          <w:szCs w:val="24"/>
        </w:rPr>
        <w:t>. Centiloid Values by PET/MR Scanner and Visual-Read Category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792"/>
        <w:gridCol w:w="1728"/>
        <w:gridCol w:w="792"/>
        <w:gridCol w:w="1728"/>
        <w:gridCol w:w="3240"/>
        <w:gridCol w:w="1008"/>
      </w:tblGrid>
      <w:tr w14:paraId="10E7E845">
        <w:trPr>
          <w:tblHeader/>
          <w:jc w:val="center"/>
        </w:trPr>
        <w:tc>
          <w:tcPr>
            <w:tcW w:w="2232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EAC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Visual-read category</w:t>
            </w:r>
          </w:p>
        </w:tc>
        <w:tc>
          <w:tcPr>
            <w:tcW w:w="2520" w:type="dxa"/>
            <w:gridSpan w:val="2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40E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Scanner 1</w:t>
            </w:r>
          </w:p>
        </w:tc>
        <w:tc>
          <w:tcPr>
            <w:tcW w:w="2520" w:type="dxa"/>
            <w:gridSpan w:val="2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E0B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Scanner 2</w:t>
            </w:r>
          </w:p>
        </w:tc>
        <w:tc>
          <w:tcPr>
            <w:tcW w:w="324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B6B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(Scanner 2 – Scanner 1) mean difference (95% CI)</w:t>
            </w:r>
          </w:p>
        </w:tc>
        <w:tc>
          <w:tcPr>
            <w:tcW w:w="1008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511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P value</w:t>
            </w:r>
          </w:p>
        </w:tc>
      </w:tr>
      <w:tr w14:paraId="749B578D">
        <w:trPr>
          <w:tblHeader/>
          <w:jc w:val="center"/>
        </w:trPr>
        <w:tc>
          <w:tcPr>
            <w:tcW w:w="223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66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9B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5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Mean (SD)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331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1BC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  <w:t>Mean (SD)</w:t>
            </w:r>
          </w:p>
        </w:tc>
        <w:tc>
          <w:tcPr>
            <w:tcW w:w="4248" w:type="dxa"/>
            <w:gridSpan w:val="2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F5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1" w:right="101"/>
              <w:jc w:val="center"/>
              <w:rPr>
                <w:rFonts w:ascii="Times New Roman Bold" w:hAnsi="Times New Roman Bold" w:eastAsia="Arial" w:cs="Times New Roman Bold"/>
                <w:b/>
                <w:color w:val="000000"/>
                <w:sz w:val="24"/>
                <w:szCs w:val="24"/>
              </w:rPr>
            </w:pPr>
          </w:p>
        </w:tc>
      </w:tr>
      <w:tr w14:paraId="5877A72F">
        <w:trPr>
          <w:jc w:val="center"/>
        </w:trPr>
        <w:tc>
          <w:tcPr>
            <w:tcW w:w="2232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AA6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Visually negative</w:t>
            </w:r>
          </w:p>
        </w:tc>
        <w:tc>
          <w:tcPr>
            <w:tcW w:w="792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5B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28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11D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13.8 (11.9)</w:t>
            </w:r>
          </w:p>
        </w:tc>
        <w:tc>
          <w:tcPr>
            <w:tcW w:w="792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605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728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E22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4.2 (16.1)</w:t>
            </w:r>
          </w:p>
        </w:tc>
        <w:tc>
          <w:tcPr>
            <w:tcW w:w="324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ED2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−9.6 (−17.6 to −1.5)</w:t>
            </w:r>
          </w:p>
        </w:tc>
        <w:tc>
          <w:tcPr>
            <w:tcW w:w="1008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1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.024</w:t>
            </w:r>
          </w:p>
        </w:tc>
      </w:tr>
      <w:tr w14:paraId="522BD55F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5A3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Visually intermediate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B4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23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45.4 (20.6)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61A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1D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24.0 (34.5)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63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−21.4 (−64.4 to 12.6)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4C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.337</w:t>
            </w:r>
          </w:p>
        </w:tc>
      </w:tr>
      <w:tr w14:paraId="68B10B34">
        <w:trPr>
          <w:jc w:val="center"/>
        </w:trPr>
        <w:tc>
          <w:tcPr>
            <w:tcW w:w="223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7F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Visually positive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D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C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83.6 (23.4)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E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12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61.4 (35.9)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458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−22.2 (−42.6 to −3.1)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058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80" w:after="80"/>
              <w:ind w:left="100" w:right="100"/>
              <w:jc w:val="center"/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bCs/>
                <w:color w:val="000000"/>
                <w:sz w:val="24"/>
                <w:szCs w:val="24"/>
              </w:rPr>
              <w:t>.017</w:t>
            </w:r>
          </w:p>
        </w:tc>
      </w:tr>
    </w:tbl>
    <w:p w14:paraId="6B07AC5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4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Arial" w:cs="Times New Roman"/>
          <w:bCs/>
          <w:color w:val="000000"/>
          <w:sz w:val="24"/>
          <w:szCs w:val="24"/>
        </w:rPr>
        <w:t>Values are expressed in Centiloid units unless otherwise indicated. Mean differences were calculated as Scanner 2 (GE</w:t>
      </w:r>
      <w:r>
        <w:rPr>
          <w:rFonts w:hint="eastAsia" w:ascii="Times New Roman" w:hAnsi="Times New Roman" w:eastAsia="Arial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bCs/>
          <w:color w:val="000000"/>
          <w:sz w:val="24"/>
          <w:szCs w:val="24"/>
        </w:rPr>
        <w:t>Healthcare) minus Scanner 1 (UIH uPMR 790). Confidence intervals were estimated using participant-cluster bootstrap. P values were calculated using Welch tests. The comparison for visually intermediate scans was descriptive because of the small subgroup size, and these scans were not included in cutoff derivation. Abbreviations: CI, confidence interval; SD, standard deviation.</w:t>
      </w:r>
    </w:p>
    <w:p w14:paraId="206B9FBC">
      <w:pPr>
        <w:spacing w:line="360" w:lineRule="auto"/>
        <w:rPr>
          <w:sz w:val="24"/>
          <w:szCs w:val="24"/>
        </w:rPr>
      </w:pPr>
    </w:p>
    <w:p w14:paraId="5BDBBB33">
      <w:pPr>
        <w:spacing w:line="360" w:lineRule="auto"/>
        <w:rPr>
          <w:rFonts w:hint="eastAsia" w:ascii="Times New Roman Regular" w:hAnsi="Times New Roman Regular" w:cs="Times New Roman Regular" w:eastAsiaTheme="minorEastAsia"/>
          <w:bCs/>
          <w:sz w:val="24"/>
          <w:szCs w:val="24"/>
          <w:lang w:eastAsia="zh-CN"/>
        </w:rPr>
      </w:pPr>
      <w:r>
        <w:rPr>
          <w:rFonts w:hint="eastAsia" w:ascii="Times New Roman Regular" w:hAnsi="Times New Roman Regular" w:cs="Times New Roman Regular" w:eastAsiaTheme="minorEastAsia"/>
          <w:bCs/>
          <w:sz w:val="24"/>
          <w:szCs w:val="24"/>
          <w:lang w:eastAsia="zh-CN"/>
        </w:rPr>
        <w:drawing>
          <wp:inline distT="0" distB="0" distL="114300" distR="114300">
            <wp:extent cx="6224270" cy="2797810"/>
            <wp:effectExtent l="0" t="0" r="24130" b="21590"/>
            <wp:docPr id="14" name="Picture 14" descr="/Users/shumengyan/Library/Containers/com.kingsoft.wpsoffice.mac/Data/tmp/picturecompress_20260906213218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/Users/shumengyan/Library/Containers/com.kingsoft.wpsoffice.mac/Data/tmp/picturecompress_20260906213218/output_1.pngoutput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6D72">
      <w:pPr>
        <w:pStyle w:val="4"/>
        <w:spacing w:beforeAutospacing="0" w:afterAutospacing="0" w:line="480" w:lineRule="auto"/>
        <w:jc w:val="both"/>
      </w:pPr>
      <w:r>
        <w:rPr>
          <w:rStyle w:val="5"/>
        </w:rPr>
        <w:t>Figure S1. Bootstrap Stability of the Modality-Specific Single Cutoffs</w:t>
      </w:r>
    </w:p>
    <w:p w14:paraId="5D023B91">
      <w:pPr>
        <w:spacing w:line="480" w:lineRule="auto"/>
        <w:jc w:val="both"/>
        <w:rPr>
          <w:rFonts w:hint="eastAsia" w:ascii="Times New Roman" w:hAnsi="Times New Roman" w:eastAsia="SimSun" w:cs="Times New Roman"/>
          <w:sz w:val="24"/>
          <w:szCs w:val="24"/>
        </w:rPr>
      </w:pPr>
      <w:r>
        <w:rPr>
          <w:rFonts w:ascii="Times New Roman" w:hAnsi="Times New Roman" w:eastAsia="SimSun" w:cs="Times New Roman"/>
          <w:sz w:val="24"/>
          <w:szCs w:val="24"/>
        </w:rPr>
        <w:t>Participant-clustered bootstrap resampling with 5000 replicates was performed separately in the derivation PET/CT and PET/MR cohorts; visual-intermediate examinations were excluded. A, Distributions of maximum-Youden cutoffs. Original estimates (95% bootstrap CIs) were 15.1 CL (14.4–21.9) for PET/CT and 43.4 CL (31.1–46.7) for PET/MR. B, Relationship between replicate-specific cutoffs and maximum Youden indices. Points represent successful replicates; black diamonds indicate original-sample estimates. PET/CT frequently retained a maximum Youden index of 1.00 across several cutoffs, whereas PET/MR showed greater variability.</w:t>
      </w:r>
      <w:r>
        <w:rPr>
          <w:rFonts w:hint="eastAsia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ascii="Times New Roman" w:hAnsi="Times New Roman" w:eastAsia="SimSun" w:cs="Times New Roman"/>
          <w:sz w:val="24"/>
          <w:szCs w:val="24"/>
        </w:rPr>
        <w:t>Abbreviations: CL, Centiloid; PET/CT, positron emission tomography/computed tomography; PET/MR, positron emission tomography/magnetic resonance.</w:t>
      </w:r>
    </w:p>
    <w:p w14:paraId="39B41EA4">
      <w:pPr>
        <w:spacing w:line="360" w:lineRule="auto"/>
        <w:jc w:val="both"/>
        <w:rPr>
          <w:rFonts w:hint="eastAsia" w:ascii="Times New Roman" w:hAnsi="Times New Roman" w:eastAsia="SimSun" w:cs="Times New Roman"/>
          <w:sz w:val="24"/>
          <w:szCs w:val="24"/>
          <w:lang w:eastAsia="zh-CN" w:bidi="ar"/>
        </w:rPr>
      </w:pPr>
      <w:r>
        <w:rPr>
          <w:rFonts w:hint="eastAsia" w:ascii="Times New Roman" w:hAnsi="Times New Roman" w:eastAsia="SimSun" w:cs="Times New Roman"/>
          <w:sz w:val="24"/>
          <w:szCs w:val="24"/>
          <w:lang w:eastAsia="zh-CN" w:bidi="ar"/>
        </w:rPr>
        <w:drawing>
          <wp:inline distT="0" distB="0" distL="114300" distR="114300">
            <wp:extent cx="6313805" cy="3180080"/>
            <wp:effectExtent l="0" t="0" r="10795" b="20320"/>
            <wp:docPr id="15" name="Picture 15" descr="/Users/shumengyan/Library/Containers/com.kingsoft.wpsoffice.mac/Data/tmp/picturecompress_20260906213236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/Users/shumengyan/Library/Containers/com.kingsoft.wpsoffice.mac/Data/tmp/picturecompress_20260906213236/output_1.pngoutput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3805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841CF">
      <w:pPr>
        <w:pStyle w:val="4"/>
        <w:spacing w:beforeAutospacing="0" w:afterAutospacing="0" w:line="480" w:lineRule="auto"/>
        <w:jc w:val="both"/>
        <w:rPr>
          <w:rFonts w:ascii="Times New Roman Bold" w:hAnsi="Times New Roman Bold" w:cs="Times New Roman Bold"/>
          <w:b/>
          <w:bCs/>
          <w:lang w:bidi="ar"/>
        </w:rPr>
      </w:pPr>
      <w:r>
        <w:rPr>
          <w:rFonts w:ascii="Times New Roman Bold" w:hAnsi="Times New Roman Bold" w:cs="Times New Roman Bold"/>
          <w:b/>
          <w:bCs/>
          <w:lang w:bidi="ar"/>
        </w:rPr>
        <w:t>Figure S2. Centiloid Values by PET/MR Scanner in Visually Negative and Positive Scans</w:t>
      </w:r>
    </w:p>
    <w:p w14:paraId="43EAC257">
      <w:pPr>
        <w:pStyle w:val="4"/>
        <w:spacing w:beforeAutospacing="0" w:afterAutospacing="0" w:line="480" w:lineRule="auto"/>
        <w:jc w:val="both"/>
      </w:pPr>
      <w:r>
        <w:t>Centiloid distributions are shown by scanner for visually negative (A) and visually positive (B) participants. Scanner 1 denotes the UIH uPMR 790, and Scanner 2 denotes the GE Healthcare PET/MR system. Points represent individual participants; box plots show medians and interquartile ranges. Sample sizes are provided below each scanner.</w:t>
      </w:r>
      <w:r>
        <w:rPr>
          <w:rFonts w:hint="eastAsia"/>
        </w:rPr>
        <w:t xml:space="preserve"> A</w:t>
      </w:r>
      <w:r>
        <w:t xml:space="preserve">bbreviations: </w:t>
      </w:r>
      <w:r>
        <w:rPr>
          <w:rFonts w:ascii="Times New Roman Regular" w:hAnsi="Times New Roman Regular" w:eastAsia="Arial" w:cs="Times New Roman Regular"/>
          <w:color w:val="282828"/>
        </w:rPr>
        <w:t>UIH, United Imaging Healthcare.</w:t>
      </w:r>
    </w:p>
    <w:p w14:paraId="1E877D21"/>
    <w:sectPr>
      <w:pgSz w:w="11906" w:h="16838"/>
      <w:pgMar w:top="935" w:right="935" w:bottom="935" w:left="935" w:header="720" w:footer="720" w:gutter="0"/>
      <w:lnNumType w:countBy="1" w:restart="continuous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BF2769"/>
    <w:rsid w:val="C7B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nhideWhenUsed/>
    <w:uiPriority w:val="99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character" w:styleId="5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2026-09-06T22:15:00Z</dcterms:created>
  <dc:creator>SMY</dc:creator>
  <cp:lastModifiedBy>SMY</cp:lastModifiedBy>
  <dcterms:modified xsi:type="dcterms:W3CDTF">2026-09-06T22:30:45Z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1033-12.1.24031.24031</vt:lpwstr>
  </property>
  <property fmtid="{D5CDD505-2E9C-101B-9397-08002B2CF9AE}" pid="3" name="ICV">
    <vt:lpwstr>BCCD988448205C379E759D6A023BD2F4_41</vt:lpwstr>
  </property>
</Properties>
</file>