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8642B" w14:textId="77777777" w:rsidR="00D7422B" w:rsidRDefault="00D7422B" w:rsidP="00D7422B">
      <w:pPr>
        <w:pStyle w:val="Heading2"/>
        <w:spacing w:line="480" w:lineRule="auto"/>
      </w:pPr>
      <w:r>
        <w:t>Additional files</w:t>
      </w:r>
    </w:p>
    <w:p w14:paraId="5587A60E" w14:textId="77777777" w:rsidR="00D7422B" w:rsidRDefault="00D7422B" w:rsidP="00D7422B">
      <w:pPr>
        <w:spacing w:line="480" w:lineRule="auto"/>
      </w:pPr>
      <w:r>
        <w:t>Additional file 1: Supplementary Figures (PDF). Figure S1, restricted cubic spline functional form for the NK_strict-survival relationship in three cohorts; Figure S2, per-PAM50 stratified CNR2 × NK_strict correlation.</w:t>
      </w:r>
    </w:p>
    <w:p w14:paraId="4FFA3828" w14:textId="77777777" w:rsidR="00D7422B" w:rsidRDefault="00D7422B" w:rsidP="00D7422B">
      <w:pPr>
        <w:spacing w:line="480" w:lineRule="auto"/>
      </w:pPr>
      <w:r>
        <w:t>Additional file 2: Supplementary Tables S0–S15 (XLSX, 34 worksheets including lettered sub-tables). Contents listed below.</w:t>
      </w:r>
    </w:p>
    <w:p w14:paraId="4D4944E6" w14:textId="77777777" w:rsidR="00D7422B" w:rsidRDefault="00D7422B" w:rsidP="00D7422B">
      <w:pPr>
        <w:spacing w:line="480" w:lineRule="auto"/>
      </w:pPr>
      <w:r>
        <w:t>Additional file 3: REMARK checklist for prognostic tumor-marker reporting (DOCX).</w:t>
      </w:r>
    </w:p>
    <w:p w14:paraId="0EE51AC0" w14:textId="77777777" w:rsidR="00D7422B" w:rsidRDefault="00D7422B" w:rsidP="00D7422B">
      <w:pPr>
        <w:spacing w:before="120" w:after="60" w:line="480" w:lineRule="auto"/>
      </w:pPr>
      <w:r>
        <w:rPr>
          <w:b/>
          <w:bCs/>
        </w:rPr>
        <w:t>Tables</w:t>
      </w:r>
    </w:p>
    <w:p w14:paraId="06400082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S0</w:t>
      </w:r>
      <w:r>
        <w:tab/>
        <w:t>Sample-level metadata (Pal et al. 2021 discovery atlas, 69 samples)</w:t>
      </w:r>
    </w:p>
    <w:p w14:paraId="60603D03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S1</w:t>
      </w:r>
      <w:r>
        <w:tab/>
        <w:t>NK subtype discriminative markers</w:t>
      </w:r>
    </w:p>
    <w:p w14:paraId="6711885C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S2</w:t>
      </w:r>
      <w:r>
        <w:tab/>
        <w:t>ECS expression in NK pseudobulks (Tumor vs Normal), DESeq2 three models</w:t>
      </w:r>
    </w:p>
    <w:p w14:paraId="26A91D52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S3</w:t>
      </w:r>
      <w:r>
        <w:tab/>
        <w:t>Tumor-specific ligand-receptor interactions (CellPhoneDB v5)</w:t>
      </w:r>
    </w:p>
    <w:p w14:paraId="40D69BD8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S4a</w:t>
      </w:r>
      <w:r>
        <w:tab/>
        <w:t>Wu et al. 2021 independent-cohort validation</w:t>
      </w:r>
    </w:p>
    <w:p w14:paraId="04258B22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S4b</w:t>
      </w:r>
      <w:r>
        <w:tab/>
        <w:t>Field-cancerization control (reduction-mammoplasty vs cancer-adjacent Normal)</w:t>
      </w:r>
    </w:p>
    <w:p w14:paraId="2F574CC7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S5a</w:t>
      </w:r>
      <w:r>
        <w:tab/>
        <w:t>CD8 confound test, 27-marker mixed NK-cytotoxic signature</w:t>
      </w:r>
    </w:p>
    <w:p w14:paraId="43293553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S5b</w:t>
      </w:r>
      <w:r>
        <w:tab/>
        <w:t>Rooney CYT confound test, 27-marker mixed signature</w:t>
      </w:r>
    </w:p>
    <w:p w14:paraId="1EEF927D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S5c</w:t>
      </w:r>
      <w:r>
        <w:tab/>
        <w:t>Comprehensive Cox results, 27-marker mixed signature</w:t>
      </w:r>
    </w:p>
    <w:p w14:paraId="67D37703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S5d</w:t>
      </w:r>
      <w:r>
        <w:tab/>
        <w:t>Collinearity of the mixed signature with CD8/CYT/TIL</w:t>
      </w:r>
    </w:p>
    <w:p w14:paraId="3689915F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S5e</w:t>
      </w:r>
      <w:r>
        <w:tab/>
        <w:t>Bootstrap delta C-index, 27-marker mixed signature</w:t>
      </w:r>
    </w:p>
    <w:p w14:paraId="569AB6D6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S6a</w:t>
      </w:r>
      <w:r>
        <w:tab/>
        <w:t>NK_strict 8-gene panel definition</w:t>
      </w:r>
    </w:p>
    <w:p w14:paraId="08651AF8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S6b</w:t>
      </w:r>
      <w:r>
        <w:tab/>
        <w:t>NK_strict Cox proportional hazards, three cohorts</w:t>
      </w:r>
    </w:p>
    <w:p w14:paraId="29C84CCC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S6c</w:t>
      </w:r>
      <w:r>
        <w:tab/>
        <w:t>NK_strict collinearity with alternative signatures</w:t>
      </w:r>
    </w:p>
    <w:p w14:paraId="04370A80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S6d</w:t>
      </w:r>
      <w:r>
        <w:tab/>
        <w:t>Bootstrap delta C-index, NK_strict</w:t>
      </w:r>
    </w:p>
    <w:p w14:paraId="4E9A828D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S6e</w:t>
      </w:r>
      <w:r>
        <w:tab/>
        <w:t>NK_strict panel specificity against activated CD8 T cells (four comparator definitions)</w:t>
      </w:r>
    </w:p>
    <w:p w14:paraId="188F41F4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lastRenderedPageBreak/>
        <w:t>S7a</w:t>
      </w:r>
      <w:r>
        <w:tab/>
        <w:t>Cell-type attribution of 19 ECS genes</w:t>
      </w:r>
    </w:p>
    <w:p w14:paraId="4AE1E23D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S7b</w:t>
      </w:r>
      <w:r>
        <w:tab/>
        <w:t>ECS x NK_strict raw vs partial Spearman correlations</w:t>
      </w:r>
    </w:p>
    <w:p w14:paraId="56B12BA1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S7c</w:t>
      </w:r>
      <w:r>
        <w:tab/>
        <w:t>Per-PAM50 stratified ECS x NK_strict correlations</w:t>
      </w:r>
    </w:p>
    <w:p w14:paraId="65E3A7C9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S7d</w:t>
      </w:r>
      <w:r>
        <w:tab/>
        <w:t>NK expression share: Poisson versus group-level bootstrap intervals</w:t>
      </w:r>
    </w:p>
    <w:p w14:paraId="69A8C43A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S7e</w:t>
      </w:r>
      <w:r>
        <w:tab/>
        <w:t>Sensitivity of cell-type attribution to centroid weighting</w:t>
      </w:r>
    </w:p>
    <w:p w14:paraId="0A7CC8BB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S7f</w:t>
      </w:r>
      <w:r>
        <w:tab/>
        <w:t>Cell-type attribution after ambient RNA correction and doublet removal</w:t>
      </w:r>
    </w:p>
    <w:p w14:paraId="702D515F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S7g</w:t>
      </w:r>
      <w:r>
        <w:tab/>
        <w:t>Specificity control: NK-restricted genes, modules and housekeeping genes under the same adjustment specifications</w:t>
      </w:r>
    </w:p>
    <w:p w14:paraId="1597A67F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S7h</w:t>
      </w:r>
      <w:r>
        <w:tab/>
        <w:t>ECS partial correlations with a plasma and B-lineage adjuster added</w:t>
      </w:r>
    </w:p>
    <w:p w14:paraId="75DB08B6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S7i</w:t>
      </w:r>
      <w:r>
        <w:tab/>
        <w:t>ECS partial correlations with NK-associated genes removed from the Immune Score</w:t>
      </w:r>
    </w:p>
    <w:p w14:paraId="6EEA1F42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S8</w:t>
      </w:r>
      <w:r>
        <w:tab/>
        <w:t>Schoenfeld proportional-hazards test results</w:t>
      </w:r>
    </w:p>
    <w:p w14:paraId="26BE0B9B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S9</w:t>
      </w:r>
      <w:r>
        <w:tab/>
        <w:t>Incremental clinical utility of NK_strict</w:t>
      </w:r>
    </w:p>
    <w:p w14:paraId="63D0110C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S10</w:t>
      </w:r>
      <w:r>
        <w:tab/>
        <w:t>Forest-plot per-cohort inverse-variance weights</w:t>
      </w:r>
    </w:p>
    <w:p w14:paraId="402AEE19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S11</w:t>
      </w:r>
      <w:r>
        <w:tab/>
        <w:t>Three-cohort pooled Cox for NK_strict</w:t>
      </w:r>
    </w:p>
    <w:p w14:paraId="49FD0EC5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S12</w:t>
      </w:r>
      <w:r>
        <w:tab/>
        <w:t>NK_strict in collinear joint Cox models</w:t>
      </w:r>
    </w:p>
    <w:p w14:paraId="0C2C85AB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S13</w:t>
      </w:r>
      <w:r>
        <w:tab/>
        <w:t>Sensitivity of ECS attribution classes to the dominance threshold</w:t>
      </w:r>
    </w:p>
    <w:p w14:paraId="2310AC64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S14</w:t>
      </w:r>
      <w:r>
        <w:tab/>
        <w:t>Within-NK Tumor versus Normal differential ECS expression (DESeq2 with pseudobulk depth as a covariate)</w:t>
      </w:r>
    </w:p>
    <w:p w14:paraId="51B245CE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S15</w:t>
      </w:r>
      <w:r>
        <w:tab/>
        <w:t>Immune Score gene panel (130 genes)</w:t>
      </w:r>
    </w:p>
    <w:p w14:paraId="3F2CC2A2" w14:textId="77777777" w:rsidR="00D7422B" w:rsidRDefault="00D7422B" w:rsidP="00D7422B">
      <w:pPr>
        <w:spacing w:before="120" w:after="60" w:line="480" w:lineRule="auto"/>
      </w:pPr>
      <w:r>
        <w:rPr>
          <w:b/>
          <w:bCs/>
        </w:rPr>
        <w:t>Figures</w:t>
      </w:r>
    </w:p>
    <w:p w14:paraId="33338FAD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S1</w:t>
      </w:r>
      <w:r>
        <w:tab/>
        <w:t>Restricted cubic spline functional form for the NK_strict-survival relationship (three cohorts)</w:t>
      </w:r>
    </w:p>
    <w:p w14:paraId="5C1BBCFB" w14:textId="77777777" w:rsidR="00D7422B" w:rsidRDefault="00D7422B" w:rsidP="00D7422B">
      <w:pPr>
        <w:spacing w:line="480" w:lineRule="auto"/>
        <w:ind w:left="720" w:hanging="720"/>
      </w:pPr>
      <w:r>
        <w:rPr>
          <w:b/>
          <w:bCs/>
        </w:rPr>
        <w:t>S2</w:t>
      </w:r>
      <w:r>
        <w:tab/>
        <w:t>Per-PAM50 stratified CNR2 x NK_strict correlation</w:t>
      </w:r>
    </w:p>
    <w:p w14:paraId="325EBFC2" w14:textId="77777777" w:rsidR="00DE6AE2" w:rsidRDefault="00DE6AE2"/>
    <w:sectPr w:rsidR="00DE6AE2" w:rsidSect="00D7422B">
      <w:pgSz w:w="12240" w:h="15840"/>
      <w:pgMar w:top="1440" w:right="1440" w:bottom="1440" w:left="1440" w:header="708" w:footer="708" w:gutter="0"/>
      <w:lnNumType w:countBy="1" w:restart="continuous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2B"/>
    <w:rsid w:val="00195413"/>
    <w:rsid w:val="003A03A7"/>
    <w:rsid w:val="003D0186"/>
    <w:rsid w:val="007278E4"/>
    <w:rsid w:val="00A3738C"/>
    <w:rsid w:val="00B91ABC"/>
    <w:rsid w:val="00BC6C35"/>
    <w:rsid w:val="00CB270D"/>
    <w:rsid w:val="00CF7583"/>
    <w:rsid w:val="00D60A80"/>
    <w:rsid w:val="00D7422B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BF7C1"/>
  <w15:chartTrackingRefBased/>
  <w15:docId w15:val="{DED4BAC7-9C95-42BD-AC2D-C4BF6967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22B"/>
    <w:pPr>
      <w:widowControl w:val="0"/>
      <w:spacing w:after="0" w:line="240" w:lineRule="auto"/>
    </w:pPr>
    <w:rPr>
      <w:rFonts w:ascii="Times New Roman" w:eastAsiaTheme="minorEastAsia" w:hAnsi="Times New Roman" w:cs="Times New Roman"/>
      <w:kern w:val="0"/>
      <w:sz w:val="22"/>
      <w:szCs w:val="22"/>
      <w:lang w:val="en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422B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422B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22B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22B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22B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22B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22B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22B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22B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2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2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2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2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2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2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22B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4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22B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4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22B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42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22B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742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22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2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22B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D74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2245</Characters>
  <Application>Microsoft Office Word</Application>
  <DocSecurity>0</DocSecurity>
  <Lines>18</Lines>
  <Paragraphs>5</Paragraphs>
  <ScaleCrop>false</ScaleCrop>
  <Company>Springer Nature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2026-09-29T05:19:00Z</dcterms:created>
  <dcterms:modified xsi:type="dcterms:W3CDTF">2026-09-29T05:20:00Z</dcterms:modified>
</cp:coreProperties>
</file>