
<file path=[Content_Types].xml><?xml version="1.0" encoding="utf-8"?>
<Types xmlns="http://schemas.openxmlformats.org/package/2006/content-types">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2978A0">
      <w:pPr>
        <w:keepNext w:val="0"/>
        <w:keepLines w:val="0"/>
        <w:pageBreakBefore w:val="0"/>
        <w:kinsoku/>
        <w:wordWrap/>
        <w:overflowPunct/>
        <w:topLinePunct w:val="0"/>
        <w:autoSpaceDE/>
        <w:autoSpaceDN/>
        <w:bidi w:val="0"/>
        <w:adjustRightInd/>
        <w:snapToGrid/>
        <w:spacing w:line="480" w:lineRule="auto"/>
        <w:outlineLvl w:val="0"/>
        <w:rPr>
          <w:rFonts w:hint="default" w:ascii="Times New Roman" w:hAnsi="Times New Roman" w:cs="Times New Roman" w:eastAsiaTheme="minorEastAsia"/>
          <w:b/>
          <w:bCs/>
          <w:color w:val="000000" w:themeColor="text1"/>
          <w:sz w:val="44"/>
          <w:szCs w:val="36"/>
          <w14:textFill>
            <w14:solidFill>
              <w14:schemeClr w14:val="tx1"/>
            </w14:solidFill>
          </w14:textFill>
        </w:rPr>
      </w:pPr>
      <w:r>
        <w:rPr>
          <w:rFonts w:hint="default" w:ascii="Times New Roman" w:hAnsi="Times New Roman" w:cs="Times New Roman" w:eastAsiaTheme="minorEastAsia"/>
          <w:b/>
          <w:bCs/>
          <w:color w:val="000000" w:themeColor="text1"/>
          <w:sz w:val="44"/>
          <w:szCs w:val="36"/>
          <w14:textFill>
            <w14:solidFill>
              <w14:schemeClr w14:val="tx1"/>
            </w14:solidFill>
          </w14:textFill>
        </w:rPr>
        <w:t>Supplementary Information</w:t>
      </w:r>
    </w:p>
    <w:p w14:paraId="3A6D1E1B">
      <w:pPr>
        <w:keepNext w:val="0"/>
        <w:keepLines w:val="0"/>
        <w:pageBreakBefore w:val="0"/>
        <w:kinsoku/>
        <w:wordWrap/>
        <w:overflowPunct/>
        <w:topLinePunct w:val="0"/>
        <w:autoSpaceDE/>
        <w:autoSpaceDN/>
        <w:bidi w:val="0"/>
        <w:adjustRightInd/>
        <w:snapToGrid/>
        <w:spacing w:line="480" w:lineRule="auto"/>
        <w:rPr>
          <w:rFonts w:hint="default" w:ascii="Times New Roman" w:hAnsi="Times New Roman" w:eastAsia="宋体" w:cs="Times New Roman"/>
          <w:b/>
          <w:bCs/>
          <w:sz w:val="28"/>
          <w:szCs w:val="28"/>
        </w:rPr>
      </w:pPr>
      <w:r>
        <w:rPr>
          <w:rFonts w:ascii="Times New Roman" w:hAnsi="Times New Roman" w:eastAsia="Times New Roman"/>
          <w:b/>
          <w:sz w:val="32"/>
        </w:rPr>
        <w:t>Exposure-Route-Driven Four-Stage Computational Toxicology Assessment Paradigm for Cosmetic Ingredient Safety Evaluation</w:t>
      </w:r>
      <w:r>
        <w:rPr>
          <w:rFonts w:hint="default" w:ascii="Times New Roman" w:hAnsi="Times New Roman" w:eastAsia="宋体" w:cs="Times New Roman"/>
          <w:b/>
          <w:bCs/>
          <w:sz w:val="28"/>
          <w:szCs w:val="28"/>
        </w:rPr>
        <w:br w:type="page"/>
      </w:r>
    </w:p>
    <w:p w14:paraId="45D55E11">
      <w:pPr>
        <w:keepNext w:val="0"/>
        <w:keepLines w:val="0"/>
        <w:pageBreakBefore w:val="0"/>
        <w:widowControl w:val="0"/>
        <w:kinsoku/>
        <w:wordWrap/>
        <w:overflowPunct/>
        <w:topLinePunct w:val="0"/>
        <w:autoSpaceDE/>
        <w:autoSpaceDN/>
        <w:bidi w:val="0"/>
        <w:adjustRightInd/>
        <w:snapToGrid/>
        <w:spacing w:before="240" w:after="120" w:line="480" w:lineRule="auto"/>
        <w:textAlignment w:val="auto"/>
        <w:rPr>
          <w:rFonts w:hint="default" w:ascii="Times New Roman" w:hAnsi="Times New Roman" w:cs="Times New Roman"/>
          <w:b/>
          <w:bCs/>
          <w:i/>
          <w:iCs/>
          <w:color w:val="auto"/>
          <w:sz w:val="24"/>
          <w:szCs w:val="24"/>
          <w:highlight w:val="none"/>
          <w:lang w:val="en-US" w:eastAsia="zh-CN"/>
        </w:rPr>
      </w:pPr>
      <w:r>
        <w:rPr>
          <w:rFonts w:hint="default" w:ascii="Times New Roman" w:hAnsi="Times New Roman" w:cs="Times New Roman"/>
          <w:b/>
          <w:bCs/>
          <w:i/>
          <w:iCs/>
          <w:color w:val="auto"/>
          <w:sz w:val="24"/>
          <w:szCs w:val="24"/>
          <w:highlight w:val="none"/>
          <w:lang w:val="en-US" w:eastAsia="zh-CN"/>
        </w:rPr>
        <w:t>Initial Screening and Hazard Identification</w:t>
      </w:r>
    </w:p>
    <w:p w14:paraId="5D43AA22">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i w:val="0"/>
          <w:iCs w:val="0"/>
          <w:color w:val="auto"/>
          <w:sz w:val="24"/>
          <w:szCs w:val="24"/>
          <w:highlight w:val="none"/>
          <w:lang w:val="en-US" w:eastAsia="zh-CN"/>
        </w:rPr>
      </w:pPr>
      <w:r>
        <w:rPr>
          <w:rFonts w:hint="default" w:ascii="Times New Roman" w:hAnsi="Times New Roman" w:cs="Times New Roman"/>
          <w:b w:val="0"/>
          <w:bCs w:val="0"/>
          <w:i w:val="0"/>
          <w:iCs w:val="0"/>
          <w:color w:val="auto"/>
          <w:sz w:val="24"/>
          <w:szCs w:val="24"/>
          <w:highlight w:val="none"/>
          <w:lang w:val="en-US" w:eastAsia="zh-CN"/>
        </w:rPr>
        <w:t>The target chemical, homosalate (HMS; CAS No. 118-56-9; C₁₆H₂₂O₃), was evaluated using its canonical SMILES string (CC1CC(CC(C1)(C)C)OC(=O)C2=CC=CC=C2O). Initial structural alerts and hazard identification were first performed using Toxtree</w:t>
      </w:r>
      <w:r>
        <w:rPr>
          <w:rFonts w:hint="eastAsia" w:ascii="Times New Roman" w:hAnsi="Times New Roman" w:cs="Times New Roman"/>
          <w:b w:val="0"/>
          <w:bCs w:val="0"/>
          <w:i w:val="0"/>
          <w:iCs w:val="0"/>
          <w:color w:val="auto"/>
          <w:sz w:val="24"/>
          <w:szCs w:val="24"/>
          <w:highlight w:val="none"/>
          <w:lang w:val="en-US" w:eastAsia="zh-CN"/>
        </w:rPr>
        <w:t xml:space="preserve"> </w:t>
      </w:r>
      <w:r>
        <w:rPr>
          <w:rFonts w:hint="default" w:ascii="Times New Roman" w:hAnsi="Times New Roman" w:cs="Times New Roman"/>
          <w:b w:val="0"/>
          <w:bCs w:val="0"/>
          <w:i w:val="0"/>
          <w:iCs w:val="0"/>
          <w:color w:val="auto"/>
          <w:sz w:val="24"/>
          <w:szCs w:val="24"/>
          <w:highlight w:val="none"/>
          <w:lang w:val="en-US" w:eastAsia="zh-CN"/>
        </w:rPr>
        <w:t>v3.1.</w:t>
      </w:r>
      <w:r>
        <w:rPr>
          <w:rFonts w:hint="eastAsia" w:ascii="Times New Roman" w:hAnsi="Times New Roman" w:cs="Times New Roman"/>
          <w:b w:val="0"/>
          <w:bCs w:val="0"/>
          <w:i w:val="0"/>
          <w:iCs w:val="0"/>
          <w:color w:val="auto"/>
          <w:sz w:val="24"/>
          <w:szCs w:val="24"/>
          <w:highlight w:val="none"/>
          <w:lang w:val="en-US" w:eastAsia="zh-CN"/>
        </w:rPr>
        <w:t xml:space="preserve">0 </w:t>
      </w:r>
      <w:r>
        <w:rPr>
          <w:rFonts w:hint="default" w:ascii="Times New Roman" w:hAnsi="Times New Roman" w:cs="Times New Roman"/>
          <w:b w:val="0"/>
          <w:bCs w:val="0"/>
          <w:i w:val="0"/>
          <w:iCs w:val="0"/>
          <w:color w:val="auto"/>
          <w:sz w:val="24"/>
          <w:szCs w:val="24"/>
          <w:highlight w:val="none"/>
          <w:lang w:val="en-US" w:eastAsia="zh-CN"/>
        </w:rPr>
        <w:t>(</w:t>
      </w:r>
      <w:r>
        <w:rPr>
          <w:rFonts w:hint="eastAsia" w:ascii="Times New Roman" w:hAnsi="Times New Roman" w:cs="Times New Roman"/>
          <w:b w:val="0"/>
          <w:bCs w:val="0"/>
          <w:i w:val="0"/>
          <w:iCs w:val="0"/>
          <w:color w:val="0000FF"/>
          <w:sz w:val="24"/>
          <w:szCs w:val="24"/>
          <w:highlight w:val="none"/>
          <w:lang w:val="en-US" w:eastAsia="zh-CN"/>
        </w:rPr>
        <w:t>https://toxtree.sourceforge.net/index.html</w:t>
      </w:r>
      <w:r>
        <w:rPr>
          <w:rFonts w:hint="default" w:ascii="Times New Roman" w:hAnsi="Times New Roman" w:cs="Times New Roman"/>
          <w:b w:val="0"/>
          <w:bCs w:val="0"/>
          <w:i w:val="0"/>
          <w:iCs w:val="0"/>
          <w:color w:val="auto"/>
          <w:sz w:val="24"/>
          <w:szCs w:val="24"/>
          <w:highlight w:val="none"/>
          <w:lang w:val="en-US" w:eastAsia="zh-CN"/>
        </w:rPr>
        <w:t>). To comprehensively profile the multi-toxicity endpoints of HMS, the US EPA Hazard Cheminformatics Module (HCM) was used (</w:t>
      </w:r>
      <w:r>
        <w:rPr>
          <w:rFonts w:hint="default" w:ascii="Times New Roman" w:hAnsi="Times New Roman" w:cs="Times New Roman"/>
          <w:b w:val="0"/>
          <w:bCs w:val="0"/>
          <w:i w:val="0"/>
          <w:iCs w:val="0"/>
          <w:color w:val="0000FF"/>
          <w:sz w:val="24"/>
          <w:szCs w:val="24"/>
          <w:highlight w:val="none"/>
          <w:lang w:val="en-US" w:eastAsia="zh-CN"/>
        </w:rPr>
        <w:t>Vegosen and Martin 2020</w:t>
      </w:r>
      <w:r>
        <w:rPr>
          <w:rFonts w:hint="default" w:ascii="Times New Roman" w:hAnsi="Times New Roman" w:cs="Times New Roman"/>
          <w:b w:val="0"/>
          <w:bCs w:val="0"/>
          <w:i w:val="0"/>
          <w:iCs w:val="0"/>
          <w:color w:val="auto"/>
          <w:sz w:val="24"/>
          <w:szCs w:val="24"/>
          <w:highlight w:val="none"/>
          <w:lang w:val="en-US" w:eastAsia="zh-CN"/>
        </w:rPr>
        <w:t>). The HCM aggregates hazard data from public repositories, literature, and US EPA T.E.S.T. QSAR models, covering human health, ecotoxicity, and environmental fate. Toxicity is stratified qualitatively across five tiers (inconclusive, low, medium, high, and very high), with data provenance explicitly categorized as authoritative, screening, or QSAR-derived. Additional specific toxicological predictions were conducted using the VEGA platform</w:t>
      </w:r>
      <w:r>
        <w:rPr>
          <w:rFonts w:hint="eastAsia" w:ascii="Times New Roman" w:hAnsi="Times New Roman" w:cs="Times New Roman"/>
          <w:b w:val="0"/>
          <w:bCs w:val="0"/>
          <w:i w:val="0"/>
          <w:iCs w:val="0"/>
          <w:color w:val="auto"/>
          <w:sz w:val="24"/>
          <w:szCs w:val="24"/>
          <w:highlight w:val="none"/>
          <w:lang w:val="en-US" w:eastAsia="zh-CN"/>
        </w:rPr>
        <w:t xml:space="preserve"> </w:t>
      </w:r>
      <w:r>
        <w:rPr>
          <w:rFonts w:hint="default" w:ascii="Times New Roman" w:hAnsi="Times New Roman" w:cs="Times New Roman"/>
          <w:b w:val="0"/>
          <w:bCs w:val="0"/>
          <w:i w:val="0"/>
          <w:iCs w:val="0"/>
          <w:color w:val="auto"/>
          <w:sz w:val="24"/>
          <w:szCs w:val="24"/>
          <w:highlight w:val="none"/>
          <w:lang w:val="en-US" w:eastAsia="zh-CN"/>
        </w:rPr>
        <w:t xml:space="preserve">v1.2.6 </w:t>
      </w:r>
      <w:r>
        <w:rPr>
          <w:rFonts w:hint="eastAsia" w:ascii="Times New Roman" w:hAnsi="Times New Roman" w:eastAsia="宋体" w:cs="Times New Roman"/>
          <w:b w:val="0"/>
          <w:sz w:val="24"/>
          <w:lang w:val="en-US" w:eastAsia="zh-CN"/>
        </w:rPr>
        <w:t>(</w:t>
      </w:r>
      <w:r>
        <w:rPr>
          <w:rFonts w:hint="eastAsia" w:ascii="Times New Roman" w:hAnsi="Times New Roman" w:eastAsia="宋体" w:cs="Times New Roman"/>
          <w:b w:val="0"/>
          <w:color w:val="0000FF"/>
          <w:sz w:val="24"/>
          <w:lang w:val="en-US" w:eastAsia="zh-CN"/>
        </w:rPr>
        <w:t>https://www.vegahub.eu/</w:t>
      </w:r>
      <w:r>
        <w:rPr>
          <w:rFonts w:hint="default" w:ascii="Times New Roman" w:hAnsi="Times New Roman" w:cs="Times New Roman"/>
          <w:b w:val="0"/>
          <w:bCs w:val="0"/>
          <w:i w:val="0"/>
          <w:iCs w:val="0"/>
          <w:color w:val="auto"/>
          <w:sz w:val="24"/>
          <w:szCs w:val="24"/>
          <w:highlight w:val="none"/>
          <w:lang w:val="en-US" w:eastAsia="zh-CN"/>
        </w:rPr>
        <w:t>). Furthermore, to evaluate the endocrine-disrupting potential of HMS, an in silico high-throughput screening was performed using the EDC Profiler web server</w:t>
      </w:r>
      <w:r>
        <w:rPr>
          <w:rFonts w:hint="eastAsia" w:ascii="Times New Roman" w:hAnsi="Times New Roman" w:cs="Times New Roman"/>
          <w:b w:val="0"/>
          <w:bCs w:val="0"/>
          <w:i w:val="0"/>
          <w:iCs w:val="0"/>
          <w:color w:val="auto"/>
          <w:sz w:val="24"/>
          <w:szCs w:val="24"/>
          <w:highlight w:val="none"/>
          <w:lang w:val="en-US" w:eastAsia="zh-CN"/>
        </w:rPr>
        <w:t xml:space="preserve"> </w:t>
      </w:r>
      <w:r>
        <w:rPr>
          <w:rFonts w:hint="default" w:ascii="Times New Roman" w:hAnsi="Times New Roman" w:eastAsia="宋体" w:cs="Times New Roman"/>
          <w:b w:val="0"/>
          <w:sz w:val="24"/>
          <w:lang w:val="en-US" w:eastAsia="zh-CN"/>
        </w:rPr>
        <w:t>(</w:t>
      </w:r>
      <w:r>
        <w:rPr>
          <w:rFonts w:hint="default" w:ascii="Times New Roman" w:hAnsi="Times New Roman" w:eastAsia="宋体" w:cs="Times New Roman"/>
          <w:b w:val="0"/>
          <w:color w:val="0000FF"/>
          <w:sz w:val="24"/>
          <w:lang w:val="en-US" w:eastAsia="zh-CN"/>
        </w:rPr>
        <w:t>http://www.edcprofiler.cn/service/edcprofiler</w:t>
      </w:r>
      <w:r>
        <w:rPr>
          <w:rFonts w:hint="default" w:ascii="Times New Roman" w:hAnsi="Times New Roman" w:eastAsia="宋体" w:cs="Times New Roman"/>
          <w:b w:val="0"/>
          <w:sz w:val="24"/>
          <w:lang w:val="en-US" w:eastAsia="zh-CN"/>
        </w:rPr>
        <w:t>)</w:t>
      </w:r>
      <w:r>
        <w:rPr>
          <w:rFonts w:hint="default" w:ascii="Times New Roman" w:hAnsi="Times New Roman" w:cs="Times New Roman"/>
          <w:b w:val="0"/>
          <w:bCs w:val="0"/>
          <w:i w:val="0"/>
          <w:iCs w:val="0"/>
          <w:color w:val="auto"/>
          <w:sz w:val="24"/>
          <w:szCs w:val="24"/>
          <w:highlight w:val="none"/>
          <w:lang w:val="en-US" w:eastAsia="zh-CN"/>
        </w:rPr>
        <w:t xml:space="preserve"> (Qiu et al. 2026)</w:t>
      </w:r>
      <w:r>
        <w:rPr>
          <w:rFonts w:hint="eastAsia" w:ascii="Times New Roman" w:hAnsi="Times New Roman" w:cs="Times New Roman"/>
          <w:b w:val="0"/>
          <w:bCs w:val="0"/>
          <w:i w:val="0"/>
          <w:iCs w:val="0"/>
          <w:color w:val="auto"/>
          <w:sz w:val="24"/>
          <w:szCs w:val="24"/>
          <w:highlight w:val="none"/>
          <w:lang w:val="en-US" w:eastAsia="zh-CN"/>
        </w:rPr>
        <w:t xml:space="preserve"> and EPA WebTEST</w:t>
      </w:r>
      <w:r>
        <w:rPr>
          <w:rFonts w:hint="eastAsia" w:ascii="Times New Roman" w:hAnsi="Times New Roman" w:cs="Times New Roman"/>
          <w:b w:val="0"/>
          <w:bCs w:val="0"/>
          <w:i w:val="0"/>
          <w:iCs w:val="0"/>
          <w:color w:val="0000FF"/>
          <w:sz w:val="24"/>
          <w:szCs w:val="24"/>
          <w:highlight w:val="none"/>
          <w:lang w:val="en-US" w:eastAsia="zh-CN"/>
        </w:rPr>
        <w:t xml:space="preserve"> </w:t>
      </w:r>
      <w:r>
        <w:rPr>
          <w:rFonts w:hint="default" w:ascii="Times New Roman" w:hAnsi="Times New Roman" w:eastAsia="宋体" w:cs="Times New Roman"/>
          <w:b w:val="0"/>
          <w:sz w:val="24"/>
          <w:lang w:val="en-US" w:eastAsia="zh-CN"/>
        </w:rPr>
        <w:t>(</w:t>
      </w:r>
      <w:r>
        <w:rPr>
          <w:rFonts w:hint="default" w:ascii="Times New Roman" w:hAnsi="Times New Roman" w:eastAsia="宋体" w:cs="Times New Roman"/>
          <w:b w:val="0"/>
          <w:color w:val="0000FF"/>
          <w:sz w:val="24"/>
          <w:lang w:val="en-US" w:eastAsia="zh-CN"/>
        </w:rPr>
        <w:t>US EPA 2025; https://comptox.epa.gov/dashboard/predictions</w:t>
      </w:r>
      <w:r>
        <w:rPr>
          <w:rFonts w:hint="default" w:ascii="Times New Roman" w:hAnsi="Times New Roman" w:eastAsia="宋体" w:cs="Times New Roman"/>
          <w:b w:val="0"/>
          <w:sz w:val="24"/>
          <w:lang w:val="en-US" w:eastAsia="zh-CN"/>
        </w:rPr>
        <w:t>)</w:t>
      </w:r>
      <w:r>
        <w:rPr>
          <w:rFonts w:hint="eastAsia" w:ascii="Times New Roman" w:hAnsi="Times New Roman" w:cs="Times New Roman"/>
          <w:b w:val="0"/>
          <w:bCs w:val="0"/>
          <w:i w:val="0"/>
          <w:iCs w:val="0"/>
          <w:color w:val="0000FF"/>
          <w:sz w:val="24"/>
          <w:szCs w:val="24"/>
          <w:highlight w:val="none"/>
          <w:lang w:val="en-US" w:eastAsia="zh-CN"/>
        </w:rPr>
        <w:t xml:space="preserve">. </w:t>
      </w:r>
    </w:p>
    <w:p w14:paraId="6A2A4C2D">
      <w:pPr>
        <w:keepNext w:val="0"/>
        <w:keepLines w:val="0"/>
        <w:pageBreakBefore w:val="0"/>
        <w:kinsoku/>
        <w:wordWrap/>
        <w:overflowPunct/>
        <w:topLinePunct w:val="0"/>
        <w:autoSpaceDE/>
        <w:autoSpaceDN/>
        <w:bidi w:val="0"/>
        <w:adjustRightInd/>
        <w:snapToGrid/>
        <w:spacing w:line="480" w:lineRule="auto"/>
        <w:rPr>
          <w:rFonts w:hint="eastAsia" w:ascii="Times New Roman" w:hAnsi="Times New Roman" w:cs="Times New Roman"/>
          <w:b/>
          <w:bCs/>
          <w:i/>
          <w:iCs/>
          <w:color w:val="auto"/>
          <w:sz w:val="24"/>
          <w:szCs w:val="24"/>
          <w:highlight w:val="none"/>
          <w:lang w:val="en-US" w:eastAsia="zh-CN"/>
        </w:rPr>
      </w:pPr>
      <w:r>
        <w:rPr>
          <w:rFonts w:hint="eastAsia" w:ascii="Times New Roman" w:hAnsi="Times New Roman" w:cs="Times New Roman"/>
          <w:b/>
          <w:bCs/>
          <w:i/>
          <w:iCs/>
          <w:color w:val="auto"/>
          <w:sz w:val="24"/>
          <w:szCs w:val="24"/>
          <w:highlight w:val="none"/>
          <w:lang w:val="en-US" w:eastAsia="zh-CN"/>
        </w:rPr>
        <w:br w:type="page"/>
      </w:r>
    </w:p>
    <w:p w14:paraId="4A0B4B94">
      <w:pPr>
        <w:keepNext w:val="0"/>
        <w:keepLines w:val="0"/>
        <w:pageBreakBefore w:val="0"/>
        <w:widowControl w:val="0"/>
        <w:kinsoku/>
        <w:wordWrap/>
        <w:overflowPunct/>
        <w:topLinePunct w:val="0"/>
        <w:autoSpaceDE/>
        <w:autoSpaceDN/>
        <w:bidi w:val="0"/>
        <w:adjustRightInd/>
        <w:snapToGrid/>
        <w:spacing w:before="240" w:after="120" w:line="480" w:lineRule="auto"/>
        <w:textAlignment w:val="auto"/>
        <w:rPr>
          <w:rFonts w:hint="default" w:ascii="Times New Roman" w:hAnsi="Times New Roman" w:cs="Times New Roman"/>
          <w:b/>
          <w:bCs/>
          <w:i/>
          <w:iCs/>
          <w:color w:val="auto"/>
          <w:sz w:val="24"/>
          <w:szCs w:val="24"/>
          <w:highlight w:val="none"/>
          <w:lang w:val="en-US" w:eastAsia="zh-CN"/>
        </w:rPr>
      </w:pPr>
      <w:r>
        <w:rPr>
          <w:rFonts w:hint="eastAsia" w:ascii="Times New Roman" w:hAnsi="Times New Roman" w:cs="Times New Roman"/>
          <w:b/>
          <w:bCs/>
          <w:i/>
          <w:iCs/>
          <w:color w:val="auto"/>
          <w:sz w:val="24"/>
          <w:szCs w:val="24"/>
          <w:highlight w:val="none"/>
          <w:lang w:val="en-US" w:eastAsia="zh-CN"/>
        </w:rPr>
        <w:t>In silico Prediction of Skin Permeation</w:t>
      </w:r>
    </w:p>
    <w:p w14:paraId="50A36380">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To evaluate the dermal absorption potential of HMS, the skin permeability coefficient (log Kp) was predicted using two in silico tools: the DERMWIN™ model</w:t>
      </w: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within the US EPA EPI Suite™ (</w:t>
      </w:r>
      <w:r>
        <w:rPr>
          <w:rFonts w:hint="default" w:ascii="Times New Roman" w:hAnsi="Times New Roman" w:eastAsia="宋体" w:cs="Times New Roman"/>
          <w:i w:val="0"/>
          <w:iCs w:val="0"/>
          <w:caps w:val="0"/>
          <w:color w:val="0000FF"/>
          <w:spacing w:val="0"/>
          <w:sz w:val="24"/>
          <w:szCs w:val="24"/>
          <w:shd w:val="clear" w:fill="FFFFFF"/>
          <w:lang w:val="en-US" w:eastAsia="zh-CN"/>
        </w:rPr>
        <w:t>US EPA 2012</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 and the SwissADME web server</w:t>
      </w: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eastAsia" w:ascii="Times New Roman" w:hAnsi="Times New Roman" w:eastAsia="宋体" w:cs="Times New Roman"/>
          <w:i w:val="0"/>
          <w:iCs w:val="0"/>
          <w:caps w:val="0"/>
          <w:color w:val="0000FF"/>
          <w:spacing w:val="0"/>
          <w:sz w:val="24"/>
          <w:szCs w:val="24"/>
          <w:shd w:val="clear" w:fill="FFFFFF"/>
          <w:lang w:val="en-US" w:eastAsia="zh-CN"/>
        </w:rPr>
        <w:t>Daina et al. 2017</w:t>
      </w: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 Both predictive modules are fundamentally based on the empirical quantitative structure-activity relationship (QSAR) model proposed by Potts and Guy (1992), which estimates log Kp as a linear function of molecular weight (MW) and lipophilicity (log P or log Kow).</w:t>
      </w: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Specifically, the DERMWIN™ model utilized its internally estimated log Kow value (6.16) as the lipophilicity input. In contrast, the SwissADME platform calculated the skin permeation based on its XLOGP3 value (</w:t>
      </w: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5.05</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 derived from multiple predictive methods. The discrepancy in the input lipophilicity descriptors between the two tools was recorded for subsequent comparative analysis.</w:t>
      </w:r>
    </w:p>
    <w:p w14:paraId="18B5358F">
      <w:pPr>
        <w:keepNext w:val="0"/>
        <w:keepLines w:val="0"/>
        <w:pageBreakBefore w:val="0"/>
        <w:kinsoku/>
        <w:wordWrap/>
        <w:overflowPunct/>
        <w:topLinePunct w:val="0"/>
        <w:autoSpaceDE/>
        <w:autoSpaceDN/>
        <w:bidi w:val="0"/>
        <w:adjustRightInd/>
        <w:snapToGrid/>
        <w:spacing w:line="480" w:lineRule="auto"/>
        <w:rPr>
          <w:rFonts w:hint="eastAsia" w:ascii="Times New Roman" w:hAnsi="Times New Roman" w:cs="Times New Roman"/>
          <w:b/>
          <w:bCs/>
          <w:i/>
          <w:iCs/>
          <w:color w:val="auto"/>
          <w:sz w:val="24"/>
          <w:szCs w:val="24"/>
          <w:highlight w:val="none"/>
          <w:lang w:val="en-US" w:eastAsia="zh-CN"/>
        </w:rPr>
      </w:pPr>
      <w:r>
        <w:rPr>
          <w:rFonts w:hint="eastAsia" w:ascii="Times New Roman" w:hAnsi="Times New Roman" w:cs="Times New Roman"/>
          <w:b/>
          <w:bCs/>
          <w:i/>
          <w:iCs/>
          <w:color w:val="auto"/>
          <w:sz w:val="24"/>
          <w:szCs w:val="24"/>
          <w:highlight w:val="none"/>
          <w:lang w:val="en-US" w:eastAsia="zh-CN"/>
        </w:rPr>
        <w:br w:type="page"/>
      </w:r>
    </w:p>
    <w:p w14:paraId="5132D22C">
      <w:pPr>
        <w:keepNext w:val="0"/>
        <w:keepLines w:val="0"/>
        <w:pageBreakBefore w:val="0"/>
        <w:widowControl w:val="0"/>
        <w:kinsoku/>
        <w:wordWrap/>
        <w:overflowPunct/>
        <w:topLinePunct w:val="0"/>
        <w:autoSpaceDE/>
        <w:autoSpaceDN/>
        <w:bidi w:val="0"/>
        <w:adjustRightInd/>
        <w:snapToGrid/>
        <w:spacing w:before="240" w:after="120" w:line="480" w:lineRule="auto"/>
        <w:textAlignment w:val="auto"/>
        <w:rPr>
          <w:rFonts w:hint="eastAsia" w:ascii="Times New Roman" w:hAnsi="Times New Roman" w:cs="Times New Roman"/>
          <w:b/>
          <w:bCs/>
          <w:i/>
          <w:iCs/>
          <w:color w:val="auto"/>
          <w:sz w:val="24"/>
          <w:szCs w:val="24"/>
          <w:highlight w:val="none"/>
          <w:lang w:val="en-US" w:eastAsia="zh-CN"/>
        </w:rPr>
      </w:pPr>
      <w:r>
        <w:rPr>
          <w:rFonts w:hint="eastAsia" w:ascii="Times New Roman" w:hAnsi="Times New Roman" w:cs="Times New Roman"/>
          <w:b/>
          <w:bCs/>
          <w:i/>
          <w:iCs/>
          <w:color w:val="auto"/>
          <w:sz w:val="24"/>
          <w:szCs w:val="24"/>
          <w:highlight w:val="none"/>
          <w:lang w:val="en-US" w:eastAsia="zh-CN"/>
        </w:rPr>
        <w:t>In silico Prediction of Metabolic Enzymes and Metabolites</w:t>
      </w:r>
    </w:p>
    <w:p w14:paraId="1583529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To elucidate the metabolic fate of HMS following dermal absorption, a sequential in silico workflow was employed to predict its primary metabolizing enzymes and subsequent metabolites. First, the substrate specificity of HMS toward major cytochrome P450 (CYP) enzymes was evaluated using two advanced, independent deep learning-based platforms: ADMETlab 3.0 (</w:t>
      </w:r>
      <w:r>
        <w:rPr>
          <w:rFonts w:hint="eastAsia" w:ascii="Times New Roman" w:hAnsi="Times New Roman" w:eastAsia="宋体" w:cs="Times New Roman"/>
          <w:i w:val="0"/>
          <w:iCs w:val="0"/>
          <w:caps w:val="0"/>
          <w:color w:val="0000FF"/>
          <w:spacing w:val="0"/>
          <w:sz w:val="24"/>
          <w:szCs w:val="24"/>
          <w:shd w:val="clear" w:fill="FFFFFF"/>
          <w:lang w:val="en-US" w:eastAsia="zh-CN"/>
        </w:rPr>
        <w:t>Fu et al. 2024</w:t>
      </w: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w:t>
      </w:r>
      <w:r>
        <w:rPr>
          <w:rFonts w:hint="eastAsia" w:ascii="Times New Roman" w:hAnsi="Times New Roman" w:eastAsia="宋体" w:cs="Times New Roman"/>
          <w:i w:val="0"/>
          <w:iCs w:val="0"/>
          <w:caps w:val="0"/>
          <w:color w:val="0000FF"/>
          <w:spacing w:val="0"/>
          <w:sz w:val="24"/>
          <w:szCs w:val="24"/>
          <w:shd w:val="clear" w:fill="FFFFFF"/>
          <w:lang w:val="en-US" w:eastAsia="zh-CN"/>
        </w:rPr>
        <w:t xml:space="preserve"> </w:t>
      </w: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and Deep-PK</w:t>
      </w:r>
      <w:r>
        <w:rPr>
          <w:rFonts w:hint="eastAsia" w:ascii="Times New Roman" w:hAnsi="Times New Roman" w:eastAsia="宋体" w:cs="Times New Roman"/>
          <w:i w:val="0"/>
          <w:iCs w:val="0"/>
          <w:caps w:val="0"/>
          <w:color w:val="0000FF"/>
          <w:spacing w:val="0"/>
          <w:sz w:val="24"/>
          <w:szCs w:val="24"/>
          <w:shd w:val="clear" w:fill="FFFFFF"/>
          <w:lang w:val="en-US" w:eastAsia="zh-CN"/>
        </w:rPr>
        <w:t xml:space="preserve"> (Myung et al. 2024)</w:t>
      </w: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 The canonical SMILES string of HMS was submitted to both web servers. ADMETlab 3.0 utilizes a multi-task directed message passing neural network combined with molecular descriptors (DMPNN-Des), while Deep-PK employs directed message passing neural networks (D-MPNN) integrated with graph-based signatures. A consensus strategy was applied wherein HMS was identified as a high-confidence substrate of a specific CYP isoform only if both platforms yielded consistent positive predictions.</w:t>
      </w:r>
    </w:p>
    <w:p w14:paraId="4DF0CE83">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Times New Roman" w:hAnsi="Times New Roman" w:eastAsia="宋体" w:cs="Times New Roman"/>
          <w:b w:val="0"/>
          <w:sz w:val="24"/>
          <w:lang w:val="en-US" w:eastAsia="zh-CN"/>
        </w:rPr>
      </w:pP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Subsequently, based on the consensus identification of the primary metabolizing enzyme, the BioTransformer platform (Djoumbou-Feunang et al. 2019) was utilized to simulate the CYP-mediated oxidative metabolism and predict the resulting metabolite structures. BioTransformer integrates a knowledge-based approach with machine learning (specifically the CypReact module for CYP substrate specificity) to generate biotransformation products. The SMILES string of HMS was input into the BioTransformer web service, and the CYP450 metabolism prediction module was selected to simulate Phase I oxidative transformations. The predicted metabolites, along with their associated reaction types, catalyzing enzymes, and metabolic pathways, were retrieved and analyzed to map the metabolic profile of HMS. The ten predicted first-generation metabolites and the parent compound were subsequently submitted to EDC Profiler and WebTEST for nuclear receptor screening, to evaluate the reshaping of the hazard profile by metabolic transformation (Figs. S6-S8). Beyond CYP-mediated oxidation, GLORYx (de Bruyn Kops et al. 2021) was applied to predict additional Phase I metabolic reactions of HMS, and an ester bond hydrolysis pathway was identified; the predicted hydrolysis products are listed in Table S3.</w:t>
      </w:r>
    </w:p>
    <w:p w14:paraId="46D88978">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Times New Roman" w:hAnsi="Times New Roman" w:cs="Times New Roman"/>
          <w:b w:val="0"/>
          <w:bCs w:val="0"/>
          <w:i w:val="0"/>
          <w:iCs w:val="0"/>
          <w:color w:val="auto"/>
          <w:sz w:val="24"/>
          <w:szCs w:val="24"/>
          <w:highlight w:val="none"/>
          <w:lang w:val="en-US" w:eastAsia="zh-CN"/>
        </w:rPr>
      </w:pPr>
      <w:r>
        <w:rPr>
          <w:rFonts w:hint="default" w:ascii="Times New Roman" w:hAnsi="Times New Roman" w:cs="Times New Roman"/>
          <w:b w:val="0"/>
          <w:bCs w:val="0"/>
          <w:i w:val="0"/>
          <w:iCs w:val="0"/>
          <w:color w:val="auto"/>
          <w:sz w:val="24"/>
          <w:szCs w:val="24"/>
          <w:highlight w:val="none"/>
          <w:lang w:val="en-US" w:eastAsia="zh-CN"/>
        </w:rPr>
        <w:br w:type="page"/>
      </w:r>
    </w:p>
    <w:p w14:paraId="5AE95A85">
      <w:pPr>
        <w:keepNext w:val="0"/>
        <w:keepLines w:val="0"/>
        <w:pageBreakBefore w:val="0"/>
        <w:widowControl w:val="0"/>
        <w:kinsoku/>
        <w:wordWrap/>
        <w:overflowPunct/>
        <w:topLinePunct w:val="0"/>
        <w:autoSpaceDE/>
        <w:autoSpaceDN/>
        <w:bidi w:val="0"/>
        <w:adjustRightInd/>
        <w:snapToGrid/>
        <w:spacing w:before="240" w:after="120" w:line="480" w:lineRule="auto"/>
        <w:textAlignment w:val="auto"/>
        <w:rPr>
          <w:rFonts w:hint="default" w:ascii="Times New Roman" w:hAnsi="Times New Roman" w:cs="Times New Roman"/>
          <w:b/>
          <w:bCs/>
          <w:i/>
          <w:iCs/>
          <w:color w:val="auto"/>
          <w:sz w:val="24"/>
          <w:szCs w:val="24"/>
          <w:highlight w:val="none"/>
          <w:lang w:val="en-US" w:eastAsia="zh-CN"/>
        </w:rPr>
      </w:pPr>
      <w:r>
        <w:rPr>
          <w:rFonts w:hint="default" w:ascii="Times New Roman" w:hAnsi="Times New Roman" w:cs="Times New Roman"/>
          <w:b/>
          <w:bCs/>
          <w:i/>
          <w:iCs/>
          <w:color w:val="auto"/>
          <w:sz w:val="24"/>
          <w:szCs w:val="24"/>
          <w:highlight w:val="none"/>
          <w:lang w:val="en-US" w:eastAsia="zh-CN"/>
        </w:rPr>
        <w:t>Molecular docking</w:t>
      </w:r>
    </w:p>
    <w:p w14:paraId="3755373A">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Times New Roman" w:hAnsi="Times New Roman" w:cs="Times New Roman"/>
          <w:b w:val="0"/>
          <w:bCs w:val="0"/>
          <w:i w:val="0"/>
          <w:iCs w:val="0"/>
          <w:color w:val="auto"/>
          <w:sz w:val="24"/>
          <w:szCs w:val="24"/>
          <w:highlight w:val="none"/>
          <w:lang w:val="en-US" w:eastAsia="zh-CN"/>
        </w:rPr>
      </w:pPr>
      <w:r>
        <w:rPr>
          <w:rFonts w:hint="default" w:ascii="Times New Roman" w:hAnsi="Times New Roman" w:cs="Times New Roman"/>
          <w:b w:val="0"/>
          <w:bCs w:val="0"/>
          <w:i w:val="0"/>
          <w:iCs w:val="0"/>
          <w:color w:val="auto"/>
          <w:sz w:val="24"/>
          <w:szCs w:val="24"/>
          <w:highlight w:val="none"/>
          <w:lang w:val="en-US" w:eastAsia="zh-CN"/>
        </w:rPr>
        <w:t>The three-dimensional structures of HMS, C6, C8, and C9 were obtained with ChemBioOffice Ultra 14.0. The MMFF94 protocol was used for ligand standardization and minimization, with the maximum number of iterations set to 5,000. The crystal structures of the ERα ligand-binding domain (PDB code 3ERT) and the PR ligand-binding domain (PDB code 1A28) were obtained from the Protein Data Bank. Molecular docking was performed with AutoDock 4 (Morris et al. 2009), as implemented in MGL Tools 1.5.7, using the Lamarckian genetic algorithm. Polar hydrogen atoms were added to the receptor and Kollman charges were assigned. Grid boxes were set to 40 × 40 × 40 Å with a spacing of 0.375 Å. PyMOL 2.3.2 and Discovery Studio 4.0 were used for analysis of the docking results.</w:t>
      </w:r>
    </w:p>
    <w:p w14:paraId="24F2F520">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Times New Roman" w:hAnsi="Times New Roman" w:cs="Times New Roman"/>
          <w:b w:val="0"/>
          <w:bCs w:val="0"/>
          <w:i w:val="0"/>
          <w:iCs w:val="0"/>
          <w:color w:val="auto"/>
          <w:sz w:val="24"/>
          <w:szCs w:val="24"/>
          <w:highlight w:val="none"/>
          <w:lang w:val="en-US" w:eastAsia="zh-CN"/>
        </w:rPr>
      </w:pPr>
    </w:p>
    <w:p w14:paraId="3B7CF2A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Times New Roman" w:hAnsi="Times New Roman" w:cs="Times New Roman"/>
          <w:b w:val="0"/>
          <w:bCs w:val="0"/>
          <w:i w:val="0"/>
          <w:iCs w:val="0"/>
          <w:color w:val="auto"/>
          <w:sz w:val="24"/>
          <w:szCs w:val="24"/>
          <w:highlight w:val="none"/>
          <w:lang w:val="en-US" w:eastAsia="zh-CN"/>
        </w:rPr>
        <w:sectPr>
          <w:pgSz w:w="11906" w:h="16838"/>
          <w:pgMar w:top="1440" w:right="1800" w:bottom="1440" w:left="1800" w:header="851" w:footer="992" w:gutter="0"/>
          <w:cols w:space="0" w:num="1"/>
          <w:rtlGutter w:val="0"/>
          <w:docGrid w:type="lines" w:linePitch="387" w:charSpace="0"/>
        </w:sectPr>
      </w:pPr>
    </w:p>
    <w:p w14:paraId="36241B78">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hint="eastAsia" w:ascii="Times New Roman" w:hAnsi="Times New Roman" w:cs="Times New Roman"/>
          <w:b/>
          <w:bCs/>
          <w:i w:val="0"/>
          <w:iCs w:val="0"/>
          <w:color w:val="auto"/>
          <w:sz w:val="24"/>
          <w:szCs w:val="24"/>
          <w:highlight w:val="none"/>
          <w:lang w:val="en-US" w:eastAsia="zh-CN"/>
        </w:rPr>
      </w:pPr>
      <w:r>
        <w:rPr>
          <w:rFonts w:hint="eastAsia" w:ascii="Times New Roman" w:hAnsi="Times New Roman" w:cs="Times New Roman"/>
          <w:b/>
          <w:bCs/>
          <w:i w:val="0"/>
          <w:iCs w:val="0"/>
          <w:color w:val="auto"/>
          <w:sz w:val="24"/>
          <w:szCs w:val="24"/>
          <w:highlight w:val="none"/>
          <w:lang w:val="en-US" w:eastAsia="zh-CN"/>
        </w:rPr>
        <w:t>Table S1. Prediction results of HMS skin sensitization based on VEGA 1.2.6</w:t>
      </w:r>
    </w:p>
    <w:tbl>
      <w:tblPr>
        <w:tblStyle w:val="10"/>
        <w:tblW w:w="103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34"/>
        <w:gridCol w:w="1730"/>
        <w:gridCol w:w="1940"/>
        <w:gridCol w:w="2190"/>
        <w:gridCol w:w="2460"/>
      </w:tblGrid>
      <w:tr w14:paraId="43235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 w:hRule="atLeast"/>
          <w:jc w:val="center"/>
        </w:trPr>
        <w:tc>
          <w:tcPr>
            <w:tcW w:w="2034" w:type="dxa"/>
            <w:tcBorders>
              <w:top w:val="single" w:color="auto" w:sz="4" w:space="0"/>
              <w:bottom w:val="single" w:color="auto" w:sz="4" w:space="0"/>
            </w:tcBorders>
            <w:vAlign w:val="center"/>
          </w:tcPr>
          <w:p w14:paraId="1DA99C98">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b/>
                <w:bCs/>
                <w:kern w:val="0"/>
                <w:sz w:val="21"/>
                <w:szCs w:val="21"/>
                <w:lang w:val="en-US" w:eastAsia="zh-CN" w:bidi="ar"/>
              </w:rPr>
              <w:t>Model</w:t>
            </w:r>
            <w:r>
              <w:rPr>
                <w:rFonts w:hint="eastAsia" w:ascii="Times New Roman" w:hAnsi="Times New Roman" w:eastAsia="宋体" w:cs="Times New Roman"/>
                <w:b/>
                <w:bCs/>
                <w:kern w:val="0"/>
                <w:sz w:val="21"/>
                <w:szCs w:val="21"/>
                <w:lang w:val="en-US" w:eastAsia="zh-CN" w:bidi="ar"/>
              </w:rPr>
              <w:t xml:space="preserve"> </w:t>
            </w:r>
            <w:r>
              <w:rPr>
                <w:rFonts w:hint="default" w:ascii="Times New Roman" w:hAnsi="Times New Roman" w:eastAsia="宋体" w:cs="Times New Roman"/>
                <w:b/>
                <w:bCs/>
                <w:kern w:val="0"/>
                <w:sz w:val="21"/>
                <w:szCs w:val="21"/>
                <w:lang w:val="en-US" w:eastAsia="zh-CN" w:bidi="ar"/>
              </w:rPr>
              <w:t>Methodology</w:t>
            </w:r>
          </w:p>
        </w:tc>
        <w:tc>
          <w:tcPr>
            <w:tcW w:w="1730" w:type="dxa"/>
            <w:tcBorders>
              <w:top w:val="single" w:color="auto" w:sz="4" w:space="0"/>
              <w:bottom w:val="single" w:color="auto" w:sz="4" w:space="0"/>
            </w:tcBorders>
            <w:vAlign w:val="center"/>
          </w:tcPr>
          <w:p w14:paraId="6CD574A6">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b/>
                <w:bCs/>
                <w:kern w:val="0"/>
                <w:sz w:val="21"/>
                <w:szCs w:val="21"/>
                <w:lang w:val="en-US" w:eastAsia="zh-CN" w:bidi="ar"/>
              </w:rPr>
              <w:t>Type</w:t>
            </w:r>
            <w:r>
              <w:rPr>
                <w:rFonts w:hint="eastAsia" w:ascii="Times New Roman" w:hAnsi="Times New Roman" w:eastAsia="宋体" w:cs="Times New Roman"/>
                <w:b/>
                <w:bCs/>
                <w:kern w:val="0"/>
                <w:sz w:val="21"/>
                <w:szCs w:val="21"/>
                <w:lang w:val="en-US" w:eastAsia="zh-CN" w:bidi="ar"/>
              </w:rPr>
              <w:t xml:space="preserve"> </w:t>
            </w:r>
            <w:r>
              <w:rPr>
                <w:rFonts w:hint="default" w:ascii="Times New Roman" w:hAnsi="Times New Roman" w:eastAsia="宋体" w:cs="Times New Roman"/>
                <w:b/>
                <w:bCs/>
                <w:kern w:val="0"/>
                <w:sz w:val="21"/>
                <w:szCs w:val="21"/>
                <w:lang w:val="en-US" w:eastAsia="zh-CN" w:bidi="ar"/>
              </w:rPr>
              <w:t>Prediction</w:t>
            </w:r>
          </w:p>
        </w:tc>
        <w:tc>
          <w:tcPr>
            <w:tcW w:w="1940" w:type="dxa"/>
            <w:tcBorders>
              <w:top w:val="single" w:color="auto" w:sz="4" w:space="0"/>
              <w:bottom w:val="single" w:color="auto" w:sz="4" w:space="0"/>
            </w:tcBorders>
            <w:vAlign w:val="center"/>
          </w:tcPr>
          <w:p w14:paraId="631D213E">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b/>
                <w:bCs/>
                <w:kern w:val="0"/>
                <w:sz w:val="21"/>
                <w:szCs w:val="21"/>
                <w:lang w:val="en-US" w:eastAsia="zh-CN" w:bidi="ar"/>
              </w:rPr>
              <w:t>Results</w:t>
            </w:r>
          </w:p>
        </w:tc>
        <w:tc>
          <w:tcPr>
            <w:tcW w:w="2190" w:type="dxa"/>
            <w:tcBorders>
              <w:top w:val="single" w:color="auto" w:sz="4" w:space="0"/>
              <w:bottom w:val="single" w:color="auto" w:sz="4" w:space="0"/>
            </w:tcBorders>
            <w:vAlign w:val="center"/>
          </w:tcPr>
          <w:p w14:paraId="7ABFCE6E">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b/>
                <w:bCs/>
                <w:kern w:val="0"/>
                <w:sz w:val="21"/>
                <w:szCs w:val="21"/>
                <w:lang w:val="en-US" w:eastAsia="zh-CN" w:bidi="ar"/>
              </w:rPr>
              <w:t>Reliability</w:t>
            </w:r>
          </w:p>
        </w:tc>
        <w:tc>
          <w:tcPr>
            <w:tcW w:w="2460" w:type="dxa"/>
            <w:tcBorders>
              <w:top w:val="single" w:color="auto" w:sz="4" w:space="0"/>
              <w:bottom w:val="single" w:color="auto" w:sz="4" w:space="0"/>
            </w:tcBorders>
            <w:vAlign w:val="center"/>
          </w:tcPr>
          <w:p w14:paraId="26394BA5">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b/>
                <w:bCs/>
                <w:kern w:val="0"/>
                <w:sz w:val="21"/>
                <w:szCs w:val="21"/>
                <w:lang w:val="en-US" w:eastAsia="zh-CN" w:bidi="ar"/>
              </w:rPr>
              <w:t>ADI</w:t>
            </w:r>
          </w:p>
        </w:tc>
      </w:tr>
      <w:tr w14:paraId="7A643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2034" w:type="dxa"/>
            <w:tcBorders>
              <w:top w:val="single" w:color="auto" w:sz="4" w:space="0"/>
            </w:tcBorders>
            <w:vAlign w:val="center"/>
          </w:tcPr>
          <w:p w14:paraId="7596FB07">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CAESAR</w:t>
            </w:r>
          </w:p>
        </w:tc>
        <w:tc>
          <w:tcPr>
            <w:tcW w:w="1730" w:type="dxa"/>
            <w:tcBorders>
              <w:top w:val="single" w:color="auto" w:sz="4" w:space="0"/>
            </w:tcBorders>
            <w:vAlign w:val="center"/>
          </w:tcPr>
          <w:p w14:paraId="36C615FB">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QSAR statistics</w:t>
            </w:r>
          </w:p>
        </w:tc>
        <w:tc>
          <w:tcPr>
            <w:tcW w:w="1940" w:type="dxa"/>
            <w:tcBorders>
              <w:top w:val="single" w:color="auto" w:sz="4" w:space="0"/>
            </w:tcBorders>
            <w:vAlign w:val="center"/>
          </w:tcPr>
          <w:p w14:paraId="21063B55">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Sensitizer</w:t>
            </w:r>
          </w:p>
        </w:tc>
        <w:tc>
          <w:tcPr>
            <w:tcW w:w="2190" w:type="dxa"/>
            <w:tcBorders>
              <w:top w:val="single" w:color="auto" w:sz="4" w:space="0"/>
            </w:tcBorders>
            <w:vAlign w:val="center"/>
          </w:tcPr>
          <w:p w14:paraId="517D74C7">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MODERATE</w:t>
            </w:r>
          </w:p>
        </w:tc>
        <w:tc>
          <w:tcPr>
            <w:tcW w:w="2460" w:type="dxa"/>
            <w:tcBorders>
              <w:top w:val="single" w:color="auto" w:sz="4" w:space="0"/>
            </w:tcBorders>
            <w:vAlign w:val="center"/>
          </w:tcPr>
          <w:p w14:paraId="33F422E9">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0.773</w:t>
            </w:r>
          </w:p>
        </w:tc>
      </w:tr>
      <w:tr w14:paraId="0C6FB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2034" w:type="dxa"/>
            <w:vAlign w:val="center"/>
          </w:tcPr>
          <w:p w14:paraId="44557648">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IRFMN-JRC</w:t>
            </w:r>
          </w:p>
        </w:tc>
        <w:tc>
          <w:tcPr>
            <w:tcW w:w="1730" w:type="dxa"/>
            <w:vAlign w:val="center"/>
          </w:tcPr>
          <w:p w14:paraId="12E46D23">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QSAR statistics</w:t>
            </w:r>
          </w:p>
        </w:tc>
        <w:tc>
          <w:tcPr>
            <w:tcW w:w="1940" w:type="dxa"/>
            <w:vAlign w:val="center"/>
          </w:tcPr>
          <w:p w14:paraId="51E977A1">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NON-Sensitizer</w:t>
            </w:r>
          </w:p>
        </w:tc>
        <w:tc>
          <w:tcPr>
            <w:tcW w:w="2190" w:type="dxa"/>
            <w:vAlign w:val="center"/>
          </w:tcPr>
          <w:p w14:paraId="720394E9">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LOW</w:t>
            </w:r>
          </w:p>
        </w:tc>
        <w:tc>
          <w:tcPr>
            <w:tcW w:w="2460" w:type="dxa"/>
            <w:vAlign w:val="center"/>
          </w:tcPr>
          <w:p w14:paraId="37DCBA3A">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0（out-of-domain invalid）</w:t>
            </w:r>
          </w:p>
        </w:tc>
      </w:tr>
      <w:tr w14:paraId="7055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jc w:val="center"/>
        </w:trPr>
        <w:tc>
          <w:tcPr>
            <w:tcW w:w="2034" w:type="dxa"/>
            <w:vAlign w:val="center"/>
          </w:tcPr>
          <w:p w14:paraId="1016610F">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NCSTOX</w:t>
            </w:r>
          </w:p>
        </w:tc>
        <w:tc>
          <w:tcPr>
            <w:tcW w:w="1730" w:type="dxa"/>
            <w:vAlign w:val="center"/>
          </w:tcPr>
          <w:p w14:paraId="335A0420">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Consensus</w:t>
            </w:r>
          </w:p>
        </w:tc>
        <w:tc>
          <w:tcPr>
            <w:tcW w:w="1940" w:type="dxa"/>
            <w:vAlign w:val="center"/>
          </w:tcPr>
          <w:p w14:paraId="4D85DA2E">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Sensitizer</w:t>
            </w:r>
          </w:p>
        </w:tc>
        <w:tc>
          <w:tcPr>
            <w:tcW w:w="2190" w:type="dxa"/>
            <w:vAlign w:val="center"/>
          </w:tcPr>
          <w:p w14:paraId="16C3D2A2">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MODERATE/Low</w:t>
            </w:r>
          </w:p>
        </w:tc>
        <w:tc>
          <w:tcPr>
            <w:tcW w:w="2460" w:type="dxa"/>
            <w:vAlign w:val="center"/>
          </w:tcPr>
          <w:p w14:paraId="296D844C">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0.674</w:t>
            </w:r>
          </w:p>
        </w:tc>
      </w:tr>
      <w:tr w14:paraId="6DBD6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jc w:val="center"/>
        </w:trPr>
        <w:tc>
          <w:tcPr>
            <w:tcW w:w="2034" w:type="dxa"/>
            <w:vAlign w:val="center"/>
          </w:tcPr>
          <w:p w14:paraId="3B9C49DE">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CONCERT/Kode</w:t>
            </w:r>
          </w:p>
        </w:tc>
        <w:tc>
          <w:tcPr>
            <w:tcW w:w="1730" w:type="dxa"/>
            <w:vAlign w:val="center"/>
          </w:tcPr>
          <w:p w14:paraId="7C4D873B">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Fragment</w:t>
            </w:r>
          </w:p>
        </w:tc>
        <w:tc>
          <w:tcPr>
            <w:tcW w:w="1940" w:type="dxa"/>
            <w:vAlign w:val="center"/>
          </w:tcPr>
          <w:p w14:paraId="3ADE83B4">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Active</w:t>
            </w:r>
          </w:p>
        </w:tc>
        <w:tc>
          <w:tcPr>
            <w:tcW w:w="2190" w:type="dxa"/>
            <w:vAlign w:val="center"/>
          </w:tcPr>
          <w:p w14:paraId="3F06ACFE">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MODERATE</w:t>
            </w:r>
          </w:p>
        </w:tc>
        <w:tc>
          <w:tcPr>
            <w:tcW w:w="2460" w:type="dxa"/>
            <w:vAlign w:val="center"/>
          </w:tcPr>
          <w:p w14:paraId="08C21073">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0.855</w:t>
            </w:r>
          </w:p>
        </w:tc>
      </w:tr>
      <w:tr w14:paraId="109F3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 w:hRule="atLeast"/>
          <w:jc w:val="center"/>
        </w:trPr>
        <w:tc>
          <w:tcPr>
            <w:tcW w:w="2034" w:type="dxa"/>
            <w:vAlign w:val="center"/>
          </w:tcPr>
          <w:p w14:paraId="21536D75">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CONCERT/SarPy</w:t>
            </w:r>
          </w:p>
        </w:tc>
        <w:tc>
          <w:tcPr>
            <w:tcW w:w="1730" w:type="dxa"/>
            <w:vAlign w:val="center"/>
          </w:tcPr>
          <w:p w14:paraId="3A1D644F">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SAR rules</w:t>
            </w:r>
          </w:p>
        </w:tc>
        <w:tc>
          <w:tcPr>
            <w:tcW w:w="1940" w:type="dxa"/>
            <w:vAlign w:val="center"/>
          </w:tcPr>
          <w:p w14:paraId="56C39E5F">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Active</w:t>
            </w:r>
          </w:p>
        </w:tc>
        <w:tc>
          <w:tcPr>
            <w:tcW w:w="2190" w:type="dxa"/>
            <w:vAlign w:val="center"/>
          </w:tcPr>
          <w:p w14:paraId="151DD848">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LOW</w:t>
            </w:r>
          </w:p>
        </w:tc>
        <w:tc>
          <w:tcPr>
            <w:tcW w:w="2460" w:type="dxa"/>
            <w:vAlign w:val="center"/>
          </w:tcPr>
          <w:p w14:paraId="631C48D0">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0.642</w:t>
            </w:r>
          </w:p>
        </w:tc>
      </w:tr>
      <w:tr w14:paraId="09FBC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jc w:val="center"/>
        </w:trPr>
        <w:tc>
          <w:tcPr>
            <w:tcW w:w="2034" w:type="dxa"/>
            <w:tcBorders>
              <w:bottom w:val="single" w:color="auto" w:sz="4" w:space="0"/>
            </w:tcBorders>
            <w:vAlign w:val="center"/>
          </w:tcPr>
          <w:p w14:paraId="778C0C2B">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TOXTREE</w:t>
            </w:r>
          </w:p>
        </w:tc>
        <w:tc>
          <w:tcPr>
            <w:tcW w:w="1730" w:type="dxa"/>
            <w:tcBorders>
              <w:bottom w:val="single" w:color="auto" w:sz="4" w:space="0"/>
            </w:tcBorders>
            <w:vAlign w:val="center"/>
          </w:tcPr>
          <w:p w14:paraId="4780B986">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SAR rules</w:t>
            </w:r>
          </w:p>
        </w:tc>
        <w:tc>
          <w:tcPr>
            <w:tcW w:w="1940" w:type="dxa"/>
            <w:tcBorders>
              <w:bottom w:val="single" w:color="auto" w:sz="4" w:space="0"/>
            </w:tcBorders>
            <w:vAlign w:val="center"/>
          </w:tcPr>
          <w:p w14:paraId="4F983028">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No class found</w:t>
            </w:r>
          </w:p>
        </w:tc>
        <w:tc>
          <w:tcPr>
            <w:tcW w:w="2190" w:type="dxa"/>
            <w:tcBorders>
              <w:bottom w:val="single" w:color="auto" w:sz="4" w:space="0"/>
            </w:tcBorders>
            <w:vAlign w:val="center"/>
          </w:tcPr>
          <w:p w14:paraId="329A809D">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w:t>
            </w:r>
          </w:p>
        </w:tc>
        <w:tc>
          <w:tcPr>
            <w:tcW w:w="2460" w:type="dxa"/>
            <w:tcBorders>
              <w:bottom w:val="single" w:color="auto" w:sz="4" w:space="0"/>
            </w:tcBorders>
            <w:vAlign w:val="center"/>
          </w:tcPr>
          <w:p w14:paraId="3AF28780">
            <w:pPr>
              <w:keepNext w:val="0"/>
              <w:keepLines w:val="0"/>
              <w:pageBreakBefore w:val="0"/>
              <w:widowControl/>
              <w:suppressLineNumbers w:val="0"/>
              <w:kinsoku/>
              <w:wordWrap/>
              <w:overflowPunct/>
              <w:topLinePunct w:val="0"/>
              <w:autoSpaceDE/>
              <w:autoSpaceDN/>
              <w:bidi w:val="0"/>
              <w:adjustRightInd/>
              <w:snapToGrid/>
              <w:spacing w:line="480" w:lineRule="auto"/>
              <w:jc w:val="center"/>
              <w:rPr>
                <w:rFonts w:hint="default" w:ascii="Times New Roman" w:hAnsi="Times New Roman" w:eastAsia="宋体"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kern w:val="0"/>
                <w:sz w:val="21"/>
                <w:szCs w:val="21"/>
                <w:lang w:val="en-US" w:eastAsia="zh-CN" w:bidi="ar"/>
              </w:rPr>
              <w:t>ADI check failed</w:t>
            </w:r>
          </w:p>
        </w:tc>
      </w:tr>
    </w:tbl>
    <w:p w14:paraId="64F6BF6C">
      <w:pPr>
        <w:spacing w:before="0" w:after="120" w:line="360" w:lineRule="auto"/>
      </w:pPr>
      <w:r>
        <w:rPr>
          <w:rFonts w:ascii="Times New Roman" w:hAnsi="Times New Roman" w:eastAsia="Times New Roman"/>
          <w:b/>
          <w:bCs/>
          <w:sz w:val="22"/>
        </w:rPr>
        <w:t>Note:</w:t>
      </w:r>
      <w:r>
        <w:rPr>
          <w:rFonts w:ascii="Times New Roman" w:hAnsi="Times New Roman" w:eastAsia="Times New Roman"/>
          <w:sz w:val="22"/>
        </w:rPr>
        <w:t xml:space="preserve"> ADI, applicability domain index (VEGA); higher ADI values indicate greater confidence in the prediction. The IRFMN-JRC prediction was considered invalid because HMS was outside the model's applicability domain.</w:t>
      </w:r>
    </w:p>
    <w:p w14:paraId="424FB7E8">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hint="eastAsia" w:ascii="Times New Roman" w:hAnsi="Times New Roman" w:cs="Times New Roman"/>
          <w:b/>
          <w:bCs/>
          <w:i w:val="0"/>
          <w:iCs w:val="0"/>
          <w:color w:val="auto"/>
          <w:sz w:val="24"/>
          <w:szCs w:val="24"/>
          <w:highlight w:val="none"/>
          <w:lang w:val="en-US" w:eastAsia="zh-CN"/>
        </w:rPr>
      </w:pPr>
    </w:p>
    <w:p w14:paraId="3D870F98">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Times New Roman" w:hAnsi="Times New Roman" w:cs="Times New Roman"/>
          <w:b/>
          <w:bCs/>
          <w:i w:val="0"/>
          <w:iCs w:val="0"/>
          <w:color w:val="auto"/>
          <w:sz w:val="24"/>
          <w:szCs w:val="24"/>
          <w:highlight w:val="none"/>
          <w:lang w:val="en-US" w:eastAsia="zh-CN"/>
        </w:rPr>
        <w:sectPr>
          <w:pgSz w:w="11906" w:h="16838"/>
          <w:pgMar w:top="1440" w:right="1800" w:bottom="1440" w:left="1800" w:header="851" w:footer="992" w:gutter="0"/>
          <w:cols w:space="0" w:num="1"/>
          <w:rtlGutter w:val="0"/>
          <w:docGrid w:type="lines" w:linePitch="387" w:charSpace="0"/>
        </w:sectPr>
      </w:pPr>
    </w:p>
    <w:p w14:paraId="67798F8C">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b w:val="0"/>
          <w:bCs w:val="0"/>
          <w:i w:val="0"/>
          <w:iCs w:val="0"/>
          <w:color w:val="auto"/>
          <w:sz w:val="24"/>
          <w:szCs w:val="24"/>
          <w:highlight w:val="none"/>
          <w:lang w:val="en-US" w:eastAsia="zh-CN"/>
        </w:rPr>
      </w:pPr>
      <w:r>
        <w:rPr>
          <w:rFonts w:hint="eastAsia" w:ascii="Times New Roman" w:hAnsi="Times New Roman" w:cs="Times New Roman"/>
          <w:b/>
          <w:bCs/>
          <w:i w:val="0"/>
          <w:iCs w:val="0"/>
          <w:color w:val="auto"/>
          <w:sz w:val="24"/>
          <w:szCs w:val="24"/>
          <w:highlight w:val="none"/>
          <w:lang w:val="en-US" w:eastAsia="zh-CN"/>
        </w:rPr>
        <w:t>Table S2. Prediction results of Phase I metabolites of HMS based on BioTransformer</w:t>
      </w:r>
    </w:p>
    <w:tbl>
      <w:tblPr>
        <w:tblStyle w:val="10"/>
        <w:tblW w:w="15199"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8"/>
        <w:gridCol w:w="1921"/>
        <w:gridCol w:w="1238"/>
        <w:gridCol w:w="762"/>
        <w:gridCol w:w="900"/>
        <w:gridCol w:w="838"/>
        <w:gridCol w:w="2912"/>
        <w:gridCol w:w="2313"/>
        <w:gridCol w:w="1275"/>
        <w:gridCol w:w="2142"/>
      </w:tblGrid>
      <w:tr w14:paraId="6BCE65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blHeader/>
          <w:jc w:val="center"/>
        </w:trPr>
        <w:tc>
          <w:tcPr>
            <w:tcW w:w="898" w:type="dxa"/>
            <w:tcBorders>
              <w:bottom w:val="single" w:color="auto" w:sz="4" w:space="0"/>
            </w:tcBorders>
            <w:vAlign w:val="center"/>
          </w:tcPr>
          <w:p w14:paraId="0DB623C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i w:val="0"/>
                <w:iCs w:val="0"/>
                <w:color w:val="auto"/>
                <w:sz w:val="21"/>
                <w:szCs w:val="21"/>
                <w:highlight w:val="none"/>
                <w:vertAlign w:val="baseline"/>
                <w:lang w:val="en-US" w:eastAsia="zh-CN"/>
              </w:rPr>
            </w:pPr>
            <w:r>
              <w:rPr>
                <w:rFonts w:hint="default" w:ascii="Times New Roman" w:hAnsi="Times New Roman" w:cs="Times New Roman"/>
                <w:b/>
                <w:bCs/>
                <w:i w:val="0"/>
                <w:iCs w:val="0"/>
                <w:color w:val="auto"/>
                <w:sz w:val="21"/>
                <w:szCs w:val="21"/>
                <w:highlight w:val="none"/>
                <w:vertAlign w:val="baseline"/>
                <w:lang w:val="en-US" w:eastAsia="zh-CN"/>
              </w:rPr>
              <w:t>Compound</w:t>
            </w:r>
          </w:p>
        </w:tc>
        <w:tc>
          <w:tcPr>
            <w:tcW w:w="1921" w:type="dxa"/>
            <w:tcBorders>
              <w:bottom w:val="single" w:color="auto" w:sz="4" w:space="0"/>
            </w:tcBorders>
            <w:vAlign w:val="center"/>
          </w:tcPr>
          <w:p w14:paraId="7E9F9060">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i w:val="0"/>
                <w:iCs w:val="0"/>
                <w:color w:val="auto"/>
                <w:sz w:val="21"/>
                <w:szCs w:val="21"/>
                <w:highlight w:val="none"/>
                <w:vertAlign w:val="baseline"/>
                <w:lang w:val="en-US" w:eastAsia="zh-CN"/>
              </w:rPr>
            </w:pPr>
            <w:r>
              <w:rPr>
                <w:rFonts w:hint="default" w:ascii="Times New Roman" w:hAnsi="Times New Roman" w:cs="Times New Roman"/>
                <w:b/>
                <w:bCs/>
                <w:i w:val="0"/>
                <w:iCs w:val="0"/>
                <w:color w:val="auto"/>
                <w:sz w:val="21"/>
                <w:szCs w:val="21"/>
                <w:highlight w:val="none"/>
                <w:vertAlign w:val="baseline"/>
                <w:lang w:val="en-US" w:eastAsia="zh-CN"/>
              </w:rPr>
              <w:t>SMILES</w:t>
            </w:r>
          </w:p>
        </w:tc>
        <w:tc>
          <w:tcPr>
            <w:tcW w:w="1238" w:type="dxa"/>
            <w:tcBorders>
              <w:bottom w:val="single" w:color="auto" w:sz="4" w:space="0"/>
            </w:tcBorders>
            <w:vAlign w:val="center"/>
          </w:tcPr>
          <w:p w14:paraId="624D79BA">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i w:val="0"/>
                <w:iCs w:val="0"/>
                <w:color w:val="auto"/>
                <w:sz w:val="21"/>
                <w:szCs w:val="21"/>
                <w:highlight w:val="none"/>
                <w:vertAlign w:val="baseline"/>
                <w:lang w:val="en-US" w:eastAsia="zh-CN"/>
              </w:rPr>
            </w:pPr>
            <w:r>
              <w:rPr>
                <w:rFonts w:hint="default" w:ascii="Times New Roman" w:hAnsi="Times New Roman" w:cs="Times New Roman"/>
                <w:b/>
                <w:bCs/>
                <w:i w:val="0"/>
                <w:iCs w:val="0"/>
                <w:color w:val="auto"/>
                <w:sz w:val="21"/>
                <w:szCs w:val="21"/>
                <w:highlight w:val="none"/>
                <w:vertAlign w:val="baseline"/>
                <w:lang w:val="en-US" w:eastAsia="zh-CN"/>
              </w:rPr>
              <w:t>Molecular formula</w:t>
            </w:r>
          </w:p>
        </w:tc>
        <w:tc>
          <w:tcPr>
            <w:tcW w:w="762" w:type="dxa"/>
            <w:tcBorders>
              <w:bottom w:val="single" w:color="auto" w:sz="4" w:space="0"/>
            </w:tcBorders>
            <w:vAlign w:val="center"/>
          </w:tcPr>
          <w:p w14:paraId="08CECB80">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b/>
                <w:bCs/>
                <w:i w:val="0"/>
                <w:iCs w:val="0"/>
                <w:color w:val="000000"/>
                <w:kern w:val="0"/>
                <w:sz w:val="21"/>
                <w:szCs w:val="21"/>
                <w:u w:val="none"/>
                <w:lang w:val="en-US" w:eastAsia="zh-CN" w:bidi="ar"/>
              </w:rPr>
              <w:t>Mass</w:t>
            </w:r>
          </w:p>
        </w:tc>
        <w:tc>
          <w:tcPr>
            <w:tcW w:w="900" w:type="dxa"/>
            <w:tcBorders>
              <w:bottom w:val="single" w:color="auto" w:sz="4" w:space="0"/>
            </w:tcBorders>
            <w:vAlign w:val="center"/>
          </w:tcPr>
          <w:p w14:paraId="69CEEECD">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b/>
                <w:bCs/>
                <w:i w:val="0"/>
                <w:iCs w:val="0"/>
                <w:color w:val="000000"/>
                <w:kern w:val="0"/>
                <w:sz w:val="21"/>
                <w:szCs w:val="21"/>
                <w:u w:val="none"/>
                <w:lang w:val="en-US" w:eastAsia="zh-CN" w:bidi="ar"/>
              </w:rPr>
              <w:t>ALogP</w:t>
            </w:r>
          </w:p>
        </w:tc>
        <w:tc>
          <w:tcPr>
            <w:tcW w:w="838" w:type="dxa"/>
            <w:tcBorders>
              <w:bottom w:val="single" w:color="auto" w:sz="4" w:space="0"/>
            </w:tcBorders>
            <w:vAlign w:val="center"/>
          </w:tcPr>
          <w:p w14:paraId="2724103D">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Biosystem</w:t>
            </w:r>
          </w:p>
        </w:tc>
        <w:tc>
          <w:tcPr>
            <w:tcW w:w="2912" w:type="dxa"/>
            <w:tcBorders>
              <w:bottom w:val="single" w:color="auto" w:sz="4" w:space="0"/>
            </w:tcBorders>
            <w:vAlign w:val="center"/>
          </w:tcPr>
          <w:p w14:paraId="4CE53757">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Enzyme(s)</w:t>
            </w:r>
          </w:p>
        </w:tc>
        <w:tc>
          <w:tcPr>
            <w:tcW w:w="2313" w:type="dxa"/>
            <w:tcBorders>
              <w:bottom w:val="single" w:color="auto" w:sz="4" w:space="0"/>
            </w:tcBorders>
            <w:vAlign w:val="center"/>
          </w:tcPr>
          <w:p w14:paraId="453EFF52">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Reaction</w:t>
            </w:r>
          </w:p>
        </w:tc>
        <w:tc>
          <w:tcPr>
            <w:tcW w:w="1275" w:type="dxa"/>
            <w:tcBorders>
              <w:bottom w:val="single" w:color="auto" w:sz="4" w:space="0"/>
            </w:tcBorders>
            <w:vAlign w:val="center"/>
          </w:tcPr>
          <w:p w14:paraId="6B8338B8">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Precursor</w:t>
            </w:r>
          </w:p>
        </w:tc>
        <w:tc>
          <w:tcPr>
            <w:tcW w:w="2142" w:type="dxa"/>
            <w:tcBorders>
              <w:bottom w:val="single" w:color="auto" w:sz="4" w:space="0"/>
            </w:tcBorders>
            <w:vAlign w:val="center"/>
          </w:tcPr>
          <w:p w14:paraId="36F3DED1">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Structure</w:t>
            </w:r>
          </w:p>
        </w:tc>
      </w:tr>
      <w:tr w14:paraId="119E12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898" w:type="dxa"/>
            <w:tcBorders>
              <w:top w:val="single" w:color="auto" w:sz="4" w:space="0"/>
            </w:tcBorders>
            <w:vAlign w:val="center"/>
          </w:tcPr>
          <w:p w14:paraId="2CAD5105">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cs="Times New Roman"/>
                <w:b w:val="0"/>
                <w:bCs w:val="0"/>
                <w:i w:val="0"/>
                <w:iCs w:val="0"/>
                <w:color w:val="auto"/>
                <w:sz w:val="21"/>
                <w:szCs w:val="21"/>
                <w:highlight w:val="none"/>
                <w:vertAlign w:val="baseline"/>
                <w:lang w:val="en-US" w:eastAsia="zh-CN"/>
              </w:rPr>
              <w:t>C1</w:t>
            </w:r>
          </w:p>
        </w:tc>
        <w:tc>
          <w:tcPr>
            <w:tcW w:w="1921" w:type="dxa"/>
            <w:tcBorders>
              <w:top w:val="single" w:color="auto" w:sz="4" w:space="0"/>
            </w:tcBorders>
            <w:vAlign w:val="center"/>
          </w:tcPr>
          <w:p w14:paraId="29B8C860">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O=C(OC1CC(C)CC(C)(C)C1)C=2C=C(C=CC2O)O</w:t>
            </w:r>
          </w:p>
        </w:tc>
        <w:tc>
          <w:tcPr>
            <w:tcW w:w="1238" w:type="dxa"/>
            <w:tcBorders>
              <w:top w:val="single" w:color="auto" w:sz="4" w:space="0"/>
            </w:tcBorders>
            <w:vAlign w:val="center"/>
          </w:tcPr>
          <w:p w14:paraId="7D9D08A1">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C16H22O4</w:t>
            </w:r>
          </w:p>
        </w:tc>
        <w:tc>
          <w:tcPr>
            <w:tcW w:w="762" w:type="dxa"/>
            <w:tcBorders>
              <w:top w:val="single" w:color="auto" w:sz="4" w:space="0"/>
            </w:tcBorders>
            <w:vAlign w:val="center"/>
          </w:tcPr>
          <w:p w14:paraId="68084E8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278.1518</w:t>
            </w:r>
          </w:p>
        </w:tc>
        <w:tc>
          <w:tcPr>
            <w:tcW w:w="900" w:type="dxa"/>
            <w:tcBorders>
              <w:top w:val="single" w:color="auto" w:sz="4" w:space="0"/>
            </w:tcBorders>
            <w:vAlign w:val="center"/>
          </w:tcPr>
          <w:p w14:paraId="026895D9">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3.7187</w:t>
            </w:r>
          </w:p>
        </w:tc>
        <w:tc>
          <w:tcPr>
            <w:tcW w:w="838" w:type="dxa"/>
            <w:tcBorders>
              <w:top w:val="single" w:color="auto" w:sz="4" w:space="0"/>
            </w:tcBorders>
            <w:vAlign w:val="center"/>
          </w:tcPr>
          <w:p w14:paraId="67C94FF0">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Human</w:t>
            </w:r>
          </w:p>
        </w:tc>
        <w:tc>
          <w:tcPr>
            <w:tcW w:w="2912" w:type="dxa"/>
            <w:tcBorders>
              <w:top w:val="single" w:color="auto" w:sz="4" w:space="0"/>
            </w:tcBorders>
            <w:vAlign w:val="center"/>
          </w:tcPr>
          <w:p w14:paraId="4BB3CF3F">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CYP1A2; CYP2A6; CYP2B6; CYP2C8; CYP2C9; CYP2C19; CYP2D6; CYP2E1; CYP3A4</w:t>
            </w:r>
          </w:p>
        </w:tc>
        <w:tc>
          <w:tcPr>
            <w:tcW w:w="2313" w:type="dxa"/>
            <w:tcBorders>
              <w:top w:val="single" w:color="auto" w:sz="4" w:space="0"/>
            </w:tcBorders>
            <w:vAlign w:val="center"/>
          </w:tcPr>
          <w:p w14:paraId="519A395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p-Hydroxylation of phenol</w:t>
            </w:r>
          </w:p>
        </w:tc>
        <w:tc>
          <w:tcPr>
            <w:tcW w:w="1275" w:type="dxa"/>
            <w:tcBorders>
              <w:top w:val="single" w:color="auto" w:sz="4" w:space="0"/>
            </w:tcBorders>
            <w:vAlign w:val="center"/>
          </w:tcPr>
          <w:p w14:paraId="1B1B8615">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Homosalate</w:t>
            </w:r>
          </w:p>
        </w:tc>
        <w:tc>
          <w:tcPr>
            <w:tcW w:w="2142" w:type="dxa"/>
            <w:tcBorders>
              <w:top w:val="single" w:color="auto" w:sz="4" w:space="0"/>
            </w:tcBorders>
            <w:vAlign w:val="center"/>
          </w:tcPr>
          <w:p w14:paraId="7137DD26">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drawing>
                <wp:inline distT="0" distB="0" distL="114300" distR="114300">
                  <wp:extent cx="1185545" cy="683895"/>
                  <wp:effectExtent l="0" t="0" r="14605"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1185545" cy="683895"/>
                          </a:xfrm>
                          <a:prstGeom prst="rect">
                            <a:avLst/>
                          </a:prstGeom>
                          <a:noFill/>
                          <a:ln>
                            <a:noFill/>
                          </a:ln>
                        </pic:spPr>
                      </pic:pic>
                    </a:graphicData>
                  </a:graphic>
                </wp:inline>
              </w:drawing>
            </w:r>
          </w:p>
        </w:tc>
      </w:tr>
      <w:tr w14:paraId="2B348B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898" w:type="dxa"/>
            <w:vAlign w:val="center"/>
          </w:tcPr>
          <w:p w14:paraId="604314B3">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cs="Times New Roman"/>
                <w:b w:val="0"/>
                <w:bCs w:val="0"/>
                <w:i w:val="0"/>
                <w:iCs w:val="0"/>
                <w:color w:val="auto"/>
                <w:sz w:val="21"/>
                <w:szCs w:val="21"/>
                <w:highlight w:val="none"/>
                <w:vertAlign w:val="baseline"/>
                <w:lang w:val="en-US" w:eastAsia="zh-CN"/>
              </w:rPr>
              <w:t>C2</w:t>
            </w:r>
          </w:p>
        </w:tc>
        <w:tc>
          <w:tcPr>
            <w:tcW w:w="1921" w:type="dxa"/>
            <w:vAlign w:val="center"/>
          </w:tcPr>
          <w:p w14:paraId="60ED68E1">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O=C(OC1C(C(C)CC(C)(C)C1)O)C=2C=CC=CC2O</w:t>
            </w:r>
          </w:p>
        </w:tc>
        <w:tc>
          <w:tcPr>
            <w:tcW w:w="1238" w:type="dxa"/>
            <w:vAlign w:val="center"/>
          </w:tcPr>
          <w:p w14:paraId="1D972896">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C16H22O4</w:t>
            </w:r>
          </w:p>
        </w:tc>
        <w:tc>
          <w:tcPr>
            <w:tcW w:w="762" w:type="dxa"/>
            <w:vAlign w:val="center"/>
          </w:tcPr>
          <w:p w14:paraId="4C96B62C">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278.1518</w:t>
            </w:r>
          </w:p>
        </w:tc>
        <w:tc>
          <w:tcPr>
            <w:tcW w:w="900" w:type="dxa"/>
            <w:vAlign w:val="center"/>
          </w:tcPr>
          <w:p w14:paraId="54AB4F82">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3.0867</w:t>
            </w:r>
          </w:p>
        </w:tc>
        <w:tc>
          <w:tcPr>
            <w:tcW w:w="838" w:type="dxa"/>
            <w:vAlign w:val="center"/>
          </w:tcPr>
          <w:p w14:paraId="6EB92127">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Human</w:t>
            </w:r>
          </w:p>
        </w:tc>
        <w:tc>
          <w:tcPr>
            <w:tcW w:w="2912" w:type="dxa"/>
            <w:vAlign w:val="center"/>
          </w:tcPr>
          <w:p w14:paraId="1C20E7B7">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CYP1A2; CYP2C8; CYP2C9; CYP2C19; CYP2D6; CYP3A4</w:t>
            </w:r>
          </w:p>
        </w:tc>
        <w:tc>
          <w:tcPr>
            <w:tcW w:w="2313" w:type="dxa"/>
            <w:vAlign w:val="center"/>
          </w:tcPr>
          <w:p w14:paraId="1230F9F0">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Hydroxylation of alicyclic secondary carbon</w:t>
            </w:r>
          </w:p>
        </w:tc>
        <w:tc>
          <w:tcPr>
            <w:tcW w:w="1275" w:type="dxa"/>
            <w:vAlign w:val="center"/>
          </w:tcPr>
          <w:p w14:paraId="58D44A66">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Homosalate</w:t>
            </w:r>
          </w:p>
        </w:tc>
        <w:tc>
          <w:tcPr>
            <w:tcW w:w="2142" w:type="dxa"/>
            <w:vAlign w:val="center"/>
          </w:tcPr>
          <w:p w14:paraId="38761CF3">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drawing>
                <wp:inline distT="0" distB="0" distL="114300" distR="114300">
                  <wp:extent cx="992505" cy="720090"/>
                  <wp:effectExtent l="0" t="0" r="17145"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992505" cy="720090"/>
                          </a:xfrm>
                          <a:prstGeom prst="rect">
                            <a:avLst/>
                          </a:prstGeom>
                          <a:noFill/>
                          <a:ln>
                            <a:noFill/>
                          </a:ln>
                        </pic:spPr>
                      </pic:pic>
                    </a:graphicData>
                  </a:graphic>
                </wp:inline>
              </w:drawing>
            </w:r>
          </w:p>
        </w:tc>
      </w:tr>
      <w:tr w14:paraId="6C1C5C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898" w:type="dxa"/>
            <w:vAlign w:val="center"/>
          </w:tcPr>
          <w:p w14:paraId="3443DDE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cs="Times New Roman"/>
                <w:b w:val="0"/>
                <w:bCs w:val="0"/>
                <w:i w:val="0"/>
                <w:iCs w:val="0"/>
                <w:color w:val="auto"/>
                <w:sz w:val="21"/>
                <w:szCs w:val="21"/>
                <w:highlight w:val="none"/>
                <w:vertAlign w:val="baseline"/>
                <w:lang w:val="en-US" w:eastAsia="zh-CN"/>
              </w:rPr>
              <w:t>C3</w:t>
            </w:r>
          </w:p>
        </w:tc>
        <w:tc>
          <w:tcPr>
            <w:tcW w:w="1921" w:type="dxa"/>
            <w:vAlign w:val="center"/>
          </w:tcPr>
          <w:p w14:paraId="51ADB08C">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O=C(OC1CC(C)C(C(C)(C)C1)O)C=2C=CC=CC2O</w:t>
            </w:r>
          </w:p>
        </w:tc>
        <w:tc>
          <w:tcPr>
            <w:tcW w:w="1238" w:type="dxa"/>
            <w:vAlign w:val="center"/>
          </w:tcPr>
          <w:p w14:paraId="7F4D3335">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C16H22O4</w:t>
            </w:r>
          </w:p>
        </w:tc>
        <w:tc>
          <w:tcPr>
            <w:tcW w:w="762" w:type="dxa"/>
            <w:vAlign w:val="center"/>
          </w:tcPr>
          <w:p w14:paraId="02ACFF0D">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278.1518</w:t>
            </w:r>
          </w:p>
        </w:tc>
        <w:tc>
          <w:tcPr>
            <w:tcW w:w="900" w:type="dxa"/>
            <w:vAlign w:val="center"/>
          </w:tcPr>
          <w:p w14:paraId="38642C77">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2.9517</w:t>
            </w:r>
          </w:p>
        </w:tc>
        <w:tc>
          <w:tcPr>
            <w:tcW w:w="838" w:type="dxa"/>
            <w:vAlign w:val="center"/>
          </w:tcPr>
          <w:p w14:paraId="00CEC775">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Human</w:t>
            </w:r>
          </w:p>
        </w:tc>
        <w:tc>
          <w:tcPr>
            <w:tcW w:w="2912" w:type="dxa"/>
            <w:vAlign w:val="center"/>
          </w:tcPr>
          <w:p w14:paraId="5EC045B8">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CYP1A2; CYP2C8; CYP2C9; CYP2C19; CYP2D6; CYP3A4</w:t>
            </w:r>
          </w:p>
        </w:tc>
        <w:tc>
          <w:tcPr>
            <w:tcW w:w="2313" w:type="dxa"/>
            <w:vAlign w:val="center"/>
          </w:tcPr>
          <w:p w14:paraId="5D16DF20">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Hydroxylation of alicyclic secondary carbon</w:t>
            </w:r>
          </w:p>
        </w:tc>
        <w:tc>
          <w:tcPr>
            <w:tcW w:w="1275" w:type="dxa"/>
            <w:vAlign w:val="center"/>
          </w:tcPr>
          <w:p w14:paraId="6F33759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Homosalate</w:t>
            </w:r>
          </w:p>
        </w:tc>
        <w:tc>
          <w:tcPr>
            <w:tcW w:w="2142" w:type="dxa"/>
            <w:vAlign w:val="center"/>
          </w:tcPr>
          <w:p w14:paraId="696FBC32">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drawing>
                <wp:inline distT="0" distB="0" distL="114300" distR="114300">
                  <wp:extent cx="1108710" cy="720090"/>
                  <wp:effectExtent l="0" t="0" r="1524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1108710" cy="720090"/>
                          </a:xfrm>
                          <a:prstGeom prst="rect">
                            <a:avLst/>
                          </a:prstGeom>
                          <a:noFill/>
                          <a:ln>
                            <a:noFill/>
                          </a:ln>
                        </pic:spPr>
                      </pic:pic>
                    </a:graphicData>
                  </a:graphic>
                </wp:inline>
              </w:drawing>
            </w:r>
          </w:p>
        </w:tc>
      </w:tr>
      <w:tr w14:paraId="1E60CAB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898" w:type="dxa"/>
            <w:vAlign w:val="center"/>
          </w:tcPr>
          <w:p w14:paraId="6DC60245">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cs="Times New Roman"/>
                <w:b w:val="0"/>
                <w:bCs w:val="0"/>
                <w:i w:val="0"/>
                <w:iCs w:val="0"/>
                <w:color w:val="auto"/>
                <w:sz w:val="21"/>
                <w:szCs w:val="21"/>
                <w:highlight w:val="none"/>
                <w:vertAlign w:val="baseline"/>
                <w:lang w:val="en-US" w:eastAsia="zh-CN"/>
              </w:rPr>
              <w:t>C4</w:t>
            </w:r>
          </w:p>
        </w:tc>
        <w:tc>
          <w:tcPr>
            <w:tcW w:w="1921" w:type="dxa"/>
            <w:vAlign w:val="center"/>
          </w:tcPr>
          <w:p w14:paraId="58021669">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O=C(OC1CC(C)CC(C)(C)C1O)C=2C=CC=CC2O</w:t>
            </w:r>
          </w:p>
        </w:tc>
        <w:tc>
          <w:tcPr>
            <w:tcW w:w="1238" w:type="dxa"/>
            <w:vAlign w:val="center"/>
          </w:tcPr>
          <w:p w14:paraId="66D1BF26">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C16H22O4</w:t>
            </w:r>
          </w:p>
        </w:tc>
        <w:tc>
          <w:tcPr>
            <w:tcW w:w="762" w:type="dxa"/>
            <w:vAlign w:val="center"/>
          </w:tcPr>
          <w:p w14:paraId="5FF8CA0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278.1518</w:t>
            </w:r>
          </w:p>
        </w:tc>
        <w:tc>
          <w:tcPr>
            <w:tcW w:w="900" w:type="dxa"/>
            <w:vAlign w:val="center"/>
          </w:tcPr>
          <w:p w14:paraId="681E291F">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3.1542</w:t>
            </w:r>
          </w:p>
        </w:tc>
        <w:tc>
          <w:tcPr>
            <w:tcW w:w="838" w:type="dxa"/>
            <w:vAlign w:val="center"/>
          </w:tcPr>
          <w:p w14:paraId="5CBF733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Human</w:t>
            </w:r>
          </w:p>
        </w:tc>
        <w:tc>
          <w:tcPr>
            <w:tcW w:w="2912" w:type="dxa"/>
            <w:vAlign w:val="center"/>
          </w:tcPr>
          <w:p w14:paraId="19E7E502">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CYP1A2; CYP2C8; CYP2C9; CYP2C19; CYP2D6; CYP3A4</w:t>
            </w:r>
          </w:p>
        </w:tc>
        <w:tc>
          <w:tcPr>
            <w:tcW w:w="2313" w:type="dxa"/>
            <w:vAlign w:val="center"/>
          </w:tcPr>
          <w:p w14:paraId="7C937817">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Hydroxylation of alicyclic secondary carbon</w:t>
            </w:r>
          </w:p>
        </w:tc>
        <w:tc>
          <w:tcPr>
            <w:tcW w:w="1275" w:type="dxa"/>
            <w:vAlign w:val="center"/>
          </w:tcPr>
          <w:p w14:paraId="37CC3757">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Homosalate</w:t>
            </w:r>
          </w:p>
        </w:tc>
        <w:tc>
          <w:tcPr>
            <w:tcW w:w="2142" w:type="dxa"/>
            <w:vAlign w:val="center"/>
          </w:tcPr>
          <w:p w14:paraId="132C5EDA">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drawing>
                <wp:inline distT="0" distB="0" distL="114300" distR="114300">
                  <wp:extent cx="908685" cy="720090"/>
                  <wp:effectExtent l="0" t="0" r="5715" b="38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908685" cy="720090"/>
                          </a:xfrm>
                          <a:prstGeom prst="rect">
                            <a:avLst/>
                          </a:prstGeom>
                          <a:noFill/>
                          <a:ln>
                            <a:noFill/>
                          </a:ln>
                        </pic:spPr>
                      </pic:pic>
                    </a:graphicData>
                  </a:graphic>
                </wp:inline>
              </w:drawing>
            </w:r>
          </w:p>
        </w:tc>
      </w:tr>
      <w:tr w14:paraId="765398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898" w:type="dxa"/>
            <w:vAlign w:val="center"/>
          </w:tcPr>
          <w:p w14:paraId="030D997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cs="Times New Roman"/>
                <w:b w:val="0"/>
                <w:bCs w:val="0"/>
                <w:i w:val="0"/>
                <w:iCs w:val="0"/>
                <w:color w:val="auto"/>
                <w:sz w:val="21"/>
                <w:szCs w:val="21"/>
                <w:highlight w:val="none"/>
                <w:vertAlign w:val="baseline"/>
                <w:lang w:val="en-US" w:eastAsia="zh-CN"/>
              </w:rPr>
              <w:t>C5</w:t>
            </w:r>
          </w:p>
        </w:tc>
        <w:tc>
          <w:tcPr>
            <w:tcW w:w="1921" w:type="dxa"/>
            <w:vAlign w:val="center"/>
          </w:tcPr>
          <w:p w14:paraId="563BCB92">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O=C(OC1CC(C)CC(C)(C)C1)C=2C(=CC=CC2O)O</w:t>
            </w:r>
          </w:p>
        </w:tc>
        <w:tc>
          <w:tcPr>
            <w:tcW w:w="1238" w:type="dxa"/>
            <w:vAlign w:val="center"/>
          </w:tcPr>
          <w:p w14:paraId="3A025D1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C16H22O4</w:t>
            </w:r>
          </w:p>
        </w:tc>
        <w:tc>
          <w:tcPr>
            <w:tcW w:w="762" w:type="dxa"/>
            <w:vAlign w:val="center"/>
          </w:tcPr>
          <w:p w14:paraId="03BA4ADA">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278.1518</w:t>
            </w:r>
          </w:p>
        </w:tc>
        <w:tc>
          <w:tcPr>
            <w:tcW w:w="900" w:type="dxa"/>
            <w:vAlign w:val="center"/>
          </w:tcPr>
          <w:p w14:paraId="71815DB1">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3.7187</w:t>
            </w:r>
          </w:p>
        </w:tc>
        <w:tc>
          <w:tcPr>
            <w:tcW w:w="838" w:type="dxa"/>
            <w:vAlign w:val="center"/>
          </w:tcPr>
          <w:p w14:paraId="1F6C2D74">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Human</w:t>
            </w:r>
          </w:p>
        </w:tc>
        <w:tc>
          <w:tcPr>
            <w:tcW w:w="2912" w:type="dxa"/>
            <w:vAlign w:val="center"/>
          </w:tcPr>
          <w:p w14:paraId="51EE2D91">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CYP1A2; CYP2C8; CYP2C9; CYP2C19; CYP2D6; CYP3A4</w:t>
            </w:r>
          </w:p>
        </w:tc>
        <w:tc>
          <w:tcPr>
            <w:tcW w:w="2313" w:type="dxa"/>
            <w:vAlign w:val="center"/>
          </w:tcPr>
          <w:p w14:paraId="73E38C9F">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Hydroxylation of benzene on carbon ortho to electron donating group</w:t>
            </w:r>
          </w:p>
        </w:tc>
        <w:tc>
          <w:tcPr>
            <w:tcW w:w="1275" w:type="dxa"/>
            <w:vAlign w:val="center"/>
          </w:tcPr>
          <w:p w14:paraId="06FD0A23">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Homosalate</w:t>
            </w:r>
          </w:p>
        </w:tc>
        <w:tc>
          <w:tcPr>
            <w:tcW w:w="2142" w:type="dxa"/>
            <w:vAlign w:val="center"/>
          </w:tcPr>
          <w:p w14:paraId="632D5DD9">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drawing>
                <wp:inline distT="0" distB="0" distL="114300" distR="114300">
                  <wp:extent cx="1005840" cy="674370"/>
                  <wp:effectExtent l="0" t="0" r="3810" b="1143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rcRect t="8744" b="13226"/>
                          <a:stretch>
                            <a:fillRect/>
                          </a:stretch>
                        </pic:blipFill>
                        <pic:spPr>
                          <a:xfrm>
                            <a:off x="0" y="0"/>
                            <a:ext cx="1005840" cy="674370"/>
                          </a:xfrm>
                          <a:prstGeom prst="rect">
                            <a:avLst/>
                          </a:prstGeom>
                          <a:noFill/>
                          <a:ln>
                            <a:noFill/>
                          </a:ln>
                        </pic:spPr>
                      </pic:pic>
                    </a:graphicData>
                  </a:graphic>
                </wp:inline>
              </w:drawing>
            </w:r>
          </w:p>
        </w:tc>
      </w:tr>
      <w:tr w14:paraId="0B01E7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898" w:type="dxa"/>
            <w:vAlign w:val="center"/>
          </w:tcPr>
          <w:p w14:paraId="785F7555">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cs="Times New Roman"/>
                <w:b w:val="0"/>
                <w:bCs w:val="0"/>
                <w:i w:val="0"/>
                <w:iCs w:val="0"/>
                <w:color w:val="auto"/>
                <w:sz w:val="21"/>
                <w:szCs w:val="21"/>
                <w:highlight w:val="none"/>
                <w:vertAlign w:val="baseline"/>
                <w:lang w:val="en-US" w:eastAsia="zh-CN"/>
              </w:rPr>
              <w:t>C6</w:t>
            </w:r>
          </w:p>
        </w:tc>
        <w:tc>
          <w:tcPr>
            <w:tcW w:w="1921" w:type="dxa"/>
            <w:vAlign w:val="center"/>
          </w:tcPr>
          <w:p w14:paraId="523BD73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O=C(OC1CC(C)CC(C)(C)C1)C=2C=CC(=CC2O)O</w:t>
            </w:r>
          </w:p>
        </w:tc>
        <w:tc>
          <w:tcPr>
            <w:tcW w:w="1238" w:type="dxa"/>
            <w:vAlign w:val="center"/>
          </w:tcPr>
          <w:p w14:paraId="211B9C8A">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C16H22O4</w:t>
            </w:r>
          </w:p>
        </w:tc>
        <w:tc>
          <w:tcPr>
            <w:tcW w:w="762" w:type="dxa"/>
            <w:vAlign w:val="center"/>
          </w:tcPr>
          <w:p w14:paraId="78582D7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278.1518</w:t>
            </w:r>
          </w:p>
        </w:tc>
        <w:tc>
          <w:tcPr>
            <w:tcW w:w="900" w:type="dxa"/>
            <w:vAlign w:val="center"/>
          </w:tcPr>
          <w:p w14:paraId="5466F20D">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3.7187</w:t>
            </w:r>
          </w:p>
        </w:tc>
        <w:tc>
          <w:tcPr>
            <w:tcW w:w="838" w:type="dxa"/>
            <w:vAlign w:val="center"/>
          </w:tcPr>
          <w:p w14:paraId="62FC436A">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Human</w:t>
            </w:r>
          </w:p>
        </w:tc>
        <w:tc>
          <w:tcPr>
            <w:tcW w:w="2912" w:type="dxa"/>
            <w:vAlign w:val="center"/>
          </w:tcPr>
          <w:p w14:paraId="3A3D998A">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CYP1A2; CYP2C8; CYP2C9; CYP2D6; CYP3A4</w:t>
            </w:r>
          </w:p>
        </w:tc>
        <w:tc>
          <w:tcPr>
            <w:tcW w:w="2313" w:type="dxa"/>
            <w:vAlign w:val="center"/>
          </w:tcPr>
          <w:p w14:paraId="404EFEE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Hydroxylation of benzene on carbon para to electron donating group</w:t>
            </w:r>
          </w:p>
        </w:tc>
        <w:tc>
          <w:tcPr>
            <w:tcW w:w="1275" w:type="dxa"/>
            <w:vAlign w:val="center"/>
          </w:tcPr>
          <w:p w14:paraId="0B3463A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Homosalate</w:t>
            </w:r>
          </w:p>
        </w:tc>
        <w:tc>
          <w:tcPr>
            <w:tcW w:w="2142" w:type="dxa"/>
            <w:vAlign w:val="center"/>
          </w:tcPr>
          <w:p w14:paraId="60F802D0">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drawing>
                <wp:inline distT="0" distB="0" distL="114300" distR="114300">
                  <wp:extent cx="1175385" cy="720090"/>
                  <wp:effectExtent l="0" t="0" r="5715" b="38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1175385" cy="720090"/>
                          </a:xfrm>
                          <a:prstGeom prst="rect">
                            <a:avLst/>
                          </a:prstGeom>
                          <a:noFill/>
                          <a:ln>
                            <a:noFill/>
                          </a:ln>
                        </pic:spPr>
                      </pic:pic>
                    </a:graphicData>
                  </a:graphic>
                </wp:inline>
              </w:drawing>
            </w:r>
          </w:p>
        </w:tc>
      </w:tr>
      <w:tr w14:paraId="0254D8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898" w:type="dxa"/>
            <w:vAlign w:val="center"/>
          </w:tcPr>
          <w:p w14:paraId="3155D85D">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cs="Times New Roman"/>
                <w:b w:val="0"/>
                <w:bCs w:val="0"/>
                <w:i w:val="0"/>
                <w:iCs w:val="0"/>
                <w:color w:val="auto"/>
                <w:sz w:val="21"/>
                <w:szCs w:val="21"/>
                <w:highlight w:val="none"/>
                <w:vertAlign w:val="baseline"/>
                <w:lang w:val="en-US" w:eastAsia="zh-CN"/>
              </w:rPr>
              <w:t>C7</w:t>
            </w:r>
          </w:p>
        </w:tc>
        <w:tc>
          <w:tcPr>
            <w:tcW w:w="1921" w:type="dxa"/>
            <w:vAlign w:val="center"/>
          </w:tcPr>
          <w:p w14:paraId="74DC5DB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O=C(OC1CC(C)CC(C)(C)C1)C=2C=CC=C(C2O)O</w:t>
            </w:r>
          </w:p>
        </w:tc>
        <w:tc>
          <w:tcPr>
            <w:tcW w:w="1238" w:type="dxa"/>
            <w:vAlign w:val="center"/>
          </w:tcPr>
          <w:p w14:paraId="1D9EF471">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C16H22O4</w:t>
            </w:r>
          </w:p>
        </w:tc>
        <w:tc>
          <w:tcPr>
            <w:tcW w:w="762" w:type="dxa"/>
            <w:vAlign w:val="center"/>
          </w:tcPr>
          <w:p w14:paraId="0D97FFAD">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278.1518</w:t>
            </w:r>
          </w:p>
        </w:tc>
        <w:tc>
          <w:tcPr>
            <w:tcW w:w="900" w:type="dxa"/>
            <w:vAlign w:val="center"/>
          </w:tcPr>
          <w:p w14:paraId="47DE3461">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3.7187</w:t>
            </w:r>
          </w:p>
        </w:tc>
        <w:tc>
          <w:tcPr>
            <w:tcW w:w="838" w:type="dxa"/>
            <w:vAlign w:val="center"/>
          </w:tcPr>
          <w:p w14:paraId="20590AD9">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Human</w:t>
            </w:r>
          </w:p>
        </w:tc>
        <w:tc>
          <w:tcPr>
            <w:tcW w:w="2912" w:type="dxa"/>
            <w:vAlign w:val="center"/>
          </w:tcPr>
          <w:p w14:paraId="203AF5ED">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CYP1A2; CYP2A6; CYP2B6; CYP2C8; CYP2C9; CYP2C19; CYP2D6; CYP2E1; CYP3A4</w:t>
            </w:r>
          </w:p>
        </w:tc>
        <w:tc>
          <w:tcPr>
            <w:tcW w:w="2313" w:type="dxa"/>
            <w:vAlign w:val="center"/>
          </w:tcPr>
          <w:p w14:paraId="0BCD6098">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O-Hydroxylation of phenol</w:t>
            </w:r>
          </w:p>
        </w:tc>
        <w:tc>
          <w:tcPr>
            <w:tcW w:w="1275" w:type="dxa"/>
            <w:vAlign w:val="center"/>
          </w:tcPr>
          <w:p w14:paraId="607AE72A">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Homosalate</w:t>
            </w:r>
          </w:p>
        </w:tc>
        <w:tc>
          <w:tcPr>
            <w:tcW w:w="2142" w:type="dxa"/>
            <w:vAlign w:val="center"/>
          </w:tcPr>
          <w:p w14:paraId="29626510">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drawing>
                <wp:inline distT="0" distB="0" distL="114300" distR="114300">
                  <wp:extent cx="885825" cy="720090"/>
                  <wp:effectExtent l="0" t="0" r="9525"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885825" cy="720090"/>
                          </a:xfrm>
                          <a:prstGeom prst="rect">
                            <a:avLst/>
                          </a:prstGeom>
                          <a:noFill/>
                          <a:ln>
                            <a:noFill/>
                          </a:ln>
                        </pic:spPr>
                      </pic:pic>
                    </a:graphicData>
                  </a:graphic>
                </wp:inline>
              </w:drawing>
            </w:r>
          </w:p>
        </w:tc>
      </w:tr>
      <w:tr w14:paraId="4B0192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898" w:type="dxa"/>
            <w:vAlign w:val="center"/>
          </w:tcPr>
          <w:p w14:paraId="2BAEE05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cs="Times New Roman"/>
                <w:b w:val="0"/>
                <w:bCs w:val="0"/>
                <w:i w:val="0"/>
                <w:iCs w:val="0"/>
                <w:color w:val="auto"/>
                <w:sz w:val="21"/>
                <w:szCs w:val="21"/>
                <w:highlight w:val="none"/>
                <w:vertAlign w:val="baseline"/>
                <w:lang w:val="en-US" w:eastAsia="zh-CN"/>
              </w:rPr>
              <w:t>C8</w:t>
            </w:r>
          </w:p>
        </w:tc>
        <w:tc>
          <w:tcPr>
            <w:tcW w:w="1921" w:type="dxa"/>
            <w:vAlign w:val="center"/>
          </w:tcPr>
          <w:p w14:paraId="2DAEED47">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O=C(OC1CC(C)(CC(C)(C)C1)O)C=2C=CC=CC2O</w:t>
            </w:r>
          </w:p>
        </w:tc>
        <w:tc>
          <w:tcPr>
            <w:tcW w:w="1238" w:type="dxa"/>
            <w:vAlign w:val="center"/>
          </w:tcPr>
          <w:p w14:paraId="014553A8">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C16H22O4</w:t>
            </w:r>
          </w:p>
        </w:tc>
        <w:tc>
          <w:tcPr>
            <w:tcW w:w="762" w:type="dxa"/>
            <w:vAlign w:val="center"/>
          </w:tcPr>
          <w:p w14:paraId="240456E8">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278.1518</w:t>
            </w:r>
          </w:p>
        </w:tc>
        <w:tc>
          <w:tcPr>
            <w:tcW w:w="900" w:type="dxa"/>
            <w:vAlign w:val="center"/>
          </w:tcPr>
          <w:p w14:paraId="14F08681">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2.5786</w:t>
            </w:r>
          </w:p>
        </w:tc>
        <w:tc>
          <w:tcPr>
            <w:tcW w:w="838" w:type="dxa"/>
            <w:vAlign w:val="center"/>
          </w:tcPr>
          <w:p w14:paraId="0A5B4D2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Human</w:t>
            </w:r>
          </w:p>
        </w:tc>
        <w:tc>
          <w:tcPr>
            <w:tcW w:w="2912" w:type="dxa"/>
            <w:vAlign w:val="center"/>
          </w:tcPr>
          <w:p w14:paraId="1D7946A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CYP2A6; CYP2B6; CYP2C8; CYP2C9; CYP2D6; CYP3A4</w:t>
            </w:r>
          </w:p>
        </w:tc>
        <w:tc>
          <w:tcPr>
            <w:tcW w:w="2313" w:type="dxa"/>
            <w:vAlign w:val="center"/>
          </w:tcPr>
          <w:p w14:paraId="55CDAD13">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Hydroxylation of penultimate aliphatic tertiary carbon</w:t>
            </w:r>
          </w:p>
        </w:tc>
        <w:tc>
          <w:tcPr>
            <w:tcW w:w="1275" w:type="dxa"/>
            <w:vAlign w:val="center"/>
          </w:tcPr>
          <w:p w14:paraId="2BE38544">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Homosalate</w:t>
            </w:r>
          </w:p>
        </w:tc>
        <w:tc>
          <w:tcPr>
            <w:tcW w:w="2142" w:type="dxa"/>
            <w:vAlign w:val="center"/>
          </w:tcPr>
          <w:p w14:paraId="2B33600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drawing>
                <wp:inline distT="0" distB="0" distL="114300" distR="114300">
                  <wp:extent cx="1075055" cy="561975"/>
                  <wp:effectExtent l="0" t="0" r="10795"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rcRect t="15608" b="6349"/>
                          <a:stretch>
                            <a:fillRect/>
                          </a:stretch>
                        </pic:blipFill>
                        <pic:spPr>
                          <a:xfrm>
                            <a:off x="0" y="0"/>
                            <a:ext cx="1075055" cy="561975"/>
                          </a:xfrm>
                          <a:prstGeom prst="rect">
                            <a:avLst/>
                          </a:prstGeom>
                          <a:noFill/>
                          <a:ln>
                            <a:noFill/>
                          </a:ln>
                        </pic:spPr>
                      </pic:pic>
                    </a:graphicData>
                  </a:graphic>
                </wp:inline>
              </w:drawing>
            </w:r>
          </w:p>
        </w:tc>
      </w:tr>
      <w:tr w14:paraId="6E2C25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898" w:type="dxa"/>
            <w:vAlign w:val="center"/>
          </w:tcPr>
          <w:p w14:paraId="1C15CD84">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cs="Times New Roman"/>
                <w:b w:val="0"/>
                <w:bCs w:val="0"/>
                <w:i w:val="0"/>
                <w:iCs w:val="0"/>
                <w:color w:val="auto"/>
                <w:sz w:val="21"/>
                <w:szCs w:val="21"/>
                <w:highlight w:val="none"/>
                <w:vertAlign w:val="baseline"/>
                <w:lang w:val="en-US" w:eastAsia="zh-CN"/>
              </w:rPr>
              <w:t>C9</w:t>
            </w:r>
          </w:p>
        </w:tc>
        <w:tc>
          <w:tcPr>
            <w:tcW w:w="1921" w:type="dxa"/>
            <w:vAlign w:val="center"/>
          </w:tcPr>
          <w:p w14:paraId="275681D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O=C(OC1CC(C)CC(C)(CO)C1)C=2C=CC=CC2O</w:t>
            </w:r>
          </w:p>
        </w:tc>
        <w:tc>
          <w:tcPr>
            <w:tcW w:w="1238" w:type="dxa"/>
            <w:vAlign w:val="center"/>
          </w:tcPr>
          <w:p w14:paraId="6539E54F">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C16H22O4</w:t>
            </w:r>
          </w:p>
        </w:tc>
        <w:tc>
          <w:tcPr>
            <w:tcW w:w="762" w:type="dxa"/>
            <w:vAlign w:val="center"/>
          </w:tcPr>
          <w:p w14:paraId="7CECBB12">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278.1518</w:t>
            </w:r>
          </w:p>
        </w:tc>
        <w:tc>
          <w:tcPr>
            <w:tcW w:w="900" w:type="dxa"/>
            <w:vAlign w:val="center"/>
          </w:tcPr>
          <w:p w14:paraId="0E62A47D">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2.8954</w:t>
            </w:r>
          </w:p>
        </w:tc>
        <w:tc>
          <w:tcPr>
            <w:tcW w:w="838" w:type="dxa"/>
            <w:vAlign w:val="center"/>
          </w:tcPr>
          <w:p w14:paraId="5E0A852D">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Human</w:t>
            </w:r>
          </w:p>
        </w:tc>
        <w:tc>
          <w:tcPr>
            <w:tcW w:w="2912" w:type="dxa"/>
            <w:vAlign w:val="center"/>
          </w:tcPr>
          <w:p w14:paraId="03333C9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CYP2B6; CYP2C8; CYP2C9; CYP2C19; CYP2D6; CYP3A4</w:t>
            </w:r>
          </w:p>
        </w:tc>
        <w:tc>
          <w:tcPr>
            <w:tcW w:w="2313" w:type="dxa"/>
            <w:vAlign w:val="center"/>
          </w:tcPr>
          <w:p w14:paraId="3391827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Hydroxylation of methyl carbon adjacent to aliphatic ring </w:t>
            </w:r>
          </w:p>
        </w:tc>
        <w:tc>
          <w:tcPr>
            <w:tcW w:w="1275" w:type="dxa"/>
            <w:vAlign w:val="center"/>
          </w:tcPr>
          <w:p w14:paraId="16C1ABC6">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Homosalate</w:t>
            </w:r>
          </w:p>
        </w:tc>
        <w:tc>
          <w:tcPr>
            <w:tcW w:w="2142" w:type="dxa"/>
            <w:vAlign w:val="center"/>
          </w:tcPr>
          <w:p w14:paraId="34C6626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drawing>
                <wp:inline distT="0" distB="0" distL="114300" distR="114300">
                  <wp:extent cx="1156970" cy="690245"/>
                  <wp:effectExtent l="0" t="0" r="5080" b="146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rcRect t="8732"/>
                          <a:stretch>
                            <a:fillRect/>
                          </a:stretch>
                        </pic:blipFill>
                        <pic:spPr>
                          <a:xfrm>
                            <a:off x="0" y="0"/>
                            <a:ext cx="1156970" cy="690245"/>
                          </a:xfrm>
                          <a:prstGeom prst="rect">
                            <a:avLst/>
                          </a:prstGeom>
                          <a:noFill/>
                          <a:ln>
                            <a:noFill/>
                          </a:ln>
                        </pic:spPr>
                      </pic:pic>
                    </a:graphicData>
                  </a:graphic>
                </wp:inline>
              </w:drawing>
            </w:r>
          </w:p>
        </w:tc>
      </w:tr>
      <w:tr w14:paraId="2D4CC1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898" w:type="dxa"/>
            <w:vAlign w:val="center"/>
          </w:tcPr>
          <w:p w14:paraId="649AFDCC">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cs="Times New Roman"/>
                <w:b w:val="0"/>
                <w:bCs w:val="0"/>
                <w:i w:val="0"/>
                <w:iCs w:val="0"/>
                <w:color w:val="auto"/>
                <w:sz w:val="21"/>
                <w:szCs w:val="21"/>
                <w:highlight w:val="none"/>
                <w:vertAlign w:val="baseline"/>
                <w:lang w:val="en-US" w:eastAsia="zh-CN"/>
              </w:rPr>
              <w:t>C10</w:t>
            </w:r>
          </w:p>
        </w:tc>
        <w:tc>
          <w:tcPr>
            <w:tcW w:w="1921" w:type="dxa"/>
            <w:vAlign w:val="center"/>
          </w:tcPr>
          <w:p w14:paraId="3D521CC5">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O=C(OC1CC(CO)CC(C)(C)C1)C=2C=CC=CC2O</w:t>
            </w:r>
          </w:p>
        </w:tc>
        <w:tc>
          <w:tcPr>
            <w:tcW w:w="1238" w:type="dxa"/>
            <w:vAlign w:val="center"/>
          </w:tcPr>
          <w:p w14:paraId="7C7B937A">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C16H22O4</w:t>
            </w:r>
          </w:p>
        </w:tc>
        <w:tc>
          <w:tcPr>
            <w:tcW w:w="762" w:type="dxa"/>
            <w:vAlign w:val="center"/>
          </w:tcPr>
          <w:p w14:paraId="391B7601">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278.1518</w:t>
            </w:r>
          </w:p>
        </w:tc>
        <w:tc>
          <w:tcPr>
            <w:tcW w:w="900" w:type="dxa"/>
            <w:vAlign w:val="center"/>
          </w:tcPr>
          <w:p w14:paraId="6FF14A51">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2.8279</w:t>
            </w:r>
          </w:p>
        </w:tc>
        <w:tc>
          <w:tcPr>
            <w:tcW w:w="838" w:type="dxa"/>
            <w:vAlign w:val="center"/>
          </w:tcPr>
          <w:p w14:paraId="5AC81BE2">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Human</w:t>
            </w:r>
          </w:p>
        </w:tc>
        <w:tc>
          <w:tcPr>
            <w:tcW w:w="2912" w:type="dxa"/>
            <w:vAlign w:val="center"/>
          </w:tcPr>
          <w:p w14:paraId="5AE9CE5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CYP2B6; CYP2C8; CYP2C9; CYP2C19; CYP2D6; CYP3A4</w:t>
            </w:r>
          </w:p>
        </w:tc>
        <w:tc>
          <w:tcPr>
            <w:tcW w:w="2313" w:type="dxa"/>
            <w:vAlign w:val="center"/>
          </w:tcPr>
          <w:p w14:paraId="55490C2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Hydroxylation of methyl carbon adjacent to aliphatic ring</w:t>
            </w:r>
          </w:p>
        </w:tc>
        <w:tc>
          <w:tcPr>
            <w:tcW w:w="1275" w:type="dxa"/>
            <w:vAlign w:val="center"/>
          </w:tcPr>
          <w:p w14:paraId="65E9F9E4">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Homosalate</w:t>
            </w:r>
          </w:p>
        </w:tc>
        <w:tc>
          <w:tcPr>
            <w:tcW w:w="2142" w:type="dxa"/>
            <w:vAlign w:val="center"/>
          </w:tcPr>
          <w:p w14:paraId="10B08F15">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drawing>
                <wp:inline distT="0" distB="0" distL="114300" distR="114300">
                  <wp:extent cx="946150" cy="720090"/>
                  <wp:effectExtent l="0" t="0" r="6350" b="381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a:stretch>
                            <a:fillRect/>
                          </a:stretch>
                        </pic:blipFill>
                        <pic:spPr>
                          <a:xfrm>
                            <a:off x="0" y="0"/>
                            <a:ext cx="946150" cy="720090"/>
                          </a:xfrm>
                          <a:prstGeom prst="rect">
                            <a:avLst/>
                          </a:prstGeom>
                          <a:noFill/>
                          <a:ln>
                            <a:noFill/>
                          </a:ln>
                        </pic:spPr>
                      </pic:pic>
                    </a:graphicData>
                  </a:graphic>
                </wp:inline>
              </w:drawing>
            </w:r>
          </w:p>
        </w:tc>
      </w:tr>
    </w:tbl>
    <w:p w14:paraId="19064662">
      <w:pPr>
        <w:spacing w:before="0" w:after="120" w:line="360" w:lineRule="auto"/>
      </w:pPr>
      <w:r>
        <w:rPr>
          <w:rFonts w:ascii="Times New Roman" w:hAnsi="Times New Roman" w:eastAsia="Times New Roman"/>
          <w:b/>
          <w:bCs/>
          <w:sz w:val="22"/>
        </w:rPr>
        <w:t xml:space="preserve">Note: </w:t>
      </w:r>
      <w:r>
        <w:rPr>
          <w:rFonts w:ascii="Times New Roman" w:hAnsi="Times New Roman" w:eastAsia="Times New Roman"/>
          <w:sz w:val="22"/>
        </w:rPr>
        <w:t>Metabolites were generated with the CYP450 (Phase I oxidative metabolism) module of BioTransformer. Oxidation-site categories: aromatic ring hydroxylation (C1, C5–C7); alicyclic hydroxylation (C2–C4, C8); methyl hydroxylation (C9, C10). ALogP values are those reported by the BioTransformer output.</w:t>
      </w:r>
    </w:p>
    <w:p w14:paraId="0B1D3646">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val="0"/>
          <w:bCs w:val="0"/>
          <w:i w:val="0"/>
          <w:iCs w:val="0"/>
          <w:color w:val="auto"/>
          <w:sz w:val="24"/>
          <w:szCs w:val="24"/>
          <w:highlight w:val="none"/>
          <w:lang w:val="en-US" w:eastAsia="zh-CN"/>
        </w:rPr>
      </w:pPr>
    </w:p>
    <w:p w14:paraId="5C665D32">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i w:val="0"/>
          <w:iCs w:val="0"/>
          <w:color w:val="auto"/>
          <w:sz w:val="24"/>
          <w:szCs w:val="24"/>
          <w:highlight w:val="none"/>
          <w:lang w:val="en-US" w:eastAsia="zh-CN"/>
        </w:rPr>
        <w:sectPr>
          <w:pgSz w:w="16838" w:h="11906" w:orient="landscape"/>
          <w:pgMar w:top="1800" w:right="1440" w:bottom="1800" w:left="1440" w:header="851" w:footer="992" w:gutter="0"/>
          <w:cols w:space="0" w:num="1"/>
          <w:rtlGutter w:val="0"/>
          <w:docGrid w:type="lines" w:linePitch="387" w:charSpace="0"/>
        </w:sectPr>
      </w:pPr>
    </w:p>
    <w:p w14:paraId="5D30F113">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b w:val="0"/>
          <w:bCs w:val="0"/>
          <w:i w:val="0"/>
          <w:iCs w:val="0"/>
          <w:color w:val="auto"/>
          <w:sz w:val="24"/>
          <w:szCs w:val="24"/>
          <w:highlight w:val="none"/>
          <w:lang w:val="en-US" w:eastAsia="zh-CN"/>
        </w:rPr>
      </w:pPr>
      <w:r>
        <w:rPr>
          <w:rFonts w:hint="eastAsia" w:ascii="Times New Roman" w:hAnsi="Times New Roman" w:cs="Times New Roman"/>
          <w:b/>
          <w:bCs/>
          <w:i w:val="0"/>
          <w:iCs w:val="0"/>
          <w:color w:val="auto"/>
          <w:sz w:val="24"/>
          <w:szCs w:val="24"/>
          <w:highlight w:val="none"/>
          <w:lang w:val="en-US" w:eastAsia="zh-CN"/>
        </w:rPr>
        <w:t>Table S3. Prediction results of the Phase I ester hydrolysis products of HMS based on GLORYx</w:t>
      </w:r>
    </w:p>
    <w:tbl>
      <w:tblPr>
        <w:tblStyle w:val="10"/>
        <w:tblW w:w="13724"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38"/>
        <w:gridCol w:w="2437"/>
        <w:gridCol w:w="2210"/>
        <w:gridCol w:w="1059"/>
        <w:gridCol w:w="1625"/>
        <w:gridCol w:w="2804"/>
        <w:gridCol w:w="1651"/>
      </w:tblGrid>
      <w:tr w14:paraId="36501A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blHeader/>
          <w:jc w:val="center"/>
        </w:trPr>
        <w:tc>
          <w:tcPr>
            <w:tcW w:w="1938" w:type="dxa"/>
            <w:tcBorders>
              <w:bottom w:val="single" w:color="auto" w:sz="4" w:space="0"/>
            </w:tcBorders>
            <w:vAlign w:val="center"/>
          </w:tcPr>
          <w:p w14:paraId="199C17AC">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i w:val="0"/>
                <w:iCs w:val="0"/>
                <w:color w:val="auto"/>
                <w:sz w:val="21"/>
                <w:szCs w:val="21"/>
                <w:highlight w:val="none"/>
                <w:vertAlign w:val="baseline"/>
                <w:lang w:val="en-US" w:eastAsia="zh-CN"/>
              </w:rPr>
            </w:pPr>
            <w:r>
              <w:rPr>
                <w:rFonts w:hint="default" w:ascii="Times New Roman" w:hAnsi="Times New Roman" w:cs="Times New Roman"/>
                <w:b/>
                <w:bCs/>
                <w:i w:val="0"/>
                <w:iCs w:val="0"/>
                <w:color w:val="auto"/>
                <w:sz w:val="21"/>
                <w:szCs w:val="21"/>
                <w:highlight w:val="none"/>
                <w:vertAlign w:val="baseline"/>
                <w:lang w:val="en-US" w:eastAsia="zh-CN"/>
              </w:rPr>
              <w:t>Compound</w:t>
            </w:r>
          </w:p>
        </w:tc>
        <w:tc>
          <w:tcPr>
            <w:tcW w:w="2437" w:type="dxa"/>
            <w:tcBorders>
              <w:bottom w:val="single" w:color="auto" w:sz="4" w:space="0"/>
            </w:tcBorders>
            <w:vAlign w:val="center"/>
          </w:tcPr>
          <w:p w14:paraId="490A7765">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i w:val="0"/>
                <w:iCs w:val="0"/>
                <w:color w:val="auto"/>
                <w:sz w:val="21"/>
                <w:szCs w:val="21"/>
                <w:highlight w:val="none"/>
                <w:vertAlign w:val="baseline"/>
                <w:lang w:val="en-US" w:eastAsia="zh-CN"/>
              </w:rPr>
            </w:pPr>
            <w:r>
              <w:rPr>
                <w:rFonts w:hint="default" w:ascii="Times New Roman" w:hAnsi="Times New Roman" w:cs="Times New Roman"/>
                <w:b/>
                <w:bCs/>
                <w:i w:val="0"/>
                <w:iCs w:val="0"/>
                <w:color w:val="auto"/>
                <w:sz w:val="21"/>
                <w:szCs w:val="21"/>
                <w:highlight w:val="none"/>
                <w:vertAlign w:val="baseline"/>
                <w:lang w:val="en-US" w:eastAsia="zh-CN"/>
              </w:rPr>
              <w:t>SMILES</w:t>
            </w:r>
          </w:p>
        </w:tc>
        <w:tc>
          <w:tcPr>
            <w:tcW w:w="2210" w:type="dxa"/>
            <w:tcBorders>
              <w:bottom w:val="single" w:color="auto" w:sz="4" w:space="0"/>
            </w:tcBorders>
            <w:vAlign w:val="center"/>
          </w:tcPr>
          <w:p w14:paraId="6892DC07">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i w:val="0"/>
                <w:iCs w:val="0"/>
                <w:color w:val="auto"/>
                <w:sz w:val="21"/>
                <w:szCs w:val="21"/>
                <w:highlight w:val="none"/>
                <w:vertAlign w:val="baseline"/>
                <w:lang w:val="en-US" w:eastAsia="zh-CN"/>
              </w:rPr>
            </w:pPr>
            <w:r>
              <w:rPr>
                <w:rFonts w:hint="default" w:ascii="Times New Roman" w:hAnsi="Times New Roman" w:cs="Times New Roman"/>
                <w:b/>
                <w:bCs/>
                <w:i w:val="0"/>
                <w:iCs w:val="0"/>
                <w:color w:val="auto"/>
                <w:sz w:val="21"/>
                <w:szCs w:val="21"/>
                <w:highlight w:val="none"/>
                <w:vertAlign w:val="baseline"/>
                <w:lang w:val="en-US" w:eastAsia="zh-CN"/>
              </w:rPr>
              <w:t>Molecular formula</w:t>
            </w:r>
          </w:p>
        </w:tc>
        <w:tc>
          <w:tcPr>
            <w:tcW w:w="1059" w:type="dxa"/>
            <w:tcBorders>
              <w:bottom w:val="single" w:color="auto" w:sz="4" w:space="0"/>
            </w:tcBorders>
            <w:vAlign w:val="center"/>
          </w:tcPr>
          <w:p w14:paraId="372B7FA5">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b/>
                <w:bCs/>
                <w:i w:val="0"/>
                <w:iCs w:val="0"/>
                <w:color w:val="000000"/>
                <w:kern w:val="0"/>
                <w:sz w:val="21"/>
                <w:szCs w:val="21"/>
                <w:u w:val="none"/>
                <w:lang w:val="en-US" w:eastAsia="zh-CN" w:bidi="ar"/>
              </w:rPr>
              <w:t>Mass</w:t>
            </w:r>
          </w:p>
        </w:tc>
        <w:tc>
          <w:tcPr>
            <w:tcW w:w="1625" w:type="dxa"/>
            <w:tcBorders>
              <w:bottom w:val="single" w:color="auto" w:sz="4" w:space="0"/>
            </w:tcBorders>
            <w:vAlign w:val="center"/>
          </w:tcPr>
          <w:p w14:paraId="27202CB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bCs/>
                <w:i w:val="0"/>
                <w:iCs w:val="0"/>
                <w:color w:val="auto"/>
                <w:sz w:val="21"/>
                <w:szCs w:val="21"/>
                <w:highlight w:val="none"/>
                <w:vertAlign w:val="baseline"/>
                <w:lang w:val="en-US" w:eastAsia="zh-CN"/>
              </w:rPr>
            </w:pPr>
            <w:r>
              <w:rPr>
                <w:rFonts w:hint="default" w:ascii="Times New Roman" w:hAnsi="Times New Roman" w:eastAsia="宋体" w:cs="Times New Roman"/>
                <w:b/>
                <w:bCs/>
                <w:i w:val="0"/>
                <w:iCs w:val="0"/>
                <w:color w:val="000000"/>
                <w:kern w:val="0"/>
                <w:sz w:val="21"/>
                <w:szCs w:val="21"/>
                <w:u w:val="none"/>
                <w:lang w:val="en-US" w:eastAsia="zh-CN" w:bidi="ar"/>
              </w:rPr>
              <w:t>priority_score</w:t>
            </w:r>
          </w:p>
        </w:tc>
        <w:tc>
          <w:tcPr>
            <w:tcW w:w="2804" w:type="dxa"/>
            <w:tcBorders>
              <w:bottom w:val="single" w:color="auto" w:sz="4" w:space="0"/>
            </w:tcBorders>
            <w:vAlign w:val="center"/>
          </w:tcPr>
          <w:p w14:paraId="273492F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Reaction</w:t>
            </w:r>
          </w:p>
        </w:tc>
        <w:tc>
          <w:tcPr>
            <w:tcW w:w="1651" w:type="dxa"/>
            <w:tcBorders>
              <w:bottom w:val="single" w:color="auto" w:sz="4" w:space="0"/>
            </w:tcBorders>
            <w:vAlign w:val="center"/>
          </w:tcPr>
          <w:p w14:paraId="0F81E891">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Structure</w:t>
            </w:r>
          </w:p>
        </w:tc>
      </w:tr>
      <w:tr w14:paraId="454E4E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1938" w:type="dxa"/>
            <w:vAlign w:val="center"/>
          </w:tcPr>
          <w:p w14:paraId="5ED55EBE">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val="0"/>
                <w:bCs w:val="0"/>
                <w:i w:val="0"/>
                <w:i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i w:val="0"/>
                <w:iCs w:val="0"/>
                <w:color w:val="000000" w:themeColor="text1"/>
                <w:sz w:val="21"/>
                <w:szCs w:val="21"/>
                <w:highlight w:val="none"/>
                <w:vertAlign w:val="baseline"/>
                <w:lang w:val="en-US" w:eastAsia="zh-CN"/>
                <w14:textFill>
                  <w14:solidFill>
                    <w14:schemeClr w14:val="tx1"/>
                  </w14:solidFill>
                </w14:textFill>
              </w:rPr>
              <w:t>Salicylic acid</w:t>
            </w:r>
          </w:p>
        </w:tc>
        <w:tc>
          <w:tcPr>
            <w:tcW w:w="2437" w:type="dxa"/>
            <w:vAlign w:val="center"/>
          </w:tcPr>
          <w:p w14:paraId="70247C9F">
            <w:pPr>
              <w:keepNext w:val="0"/>
              <w:keepLines w:val="0"/>
              <w:widowControl/>
              <w:suppressLineNumbers w:val="0"/>
              <w:jc w:val="left"/>
              <w:textAlignment w:val="center"/>
              <w:rPr>
                <w:rFonts w:hint="default" w:ascii="Times New Roman" w:hAnsi="Times New Roman" w:eastAsia="宋体"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O=C(O)</w:t>
            </w:r>
            <w:r>
              <w:rPr>
                <w:rFonts w:hint="eastAsia" w:ascii="Times New Roman" w:hAnsi="Times New Roman" w:eastAsia="宋体" w:cs="Times New Roman"/>
                <w:i w:val="0"/>
                <w:iCs w:val="0"/>
                <w:color w:val="000000"/>
                <w:kern w:val="0"/>
                <w:sz w:val="21"/>
                <w:szCs w:val="21"/>
                <w:u w:val="none"/>
                <w:lang w:val="en-US" w:eastAsia="zh-CN" w:bidi="ar"/>
              </w:rPr>
              <w:t>C</w:t>
            </w: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Times New Roman" w:hAnsi="Times New Roman" w:eastAsia="宋体" w:cs="Times New Roman"/>
                <w:i w:val="0"/>
                <w:iCs w:val="0"/>
                <w:color w:val="000000"/>
                <w:kern w:val="0"/>
                <w:sz w:val="21"/>
                <w:szCs w:val="21"/>
                <w:u w:val="none"/>
                <w:lang w:val="en-US" w:eastAsia="zh-CN" w:bidi="ar"/>
              </w:rPr>
              <w:t>CCCCC</w:t>
            </w:r>
            <w:r>
              <w:rPr>
                <w:rFonts w:hint="default" w:ascii="Times New Roman" w:hAnsi="Times New Roman" w:eastAsia="宋体" w:cs="Times New Roman"/>
                <w:i w:val="0"/>
                <w:iCs w:val="0"/>
                <w:color w:val="000000"/>
                <w:kern w:val="0"/>
                <w:sz w:val="21"/>
                <w:szCs w:val="21"/>
                <w:u w:val="none"/>
                <w:lang w:val="en-US" w:eastAsia="zh-CN" w:bidi="ar"/>
              </w:rPr>
              <w:t>1O</w:t>
            </w:r>
          </w:p>
        </w:tc>
        <w:tc>
          <w:tcPr>
            <w:tcW w:w="2210" w:type="dxa"/>
            <w:vAlign w:val="center"/>
          </w:tcPr>
          <w:p w14:paraId="1A23B0B2">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Segoe UI" w:cs="Times New Roman"/>
                <w:i w:val="0"/>
                <w:iCs w:val="0"/>
                <w:caps w:val="0"/>
                <w:spacing w:val="0"/>
                <w:sz w:val="21"/>
                <w:szCs w:val="21"/>
              </w:rPr>
              <w:t>C7H6O3</w:t>
            </w:r>
          </w:p>
        </w:tc>
        <w:tc>
          <w:tcPr>
            <w:tcW w:w="1059" w:type="dxa"/>
            <w:vAlign w:val="center"/>
          </w:tcPr>
          <w:p w14:paraId="7D01EF67">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cs="Times New Roman"/>
              </w:rPr>
              <w:t>138.0317</w:t>
            </w:r>
          </w:p>
        </w:tc>
        <w:tc>
          <w:tcPr>
            <w:tcW w:w="1625" w:type="dxa"/>
            <w:vAlign w:val="center"/>
          </w:tcPr>
          <w:p w14:paraId="7208A7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0.18</w:t>
            </w:r>
          </w:p>
        </w:tc>
        <w:tc>
          <w:tcPr>
            <w:tcW w:w="2804" w:type="dxa"/>
            <w:vAlign w:val="center"/>
          </w:tcPr>
          <w:p w14:paraId="0A9CFAE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hydrolysis_(ester)</w:t>
            </w:r>
          </w:p>
        </w:tc>
        <w:tc>
          <w:tcPr>
            <w:tcW w:w="1651" w:type="dxa"/>
            <w:vAlign w:val="center"/>
          </w:tcPr>
          <w:p w14:paraId="372A0A86">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sz w:val="21"/>
                <w:szCs w:val="21"/>
              </w:rPr>
              <w:drawing>
                <wp:inline distT="0" distB="0" distL="114300" distR="114300">
                  <wp:extent cx="663575" cy="467995"/>
                  <wp:effectExtent l="0" t="0" r="3175" b="8255"/>
                  <wp:docPr id="4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1"/>
                          <pic:cNvPicPr>
                            <a:picLocks noChangeAspect="1"/>
                          </pic:cNvPicPr>
                        </pic:nvPicPr>
                        <pic:blipFill>
                          <a:blip r:embed="rId14"/>
                          <a:stretch>
                            <a:fillRect/>
                          </a:stretch>
                        </pic:blipFill>
                        <pic:spPr>
                          <a:xfrm>
                            <a:off x="0" y="0"/>
                            <a:ext cx="663575" cy="467995"/>
                          </a:xfrm>
                          <a:prstGeom prst="rect">
                            <a:avLst/>
                          </a:prstGeom>
                          <a:noFill/>
                          <a:ln>
                            <a:noFill/>
                          </a:ln>
                        </pic:spPr>
                      </pic:pic>
                    </a:graphicData>
                  </a:graphic>
                </wp:inline>
              </w:drawing>
            </w:r>
          </w:p>
        </w:tc>
      </w:tr>
      <w:tr w14:paraId="16C971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1938" w:type="dxa"/>
            <w:vAlign w:val="center"/>
          </w:tcPr>
          <w:p w14:paraId="673A240A">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val="0"/>
                <w:bCs w:val="0"/>
                <w:i w:val="0"/>
                <w:i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i w:val="0"/>
                <w:iCs w:val="0"/>
                <w:color w:val="000000" w:themeColor="text1"/>
                <w:sz w:val="21"/>
                <w:szCs w:val="21"/>
                <w:highlight w:val="none"/>
                <w:vertAlign w:val="baseline"/>
                <w:lang w:val="en-US" w:eastAsia="zh-CN"/>
                <w14:textFill>
                  <w14:solidFill>
                    <w14:schemeClr w14:val="tx1"/>
                  </w14:solidFill>
                </w14:textFill>
              </w:rPr>
              <w:t>3,3,5-Trimethylcyclohexanol</w:t>
            </w:r>
          </w:p>
        </w:tc>
        <w:tc>
          <w:tcPr>
            <w:tcW w:w="2437" w:type="dxa"/>
            <w:vAlign w:val="center"/>
          </w:tcPr>
          <w:p w14:paraId="50DAC75A">
            <w:pPr>
              <w:keepNext w:val="0"/>
              <w:keepLines w:val="0"/>
              <w:widowControl/>
              <w:suppressLineNumbers w:val="0"/>
              <w:jc w:val="left"/>
              <w:textAlignment w:val="center"/>
              <w:rPr>
                <w:rFonts w:hint="default" w:ascii="Times New Roman" w:hAnsi="Times New Roman" w:eastAsia="宋体"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CC1CC(O)CC(</w:t>
            </w:r>
            <w:bookmarkStart w:id="0" w:name="_GoBack"/>
            <w:bookmarkEnd w:id="0"/>
            <w:r>
              <w:rPr>
                <w:rFonts w:hint="default" w:ascii="Times New Roman" w:hAnsi="Times New Roman" w:eastAsia="宋体" w:cs="Times New Roman"/>
                <w:i w:val="0"/>
                <w:iCs w:val="0"/>
                <w:color w:val="000000"/>
                <w:kern w:val="0"/>
                <w:sz w:val="21"/>
                <w:szCs w:val="21"/>
                <w:u w:val="none"/>
                <w:lang w:val="en-US" w:eastAsia="zh-CN" w:bidi="ar"/>
              </w:rPr>
              <w:t>C)(C)C1</w:t>
            </w:r>
          </w:p>
        </w:tc>
        <w:tc>
          <w:tcPr>
            <w:tcW w:w="2210" w:type="dxa"/>
            <w:vAlign w:val="center"/>
          </w:tcPr>
          <w:p w14:paraId="32E42100">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Segoe UI" w:cs="Times New Roman"/>
                <w:i w:val="0"/>
                <w:iCs w:val="0"/>
                <w:caps w:val="0"/>
                <w:spacing w:val="0"/>
                <w:sz w:val="21"/>
                <w:szCs w:val="21"/>
              </w:rPr>
              <w:t>C9H18O</w:t>
            </w:r>
          </w:p>
        </w:tc>
        <w:tc>
          <w:tcPr>
            <w:tcW w:w="1059" w:type="dxa"/>
            <w:vAlign w:val="center"/>
          </w:tcPr>
          <w:p w14:paraId="2317BEE1">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cs="Times New Roman"/>
              </w:rPr>
              <w:t>142.1358</w:t>
            </w:r>
          </w:p>
        </w:tc>
        <w:tc>
          <w:tcPr>
            <w:tcW w:w="1625" w:type="dxa"/>
            <w:vAlign w:val="center"/>
          </w:tcPr>
          <w:p w14:paraId="028ED6A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i w:val="0"/>
                <w:iCs w:val="0"/>
                <w:color w:val="auto"/>
                <w:sz w:val="21"/>
                <w:szCs w:val="21"/>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0.18</w:t>
            </w:r>
          </w:p>
        </w:tc>
        <w:tc>
          <w:tcPr>
            <w:tcW w:w="2804" w:type="dxa"/>
            <w:vAlign w:val="center"/>
          </w:tcPr>
          <w:p w14:paraId="71BAA51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hydrolysis_(ester)</w:t>
            </w:r>
          </w:p>
        </w:tc>
        <w:tc>
          <w:tcPr>
            <w:tcW w:w="1651" w:type="dxa"/>
            <w:vAlign w:val="center"/>
          </w:tcPr>
          <w:p w14:paraId="2C9D64C7">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cs="Times New Roman"/>
                <w:sz w:val="21"/>
                <w:szCs w:val="21"/>
              </w:rPr>
              <w:drawing>
                <wp:inline distT="0" distB="0" distL="114300" distR="114300">
                  <wp:extent cx="556260" cy="504190"/>
                  <wp:effectExtent l="0" t="0" r="15240" b="10160"/>
                  <wp:docPr id="3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8"/>
                          <pic:cNvPicPr>
                            <a:picLocks noChangeAspect="1"/>
                          </pic:cNvPicPr>
                        </pic:nvPicPr>
                        <pic:blipFill>
                          <a:blip r:embed="rId15"/>
                          <a:stretch>
                            <a:fillRect/>
                          </a:stretch>
                        </pic:blipFill>
                        <pic:spPr>
                          <a:xfrm>
                            <a:off x="0" y="0"/>
                            <a:ext cx="556260" cy="504190"/>
                          </a:xfrm>
                          <a:prstGeom prst="rect">
                            <a:avLst/>
                          </a:prstGeom>
                          <a:noFill/>
                          <a:ln>
                            <a:noFill/>
                          </a:ln>
                        </pic:spPr>
                      </pic:pic>
                    </a:graphicData>
                  </a:graphic>
                </wp:inline>
              </w:drawing>
            </w:r>
          </w:p>
        </w:tc>
      </w:tr>
    </w:tbl>
    <w:p w14:paraId="21E7CEEC">
      <w:pPr>
        <w:rPr>
          <w:rFonts w:hint="eastAsia" w:ascii="Times New Roman" w:hAnsi="Times New Roman" w:cs="Times New Roman"/>
          <w:b/>
          <w:bCs/>
          <w:i w:val="0"/>
          <w:iCs w:val="0"/>
          <w:color w:val="auto"/>
          <w:sz w:val="24"/>
          <w:szCs w:val="24"/>
          <w:highlight w:val="none"/>
          <w:lang w:val="en-US" w:eastAsia="zh-CN"/>
        </w:rPr>
      </w:pPr>
      <w:r>
        <w:rPr>
          <w:rFonts w:ascii="Times New Roman" w:hAnsi="Times New Roman" w:eastAsia="Times New Roman"/>
          <w:b/>
          <w:bCs/>
          <w:sz w:val="22"/>
        </w:rPr>
        <w:t xml:space="preserve">Note: </w:t>
      </w:r>
      <w:r>
        <w:rPr>
          <w:rFonts w:ascii="Times New Roman" w:hAnsi="Times New Roman" w:eastAsia="Times New Roman"/>
          <w:sz w:val="22"/>
        </w:rPr>
        <w:t>Hydrolysis products were generated with the Phase I module of GLORYx (de Bruyn Kops et al. 2021); priority scores are those reported by the GLORYx output.</w:t>
      </w:r>
    </w:p>
    <w:p w14:paraId="3107F01A">
      <w:pPr>
        <w:rPr>
          <w:rFonts w:hint="eastAsia" w:ascii="Times New Roman" w:hAnsi="Times New Roman" w:cs="Times New Roman"/>
          <w:b/>
          <w:bCs/>
          <w:i w:val="0"/>
          <w:iCs w:val="0"/>
          <w:color w:val="auto"/>
          <w:sz w:val="24"/>
          <w:szCs w:val="24"/>
          <w:highlight w:val="none"/>
          <w:lang w:val="en-US" w:eastAsia="zh-CN"/>
        </w:rPr>
      </w:pPr>
      <w:r>
        <w:rPr>
          <w:rFonts w:hint="eastAsia" w:ascii="Times New Roman" w:hAnsi="Times New Roman" w:cs="Times New Roman"/>
          <w:b/>
          <w:bCs/>
          <w:i w:val="0"/>
          <w:iCs w:val="0"/>
          <w:color w:val="auto"/>
          <w:sz w:val="24"/>
          <w:szCs w:val="24"/>
          <w:highlight w:val="none"/>
          <w:lang w:val="en-US" w:eastAsia="zh-CN"/>
        </w:rPr>
        <w:br w:type="page"/>
      </w:r>
    </w:p>
    <w:p w14:paraId="2A843837">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b/>
          <w:bCs/>
          <w:i w:val="0"/>
          <w:iCs w:val="0"/>
          <w:color w:val="auto"/>
          <w:sz w:val="24"/>
          <w:szCs w:val="24"/>
          <w:highlight w:val="none"/>
          <w:lang w:val="en-US" w:eastAsia="zh-CN"/>
        </w:rPr>
      </w:pPr>
      <w:r>
        <w:rPr>
          <w:rFonts w:hint="eastAsia" w:ascii="Times New Roman" w:hAnsi="Times New Roman" w:cs="Times New Roman"/>
          <w:b/>
          <w:bCs/>
          <w:i w:val="0"/>
          <w:iCs w:val="0"/>
          <w:color w:val="auto"/>
          <w:sz w:val="24"/>
          <w:szCs w:val="24"/>
          <w:highlight w:val="none"/>
          <w:lang w:val="en-US" w:eastAsia="zh-CN"/>
        </w:rPr>
        <w:t>Table S4. Molecular docking results of HMS/C6/C8/C9 with PR receptor (PDB 1A28)</w:t>
      </w:r>
    </w:p>
    <w:tbl>
      <w:tblPr>
        <w:tblStyle w:val="10"/>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63"/>
        <w:gridCol w:w="3454"/>
        <w:gridCol w:w="5697"/>
        <w:gridCol w:w="2685"/>
      </w:tblGrid>
      <w:tr w14:paraId="3E7264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 w:hRule="atLeast"/>
          <w:jc w:val="center"/>
        </w:trPr>
        <w:tc>
          <w:tcPr>
            <w:tcW w:w="1263" w:type="dxa"/>
            <w:tcBorders>
              <w:bottom w:val="single" w:color="auto" w:sz="4" w:space="0"/>
            </w:tcBorders>
            <w:vAlign w:val="center"/>
          </w:tcPr>
          <w:p w14:paraId="2E43B4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Compound</w:t>
            </w:r>
          </w:p>
        </w:tc>
        <w:tc>
          <w:tcPr>
            <w:tcW w:w="3454" w:type="dxa"/>
            <w:tcBorders>
              <w:bottom w:val="single" w:color="auto" w:sz="4" w:space="0"/>
            </w:tcBorders>
            <w:vAlign w:val="center"/>
          </w:tcPr>
          <w:p w14:paraId="41CA06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Hydrogen Bond (Residue, Å)</w:t>
            </w:r>
          </w:p>
        </w:tc>
        <w:tc>
          <w:tcPr>
            <w:tcW w:w="5697" w:type="dxa"/>
            <w:tcBorders>
              <w:bottom w:val="single" w:color="auto" w:sz="4" w:space="0"/>
            </w:tcBorders>
            <w:vAlign w:val="center"/>
          </w:tcPr>
          <w:p w14:paraId="546068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Hydrophobic Interaction (Residues)</w:t>
            </w:r>
          </w:p>
        </w:tc>
        <w:tc>
          <w:tcPr>
            <w:tcW w:w="2685" w:type="dxa"/>
            <w:tcBorders>
              <w:bottom w:val="single" w:color="auto" w:sz="4" w:space="0"/>
            </w:tcBorders>
            <w:vAlign w:val="center"/>
          </w:tcPr>
          <w:p w14:paraId="19C74E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Docking Energy (kcal/mol)</w:t>
            </w:r>
          </w:p>
        </w:tc>
      </w:tr>
      <w:tr w14:paraId="635DD2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2" w:hRule="atLeast"/>
          <w:jc w:val="center"/>
        </w:trPr>
        <w:tc>
          <w:tcPr>
            <w:tcW w:w="1263" w:type="dxa"/>
            <w:tcBorders>
              <w:top w:val="single" w:color="auto" w:sz="4" w:space="0"/>
            </w:tcBorders>
            <w:vAlign w:val="center"/>
          </w:tcPr>
          <w:p w14:paraId="271C61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HMS</w:t>
            </w:r>
          </w:p>
        </w:tc>
        <w:tc>
          <w:tcPr>
            <w:tcW w:w="3454" w:type="dxa"/>
            <w:tcBorders>
              <w:top w:val="single" w:color="auto" w:sz="4" w:space="0"/>
            </w:tcBorders>
            <w:vAlign w:val="center"/>
          </w:tcPr>
          <w:p w14:paraId="485A2E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LEU718 (1.7 Å)</w:t>
            </w:r>
          </w:p>
        </w:tc>
        <w:tc>
          <w:tcPr>
            <w:tcW w:w="5697" w:type="dxa"/>
            <w:tcBorders>
              <w:top w:val="single" w:color="auto" w:sz="4" w:space="0"/>
            </w:tcBorders>
            <w:vAlign w:val="center"/>
          </w:tcPr>
          <w:p w14:paraId="7BBB11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LEU715, LEU718, LEU721, MET759, PHE778, PHE794, LEU797, MET801, LEU887, CYS891, PHE905</w:t>
            </w:r>
          </w:p>
        </w:tc>
        <w:tc>
          <w:tcPr>
            <w:tcW w:w="2685" w:type="dxa"/>
            <w:tcBorders>
              <w:top w:val="single" w:color="auto" w:sz="4" w:space="0"/>
            </w:tcBorders>
            <w:vAlign w:val="center"/>
          </w:tcPr>
          <w:p w14:paraId="4AE66B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-6.04</w:t>
            </w:r>
          </w:p>
        </w:tc>
      </w:tr>
      <w:tr w14:paraId="06FCA7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5" w:hRule="atLeast"/>
          <w:jc w:val="center"/>
        </w:trPr>
        <w:tc>
          <w:tcPr>
            <w:tcW w:w="1263" w:type="dxa"/>
            <w:vAlign w:val="center"/>
          </w:tcPr>
          <w:p w14:paraId="4648BC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C6</w:t>
            </w:r>
          </w:p>
        </w:tc>
        <w:tc>
          <w:tcPr>
            <w:tcW w:w="3454" w:type="dxa"/>
            <w:vAlign w:val="center"/>
          </w:tcPr>
          <w:p w14:paraId="4FF25A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GLN725 (2.1 Å); LEU718 (1.9 Å)</w:t>
            </w:r>
          </w:p>
        </w:tc>
        <w:tc>
          <w:tcPr>
            <w:tcW w:w="5697" w:type="dxa"/>
            <w:vAlign w:val="center"/>
          </w:tcPr>
          <w:p w14:paraId="25D9F2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LEU715, LEU718, LEU721, PHE794, LEU797, MET801, CYS891, PHE905</w:t>
            </w:r>
          </w:p>
        </w:tc>
        <w:tc>
          <w:tcPr>
            <w:tcW w:w="2685" w:type="dxa"/>
            <w:vAlign w:val="center"/>
          </w:tcPr>
          <w:p w14:paraId="49DC2C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-6.53</w:t>
            </w:r>
          </w:p>
        </w:tc>
      </w:tr>
      <w:tr w14:paraId="7684E6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7" w:hRule="atLeast"/>
          <w:jc w:val="center"/>
        </w:trPr>
        <w:tc>
          <w:tcPr>
            <w:tcW w:w="1263" w:type="dxa"/>
            <w:vAlign w:val="center"/>
          </w:tcPr>
          <w:p w14:paraId="0802BE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C8</w:t>
            </w:r>
          </w:p>
        </w:tc>
        <w:tc>
          <w:tcPr>
            <w:tcW w:w="3454" w:type="dxa"/>
            <w:vAlign w:val="center"/>
          </w:tcPr>
          <w:p w14:paraId="2DE352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GLY722 (3.0 Å); LEU718 (1.8 Å); ASN719 (2.0 Å)</w:t>
            </w:r>
          </w:p>
        </w:tc>
        <w:tc>
          <w:tcPr>
            <w:tcW w:w="5697" w:type="dxa"/>
            <w:vAlign w:val="center"/>
          </w:tcPr>
          <w:p w14:paraId="5A88FA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LEU721, MET756, MET759, CYS891, LEU797, LEU887, PHE905</w:t>
            </w:r>
          </w:p>
        </w:tc>
        <w:tc>
          <w:tcPr>
            <w:tcW w:w="2685" w:type="dxa"/>
            <w:vAlign w:val="center"/>
          </w:tcPr>
          <w:p w14:paraId="5A873C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-6.18</w:t>
            </w:r>
          </w:p>
        </w:tc>
      </w:tr>
      <w:tr w14:paraId="7127DC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 w:hRule="atLeast"/>
          <w:jc w:val="center"/>
        </w:trPr>
        <w:tc>
          <w:tcPr>
            <w:tcW w:w="1263" w:type="dxa"/>
            <w:vAlign w:val="center"/>
          </w:tcPr>
          <w:p w14:paraId="51D969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C9</w:t>
            </w:r>
          </w:p>
        </w:tc>
        <w:tc>
          <w:tcPr>
            <w:tcW w:w="3454" w:type="dxa"/>
            <w:vAlign w:val="center"/>
          </w:tcPr>
          <w:p w14:paraId="0839D3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LEU718 (2.0 Å); ASN719 (1.9 Å)</w:t>
            </w:r>
          </w:p>
        </w:tc>
        <w:tc>
          <w:tcPr>
            <w:tcW w:w="5697" w:type="dxa"/>
            <w:vAlign w:val="center"/>
          </w:tcPr>
          <w:p w14:paraId="4F2B85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MET756, CYS891, LEU797, LEU887, PHE905</w:t>
            </w:r>
          </w:p>
        </w:tc>
        <w:tc>
          <w:tcPr>
            <w:tcW w:w="2685" w:type="dxa"/>
            <w:vAlign w:val="center"/>
          </w:tcPr>
          <w:p w14:paraId="1E6452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ascii="Times New Roman" w:hAnsi="Times New Roman"/>
                <w:sz w:val="21"/>
                <w:szCs w:val="21"/>
              </w:rPr>
              <w:t>-5.79</w:t>
            </w:r>
          </w:p>
        </w:tc>
      </w:tr>
    </w:tbl>
    <w:p w14:paraId="08973571">
      <w:pPr>
        <w:spacing w:before="0" w:after="120" w:line="360" w:lineRule="auto"/>
        <w:ind w:firstLine="440" w:firstLineChars="200"/>
      </w:pPr>
      <w:r>
        <w:rPr>
          <w:rFonts w:ascii="Times New Roman" w:hAnsi="Times New Roman" w:eastAsia="Times New Roman"/>
          <w:b/>
          <w:bCs/>
          <w:sz w:val="22"/>
        </w:rPr>
        <w:t xml:space="preserve">Note: </w:t>
      </w:r>
      <w:r>
        <w:rPr>
          <w:rFonts w:ascii="Times New Roman" w:hAnsi="Times New Roman" w:eastAsia="Times New Roman"/>
          <w:sz w:val="22"/>
        </w:rPr>
        <w:t>Hydrogen-bond distances are given in Å; docking energies in kcal/mol (more negative values indicate stronger predicted binding).</w:t>
      </w:r>
    </w:p>
    <w:p w14:paraId="2C544AE8">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i w:val="0"/>
          <w:iCs w:val="0"/>
          <w:color w:val="auto"/>
          <w:sz w:val="24"/>
          <w:szCs w:val="24"/>
          <w:highlight w:val="none"/>
          <w:lang w:val="en-US" w:eastAsia="zh-CN"/>
        </w:rPr>
      </w:pPr>
    </w:p>
    <w:p w14:paraId="4062AC1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bCs/>
          <w:i w:val="0"/>
          <w:iCs w:val="0"/>
          <w:color w:val="auto"/>
          <w:sz w:val="24"/>
          <w:szCs w:val="24"/>
          <w:highlight w:val="none"/>
          <w:lang w:val="en-US" w:eastAsia="zh-CN"/>
        </w:rPr>
      </w:pPr>
    </w:p>
    <w:p w14:paraId="71EE213B">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i w:val="0"/>
          <w:iCs w:val="0"/>
          <w:color w:val="auto"/>
          <w:sz w:val="24"/>
          <w:szCs w:val="24"/>
          <w:highlight w:val="none"/>
          <w:lang w:val="en-US" w:eastAsia="zh-CN"/>
        </w:rPr>
        <w:sectPr>
          <w:pgSz w:w="16838" w:h="11906" w:orient="landscape"/>
          <w:pgMar w:top="1800" w:right="1440" w:bottom="1800" w:left="1440" w:header="851" w:footer="992" w:gutter="0"/>
          <w:cols w:space="0" w:num="1"/>
          <w:rtlGutter w:val="0"/>
          <w:docGrid w:type="lines" w:linePitch="387" w:charSpace="0"/>
        </w:sectPr>
      </w:pPr>
    </w:p>
    <w:p w14:paraId="65C498F1">
      <w:pPr>
        <w:keepNext w:val="0"/>
        <w:keepLines w:val="0"/>
        <w:pageBreakBefore w:val="0"/>
        <w:widowControl/>
        <w:kinsoku/>
        <w:wordWrap/>
        <w:overflowPunct/>
        <w:topLinePunct w:val="0"/>
        <w:autoSpaceDE/>
        <w:autoSpaceDN/>
        <w:bidi w:val="0"/>
        <w:adjustRightInd/>
        <w:snapToGrid/>
        <w:spacing w:after="0" w:line="480" w:lineRule="auto"/>
        <w:jc w:val="center"/>
        <w:textAlignment w:val="auto"/>
      </w:pPr>
      <w:r>
        <w:drawing>
          <wp:inline distT="0" distB="0" distL="114300" distR="114300">
            <wp:extent cx="5213350" cy="3599815"/>
            <wp:effectExtent l="0" t="0" r="6350" b="63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16"/>
                    <a:stretch>
                      <a:fillRect/>
                    </a:stretch>
                  </pic:blipFill>
                  <pic:spPr>
                    <a:xfrm>
                      <a:off x="0" y="0"/>
                      <a:ext cx="5213350" cy="3599815"/>
                    </a:xfrm>
                    <a:prstGeom prst="rect">
                      <a:avLst/>
                    </a:prstGeom>
                  </pic:spPr>
                </pic:pic>
              </a:graphicData>
            </a:graphic>
          </wp:inline>
        </w:drawing>
      </w:r>
    </w:p>
    <w:p w14:paraId="14E7EDE3">
      <w:pPr>
        <w:keepNext w:val="0"/>
        <w:keepLines w:val="0"/>
        <w:pageBreakBefore w:val="0"/>
        <w:kinsoku/>
        <w:wordWrap/>
        <w:overflowPunct/>
        <w:topLinePunct w:val="0"/>
        <w:autoSpaceDE/>
        <w:autoSpaceDN/>
        <w:bidi w:val="0"/>
        <w:adjustRightInd/>
        <w:snapToGrid/>
        <w:spacing w:line="480" w:lineRule="auto"/>
        <w:jc w:val="center"/>
        <w:rPr>
          <w:rFonts w:hint="default" w:ascii="Times New Roman" w:hAnsi="Times New Roman" w:cs="Times New Roman"/>
          <w:b/>
          <w:bCs/>
          <w:lang w:val="en-US" w:eastAsia="zh-CN"/>
        </w:rPr>
        <w:sectPr>
          <w:pgSz w:w="11906" w:h="16838"/>
          <w:pgMar w:top="1440" w:right="1800" w:bottom="1440" w:left="1800" w:header="851" w:footer="992" w:gutter="0"/>
          <w:cols w:space="0" w:num="1"/>
          <w:rtlGutter w:val="0"/>
          <w:docGrid w:type="lines" w:linePitch="387" w:charSpace="0"/>
        </w:sectPr>
      </w:pPr>
      <w:r>
        <w:rPr>
          <w:rFonts w:hint="default" w:ascii="Times New Roman" w:hAnsi="Times New Roman" w:cs="Times New Roman"/>
          <w:b/>
          <w:bCs/>
          <w:lang w:val="en-US" w:eastAsia="zh-CN"/>
        </w:rPr>
        <w:t>Fig</w:t>
      </w:r>
      <w:r>
        <w:rPr>
          <w:rFonts w:hint="eastAsia" w:ascii="Times New Roman" w:hAnsi="Times New Roman" w:cs="Times New Roman"/>
          <w:b/>
          <w:bCs/>
          <w:lang w:val="en-US" w:eastAsia="zh-CN"/>
        </w:rPr>
        <w:t xml:space="preserve">. </w:t>
      </w:r>
      <w:r>
        <w:rPr>
          <w:rFonts w:hint="default" w:ascii="Times New Roman" w:hAnsi="Times New Roman" w:cs="Times New Roman"/>
          <w:b/>
          <w:bCs/>
          <w:lang w:val="en-US" w:eastAsia="zh-CN"/>
        </w:rPr>
        <w:t>S1. Toxicological hazard prediction of HMS based on Toxtree</w:t>
      </w:r>
      <w:r>
        <w:rPr>
          <w:rFonts w:hint="default" w:ascii="Times New Roman" w:hAnsi="Times New Roman" w:cs="Times New Roman"/>
          <w:b/>
          <w:bCs/>
          <w:lang w:val="en-US" w:eastAsia="zh-CN"/>
        </w:rPr>
        <w:br w:type="page"/>
      </w:r>
    </w:p>
    <w:p w14:paraId="5DE2E5F4">
      <w:pPr>
        <w:keepNext w:val="0"/>
        <w:keepLines w:val="0"/>
        <w:pageBreakBefore w:val="0"/>
        <w:widowControl/>
        <w:kinsoku/>
        <w:wordWrap/>
        <w:overflowPunct/>
        <w:topLinePunct w:val="0"/>
        <w:autoSpaceDE/>
        <w:autoSpaceDN/>
        <w:bidi w:val="0"/>
        <w:adjustRightInd/>
        <w:snapToGrid/>
        <w:spacing w:after="0" w:line="480" w:lineRule="auto"/>
        <w:jc w:val="center"/>
        <w:textAlignment w:val="auto"/>
        <w:rPr>
          <w:rFonts w:hint="default"/>
          <w:lang w:val="en-US" w:eastAsia="zh-CN"/>
        </w:rPr>
      </w:pPr>
      <w:r>
        <w:rPr>
          <w:rFonts w:hint="default"/>
          <w:lang w:val="en-US" w:eastAsia="zh-CN"/>
        </w:rPr>
        <w:drawing>
          <wp:inline distT="0" distB="0" distL="114300" distR="114300">
            <wp:extent cx="8641715" cy="3599815"/>
            <wp:effectExtent l="0" t="0" r="6985" b="635"/>
            <wp:docPr id="14" name="图片 14" descr="H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HCM"/>
                    <pic:cNvPicPr>
                      <a:picLocks noChangeAspect="1"/>
                    </pic:cNvPicPr>
                  </pic:nvPicPr>
                  <pic:blipFill>
                    <a:blip r:embed="rId17"/>
                    <a:stretch>
                      <a:fillRect/>
                    </a:stretch>
                  </pic:blipFill>
                  <pic:spPr>
                    <a:xfrm>
                      <a:off x="0" y="0"/>
                      <a:ext cx="8641715" cy="3599815"/>
                    </a:xfrm>
                    <a:prstGeom prst="rect">
                      <a:avLst/>
                    </a:prstGeom>
                  </pic:spPr>
                </pic:pic>
              </a:graphicData>
            </a:graphic>
          </wp:inline>
        </w:drawing>
      </w:r>
    </w:p>
    <w:p w14:paraId="5DDF4BF6">
      <w:pPr>
        <w:keepNext w:val="0"/>
        <w:keepLines w:val="0"/>
        <w:pageBreakBefore w:val="0"/>
        <w:widowControl/>
        <w:kinsoku/>
        <w:wordWrap/>
        <w:overflowPunct/>
        <w:topLinePunct w:val="0"/>
        <w:autoSpaceDE/>
        <w:autoSpaceDN/>
        <w:bidi w:val="0"/>
        <w:adjustRightInd/>
        <w:snapToGrid/>
        <w:spacing w:after="0" w:line="480" w:lineRule="auto"/>
        <w:jc w:val="center"/>
        <w:textAlignment w:val="auto"/>
        <w:rPr>
          <w:rFonts w:hint="eastAsia" w:ascii="Times New Roman" w:hAnsi="Times New Roman" w:cs="Times New Roman"/>
          <w:b/>
          <w:bCs/>
          <w:lang w:val="en-US" w:eastAsia="zh-CN"/>
        </w:rPr>
      </w:pPr>
      <w:r>
        <w:rPr>
          <w:rFonts w:hint="eastAsia" w:ascii="Times New Roman" w:hAnsi="Times New Roman" w:cs="Times New Roman"/>
          <w:b/>
          <w:bCs/>
          <w:lang w:val="en-US" w:eastAsia="zh-CN"/>
        </w:rPr>
        <w:t>Fig. S2. Hazard prediction of HMS based on the EPA Hazard Cheminformatics Module (HCM)</w:t>
      </w:r>
    </w:p>
    <w:p w14:paraId="7FE1C791">
      <w:pPr>
        <w:keepNext w:val="0"/>
        <w:keepLines w:val="0"/>
        <w:pageBreakBefore w:val="0"/>
        <w:kinsoku/>
        <w:wordWrap/>
        <w:overflowPunct/>
        <w:topLinePunct w:val="0"/>
        <w:autoSpaceDE/>
        <w:autoSpaceDN/>
        <w:bidi w:val="0"/>
        <w:adjustRightInd/>
        <w:snapToGrid/>
        <w:spacing w:line="480" w:lineRule="auto"/>
        <w:rPr>
          <w:rFonts w:hint="eastAsia" w:ascii="Times New Roman" w:hAnsi="Times New Roman" w:cs="Times New Roman"/>
          <w:b/>
          <w:bCs/>
          <w:lang w:val="en-US" w:eastAsia="zh-CN"/>
        </w:rPr>
        <w:sectPr>
          <w:pgSz w:w="16838" w:h="11906" w:orient="landscape"/>
          <w:pgMar w:top="1800" w:right="1440" w:bottom="1800" w:left="1440" w:header="851" w:footer="992" w:gutter="0"/>
          <w:cols w:space="0" w:num="1"/>
          <w:rtlGutter w:val="0"/>
          <w:docGrid w:type="lines" w:linePitch="387" w:charSpace="0"/>
        </w:sectPr>
      </w:pPr>
      <w:r>
        <w:rPr>
          <w:rFonts w:hint="eastAsia" w:ascii="Times New Roman" w:hAnsi="Times New Roman" w:cs="Times New Roman"/>
          <w:b/>
          <w:bCs/>
          <w:lang w:val="en-US" w:eastAsia="zh-CN"/>
        </w:rPr>
        <w:br w:type="page"/>
      </w:r>
    </w:p>
    <w:p w14:paraId="6F42A285">
      <w:pPr>
        <w:keepNext w:val="0"/>
        <w:keepLines w:val="0"/>
        <w:pageBreakBefore w:val="0"/>
        <w:widowControl/>
        <w:kinsoku/>
        <w:wordWrap/>
        <w:overflowPunct/>
        <w:topLinePunct w:val="0"/>
        <w:autoSpaceDE/>
        <w:autoSpaceDN/>
        <w:bidi w:val="0"/>
        <w:adjustRightInd/>
        <w:snapToGrid/>
        <w:spacing w:after="0" w:line="480" w:lineRule="auto"/>
        <w:jc w:val="center"/>
        <w:textAlignment w:val="auto"/>
        <w:rPr>
          <w:rFonts w:hint="default" w:ascii="Times New Roman" w:hAnsi="Times New Roman" w:eastAsia="宋体" w:cs="Times New Roman"/>
        </w:rPr>
      </w:pPr>
      <w:r>
        <w:drawing>
          <wp:inline distT="0" distB="0" distL="114300" distR="114300">
            <wp:extent cx="5267325" cy="1773555"/>
            <wp:effectExtent l="0" t="0" r="9525" b="17145"/>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18"/>
                    <a:stretch>
                      <a:fillRect/>
                    </a:stretch>
                  </pic:blipFill>
                  <pic:spPr>
                    <a:xfrm>
                      <a:off x="0" y="0"/>
                      <a:ext cx="5267325" cy="1773555"/>
                    </a:xfrm>
                    <a:prstGeom prst="rect">
                      <a:avLst/>
                    </a:prstGeom>
                    <a:noFill/>
                    <a:ln>
                      <a:noFill/>
                    </a:ln>
                  </pic:spPr>
                </pic:pic>
              </a:graphicData>
            </a:graphic>
          </wp:inline>
        </w:drawing>
      </w:r>
    </w:p>
    <w:p w14:paraId="6E0DACEF">
      <w:pPr>
        <w:keepNext w:val="0"/>
        <w:keepLines w:val="0"/>
        <w:pageBreakBefore w:val="0"/>
        <w:kinsoku/>
        <w:wordWrap/>
        <w:overflowPunct/>
        <w:topLinePunct w:val="0"/>
        <w:autoSpaceDE/>
        <w:autoSpaceDN/>
        <w:bidi w:val="0"/>
        <w:adjustRightInd/>
        <w:snapToGrid/>
        <w:spacing w:line="480" w:lineRule="auto"/>
        <w:jc w:val="center"/>
        <w:rPr>
          <w:rFonts w:hint="default" w:ascii="Times New Roman" w:hAnsi="Times New Roman" w:cs="Times New Roman"/>
          <w:b/>
          <w:bCs/>
          <w:lang w:val="en-US" w:eastAsia="zh-CN"/>
        </w:rPr>
      </w:pPr>
      <w:r>
        <w:rPr>
          <w:rFonts w:hint="default" w:ascii="Times New Roman" w:hAnsi="Times New Roman" w:cs="Times New Roman"/>
          <w:b/>
          <w:bCs/>
          <w:lang w:val="en-US" w:eastAsia="zh-CN"/>
        </w:rPr>
        <w:t>Fig</w:t>
      </w:r>
      <w:r>
        <w:rPr>
          <w:rFonts w:hint="eastAsia" w:ascii="Times New Roman" w:hAnsi="Times New Roman" w:cs="Times New Roman"/>
          <w:b/>
          <w:bCs/>
          <w:lang w:val="en-US" w:eastAsia="zh-CN"/>
        </w:rPr>
        <w:t xml:space="preserve">. </w:t>
      </w:r>
      <w:r>
        <w:rPr>
          <w:rFonts w:hint="default" w:ascii="Times New Roman" w:hAnsi="Times New Roman" w:cs="Times New Roman"/>
          <w:b/>
          <w:bCs/>
          <w:lang w:val="en-US" w:eastAsia="zh-CN"/>
        </w:rPr>
        <w:t>S3. Toxicity prediction of HMS using the EPA WebTEST platform.</w:t>
      </w:r>
      <w:r>
        <w:rPr>
          <w:rFonts w:hint="default" w:ascii="Times New Roman" w:hAnsi="Times New Roman" w:cs="Times New Roman"/>
          <w:b/>
          <w:bCs/>
          <w:lang w:val="en-US" w:eastAsia="zh-CN"/>
        </w:rPr>
        <w:br w:type="page"/>
      </w:r>
    </w:p>
    <w:p w14:paraId="1A430847">
      <w:pPr>
        <w:keepNext w:val="0"/>
        <w:keepLines w:val="0"/>
        <w:pageBreakBefore w:val="0"/>
        <w:widowControl/>
        <w:kinsoku/>
        <w:wordWrap/>
        <w:overflowPunct/>
        <w:topLinePunct w:val="0"/>
        <w:autoSpaceDE/>
        <w:autoSpaceDN/>
        <w:bidi w:val="0"/>
        <w:adjustRightInd/>
        <w:snapToGrid/>
        <w:spacing w:after="0" w:line="480" w:lineRule="auto"/>
        <w:jc w:val="center"/>
        <w:textAlignment w:val="auto"/>
      </w:pPr>
      <w:r>
        <w:drawing>
          <wp:inline distT="0" distB="0" distL="114300" distR="114300">
            <wp:extent cx="5273040" cy="4549775"/>
            <wp:effectExtent l="0" t="0" r="3810" b="3175"/>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19"/>
                    <a:stretch>
                      <a:fillRect/>
                    </a:stretch>
                  </pic:blipFill>
                  <pic:spPr>
                    <a:xfrm>
                      <a:off x="0" y="0"/>
                      <a:ext cx="5273040" cy="4549775"/>
                    </a:xfrm>
                    <a:prstGeom prst="rect">
                      <a:avLst/>
                    </a:prstGeom>
                    <a:noFill/>
                    <a:ln>
                      <a:noFill/>
                    </a:ln>
                  </pic:spPr>
                </pic:pic>
              </a:graphicData>
            </a:graphic>
          </wp:inline>
        </w:drawing>
      </w:r>
    </w:p>
    <w:p w14:paraId="43176617">
      <w:pPr>
        <w:keepNext w:val="0"/>
        <w:keepLines w:val="0"/>
        <w:pageBreakBefore w:val="0"/>
        <w:widowControl/>
        <w:kinsoku/>
        <w:wordWrap/>
        <w:overflowPunct/>
        <w:topLinePunct w:val="0"/>
        <w:autoSpaceDE/>
        <w:autoSpaceDN/>
        <w:bidi w:val="0"/>
        <w:adjustRightInd/>
        <w:snapToGrid/>
        <w:spacing w:after="0" w:line="480" w:lineRule="auto"/>
        <w:jc w:val="center"/>
        <w:textAlignment w:val="auto"/>
        <w:rPr>
          <w:rFonts w:hint="eastAsia" w:ascii="Times New Roman" w:hAnsi="Times New Roman" w:cs="Times New Roman"/>
          <w:b/>
          <w:bCs/>
          <w:sz w:val="21"/>
          <w:szCs w:val="21"/>
          <w:lang w:val="en-US" w:eastAsia="zh-CN"/>
        </w:rPr>
        <w:sectPr>
          <w:pgSz w:w="11906" w:h="16838"/>
          <w:pgMar w:top="1440" w:right="1800" w:bottom="1440" w:left="1800" w:header="851" w:footer="992" w:gutter="0"/>
          <w:cols w:space="0" w:num="1"/>
          <w:rtlGutter w:val="0"/>
          <w:docGrid w:type="lines" w:linePitch="387" w:charSpace="0"/>
        </w:sectPr>
      </w:pPr>
      <w:r>
        <w:rPr>
          <w:rFonts w:hint="eastAsia" w:ascii="Times New Roman" w:hAnsi="Times New Roman" w:cs="Times New Roman"/>
          <w:b/>
          <w:bCs/>
          <w:sz w:val="21"/>
          <w:szCs w:val="21"/>
          <w:lang w:val="en-US" w:eastAsia="zh-CN"/>
        </w:rPr>
        <w:t>Fig. S4. Endocrine disrupting compound (EDC) screening results of HMS using EDC Profiler.</w:t>
      </w:r>
    </w:p>
    <w:p w14:paraId="05C58A23">
      <w:pPr>
        <w:keepNext w:val="0"/>
        <w:keepLines w:val="0"/>
        <w:pageBreakBefore w:val="0"/>
        <w:widowControl/>
        <w:kinsoku/>
        <w:wordWrap/>
        <w:overflowPunct/>
        <w:topLinePunct w:val="0"/>
        <w:autoSpaceDE/>
        <w:autoSpaceDN/>
        <w:bidi w:val="0"/>
        <w:adjustRightInd/>
        <w:snapToGrid/>
        <w:spacing w:after="0" w:line="480" w:lineRule="auto"/>
        <w:jc w:val="center"/>
        <w:textAlignment w:val="auto"/>
      </w:pPr>
      <w:r>
        <w:drawing>
          <wp:inline distT="0" distB="0" distL="114300" distR="114300">
            <wp:extent cx="5266055" cy="4031615"/>
            <wp:effectExtent l="0" t="0" r="10795" b="6985"/>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20"/>
                    <a:stretch>
                      <a:fillRect/>
                    </a:stretch>
                  </pic:blipFill>
                  <pic:spPr>
                    <a:xfrm>
                      <a:off x="0" y="0"/>
                      <a:ext cx="5266055" cy="4031615"/>
                    </a:xfrm>
                    <a:prstGeom prst="rect">
                      <a:avLst/>
                    </a:prstGeom>
                    <a:noFill/>
                    <a:ln>
                      <a:noFill/>
                    </a:ln>
                  </pic:spPr>
                </pic:pic>
              </a:graphicData>
            </a:graphic>
          </wp:inline>
        </w:drawing>
      </w:r>
    </w:p>
    <w:p w14:paraId="288C4CAD">
      <w:pPr>
        <w:keepNext w:val="0"/>
        <w:keepLines w:val="0"/>
        <w:pageBreakBefore w:val="0"/>
        <w:widowControl/>
        <w:kinsoku/>
        <w:wordWrap/>
        <w:overflowPunct/>
        <w:topLinePunct w:val="0"/>
        <w:autoSpaceDE/>
        <w:autoSpaceDN/>
        <w:bidi w:val="0"/>
        <w:adjustRightInd/>
        <w:snapToGrid/>
        <w:spacing w:after="0" w:line="480" w:lineRule="auto"/>
        <w:jc w:val="center"/>
        <w:textAlignment w:val="auto"/>
        <w:rPr>
          <w:rFonts w:hint="default" w:ascii="Times New Roman" w:hAnsi="Times New Roman" w:cs="Times New Roman"/>
          <w:b/>
          <w:bCs/>
          <w:sz w:val="24"/>
          <w:szCs w:val="24"/>
          <w:lang w:val="en-US" w:eastAsia="zh-CN"/>
        </w:rPr>
        <w:sectPr>
          <w:pgSz w:w="11906" w:h="16838"/>
          <w:pgMar w:top="1440" w:right="1800" w:bottom="1440" w:left="1800" w:header="851" w:footer="992" w:gutter="0"/>
          <w:cols w:space="0" w:num="1"/>
          <w:rtlGutter w:val="0"/>
          <w:docGrid w:type="lines" w:linePitch="387" w:charSpace="0"/>
        </w:sectPr>
      </w:pPr>
      <w:r>
        <w:rPr>
          <w:rFonts w:hint="default" w:ascii="Times New Roman" w:hAnsi="Times New Roman" w:cs="Times New Roman"/>
          <w:b/>
          <w:bCs/>
          <w:sz w:val="22"/>
          <w:szCs w:val="22"/>
          <w:lang w:val="en-US" w:eastAsia="zh-CN"/>
        </w:rPr>
        <w:t>Fig</w:t>
      </w:r>
      <w:r>
        <w:rPr>
          <w:rFonts w:hint="eastAsia" w:ascii="Times New Roman" w:hAnsi="Times New Roman" w:cs="Times New Roman"/>
          <w:b/>
          <w:bCs/>
          <w:sz w:val="22"/>
          <w:szCs w:val="22"/>
          <w:lang w:val="en-US" w:eastAsia="zh-CN"/>
        </w:rPr>
        <w:t xml:space="preserve">. </w:t>
      </w:r>
      <w:r>
        <w:rPr>
          <w:rFonts w:hint="default" w:ascii="Times New Roman" w:hAnsi="Times New Roman" w:cs="Times New Roman"/>
          <w:b/>
          <w:bCs/>
          <w:sz w:val="22"/>
          <w:szCs w:val="22"/>
          <w:lang w:val="en-US" w:eastAsia="zh-CN"/>
        </w:rPr>
        <w:t>S5. Prediction results of the interaction probabilities of HMS with the CYP450 enzyme system based on the dual platforms ADMETlab 3.0 and Deep</w:t>
      </w:r>
      <w:r>
        <w:rPr>
          <w:rFonts w:hint="eastAsia" w:ascii="Times New Roman" w:hAnsi="Times New Roman" w:cs="Times New Roman"/>
          <w:b/>
          <w:bCs/>
          <w:sz w:val="22"/>
          <w:szCs w:val="22"/>
          <w:lang w:val="en-US" w:eastAsia="zh-CN"/>
        </w:rPr>
        <w:t>-</w:t>
      </w:r>
      <w:r>
        <w:rPr>
          <w:rFonts w:hint="default" w:ascii="Times New Roman" w:hAnsi="Times New Roman" w:cs="Times New Roman"/>
          <w:b/>
          <w:bCs/>
          <w:sz w:val="22"/>
          <w:szCs w:val="22"/>
          <w:lang w:val="en-US" w:eastAsia="zh-CN"/>
        </w:rPr>
        <w:t>PK</w:t>
      </w:r>
      <w:r>
        <w:rPr>
          <w:rFonts w:hint="default" w:ascii="Times New Roman" w:hAnsi="Times New Roman" w:cs="Times New Roman"/>
          <w:b/>
          <w:bCs/>
          <w:sz w:val="24"/>
          <w:szCs w:val="24"/>
          <w:lang w:val="en-US" w:eastAsia="zh-CN"/>
        </w:rPr>
        <w:t>.</w:t>
      </w:r>
    </w:p>
    <w:p w14:paraId="57826472">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drawing>
          <wp:inline distT="0" distB="0" distL="114300" distR="114300">
            <wp:extent cx="5392420" cy="3959860"/>
            <wp:effectExtent l="0" t="0" r="17780" b="2540"/>
            <wp:docPr id="23" name="图片 23" descr="未标题-1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未标题-1 - 副本"/>
                    <pic:cNvPicPr>
                      <a:picLocks noChangeAspect="1"/>
                    </pic:cNvPicPr>
                  </pic:nvPicPr>
                  <pic:blipFill>
                    <a:blip r:embed="rId21"/>
                    <a:stretch>
                      <a:fillRect/>
                    </a:stretch>
                  </pic:blipFill>
                  <pic:spPr>
                    <a:xfrm>
                      <a:off x="0" y="0"/>
                      <a:ext cx="5392420" cy="3959860"/>
                    </a:xfrm>
                    <a:prstGeom prst="rect">
                      <a:avLst/>
                    </a:prstGeom>
                  </pic:spPr>
                </pic:pic>
              </a:graphicData>
            </a:graphic>
          </wp:inline>
        </w:drawing>
      </w:r>
    </w:p>
    <w:p w14:paraId="34156DF2">
      <w:pPr>
        <w:keepNext w:val="0"/>
        <w:keepLines w:val="0"/>
        <w:pageBreakBefore w:val="0"/>
        <w:kinsoku/>
        <w:wordWrap/>
        <w:overflowPunct/>
        <w:topLinePunct w:val="0"/>
        <w:autoSpaceDE/>
        <w:autoSpaceDN/>
        <w:bidi w:val="0"/>
        <w:adjustRightInd/>
        <w:snapToGrid/>
        <w:spacing w:line="480" w:lineRule="auto"/>
        <w:jc w:val="center"/>
        <w:rPr>
          <w:rFonts w:hint="eastAsia" w:ascii="Times New Roman" w:hAnsi="Times New Roman" w:cs="Times New Roman"/>
          <w:b/>
          <w:bCs/>
          <w:sz w:val="24"/>
          <w:szCs w:val="24"/>
          <w:lang w:val="en-US" w:eastAsia="zh-CN"/>
        </w:rPr>
      </w:pPr>
      <w:r>
        <w:rPr>
          <w:rFonts w:hint="eastAsia" w:ascii="Times New Roman" w:hAnsi="Times New Roman" w:cs="Times New Roman"/>
          <w:b/>
          <w:bCs/>
          <w:sz w:val="21"/>
          <w:szCs w:val="21"/>
          <w:lang w:val="en-US" w:eastAsia="zh-CN"/>
        </w:rPr>
        <w:t>Fig. S6. EDC Profiler nuclear receptor activity predictions for metabolites C1–C6.</w:t>
      </w:r>
      <w:r>
        <w:rPr>
          <w:rFonts w:hint="eastAsia" w:ascii="Times New Roman" w:hAnsi="Times New Roman" w:cs="Times New Roman"/>
          <w:b/>
          <w:bCs/>
          <w:sz w:val="24"/>
          <w:szCs w:val="24"/>
          <w:lang w:val="en-US" w:eastAsia="zh-CN"/>
        </w:rPr>
        <w:br w:type="page"/>
      </w:r>
    </w:p>
    <w:p w14:paraId="5C2E2E3C">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drawing>
          <wp:inline distT="0" distB="0" distL="114300" distR="114300">
            <wp:extent cx="4888865" cy="5039995"/>
            <wp:effectExtent l="0" t="0" r="6985" b="8255"/>
            <wp:docPr id="24" name="图片 24" descr="未标题-2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未标题-2 - 副本"/>
                    <pic:cNvPicPr>
                      <a:picLocks noChangeAspect="1"/>
                    </pic:cNvPicPr>
                  </pic:nvPicPr>
                  <pic:blipFill>
                    <a:blip r:embed="rId22"/>
                    <a:stretch>
                      <a:fillRect/>
                    </a:stretch>
                  </pic:blipFill>
                  <pic:spPr>
                    <a:xfrm>
                      <a:off x="0" y="0"/>
                      <a:ext cx="4888865" cy="5039995"/>
                    </a:xfrm>
                    <a:prstGeom prst="rect">
                      <a:avLst/>
                    </a:prstGeom>
                  </pic:spPr>
                </pic:pic>
              </a:graphicData>
            </a:graphic>
          </wp:inline>
        </w:drawing>
      </w:r>
    </w:p>
    <w:p w14:paraId="5350AF66">
      <w:pPr>
        <w:keepNext w:val="0"/>
        <w:keepLines w:val="0"/>
        <w:pageBreakBefore w:val="0"/>
        <w:kinsoku/>
        <w:wordWrap/>
        <w:overflowPunct/>
        <w:topLinePunct w:val="0"/>
        <w:autoSpaceDE/>
        <w:autoSpaceDN/>
        <w:bidi w:val="0"/>
        <w:adjustRightInd/>
        <w:snapToGrid/>
        <w:spacing w:line="480" w:lineRule="auto"/>
        <w:jc w:val="center"/>
        <w:rPr>
          <w:rFonts w:hint="eastAsia" w:ascii="Times New Roman" w:hAnsi="Times New Roman" w:cs="Times New Roman"/>
          <w:b/>
          <w:bCs/>
          <w:sz w:val="24"/>
          <w:szCs w:val="24"/>
          <w:lang w:val="en-US" w:eastAsia="zh-CN"/>
        </w:rPr>
      </w:pPr>
      <w:r>
        <w:rPr>
          <w:rFonts w:hint="eastAsia" w:ascii="Times New Roman" w:hAnsi="Times New Roman" w:cs="Times New Roman"/>
          <w:b/>
          <w:bCs/>
          <w:sz w:val="21"/>
          <w:szCs w:val="21"/>
          <w:lang w:val="en-US" w:eastAsia="zh-CN"/>
        </w:rPr>
        <w:t>Fig. S7. EDC Profiler nuclear receptor activity predictions for metabolites C7–C10.</w:t>
      </w:r>
      <w:r>
        <w:rPr>
          <w:rFonts w:hint="eastAsia" w:ascii="Times New Roman" w:hAnsi="Times New Roman" w:cs="Times New Roman"/>
          <w:b/>
          <w:bCs/>
          <w:sz w:val="24"/>
          <w:szCs w:val="24"/>
          <w:lang w:val="en-US" w:eastAsia="zh-CN"/>
        </w:rPr>
        <w:br w:type="page"/>
      </w:r>
    </w:p>
    <w:p w14:paraId="72F64D9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24"/>
          <w:szCs w:val="24"/>
          <w:lang w:val="en-US" w:eastAsia="zh-CN"/>
        </w:rPr>
      </w:pPr>
      <w:r>
        <w:drawing>
          <wp:inline distT="0" distB="0" distL="114300" distR="114300">
            <wp:extent cx="5485130" cy="4408170"/>
            <wp:effectExtent l="0" t="0" r="1270" b="1143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23"/>
                    <a:stretch>
                      <a:fillRect/>
                    </a:stretch>
                  </pic:blipFill>
                  <pic:spPr>
                    <a:xfrm>
                      <a:off x="0" y="0"/>
                      <a:ext cx="5485130" cy="4408170"/>
                    </a:xfrm>
                    <a:prstGeom prst="rect">
                      <a:avLst/>
                    </a:prstGeom>
                    <a:noFill/>
                    <a:ln>
                      <a:noFill/>
                    </a:ln>
                  </pic:spPr>
                </pic:pic>
              </a:graphicData>
            </a:graphic>
          </wp:inline>
        </w:drawing>
      </w:r>
    </w:p>
    <w:p w14:paraId="6484B01B">
      <w:pPr>
        <w:keepNext w:val="0"/>
        <w:keepLines w:val="0"/>
        <w:pageBreakBefore w:val="0"/>
        <w:kinsoku/>
        <w:wordWrap/>
        <w:overflowPunct/>
        <w:topLinePunct w:val="0"/>
        <w:autoSpaceDE/>
        <w:autoSpaceDN/>
        <w:bidi w:val="0"/>
        <w:adjustRightInd/>
        <w:snapToGrid/>
        <w:spacing w:line="480" w:lineRule="auto"/>
        <w:jc w:val="center"/>
        <w:rPr>
          <w:rFonts w:hint="eastAsia" w:ascii="Times New Roman" w:hAnsi="Times New Roman" w:cs="Times New Roman"/>
          <w:b/>
          <w:bCs/>
          <w:sz w:val="24"/>
          <w:szCs w:val="24"/>
          <w:lang w:val="en-US" w:eastAsia="zh-CN"/>
        </w:rPr>
      </w:pPr>
      <w:r>
        <w:rPr>
          <w:rFonts w:hint="eastAsia" w:ascii="Times New Roman" w:hAnsi="Times New Roman" w:cs="Times New Roman"/>
          <w:b/>
          <w:bCs/>
          <w:sz w:val="21"/>
          <w:szCs w:val="21"/>
          <w:lang w:val="en-US" w:eastAsia="zh-CN"/>
        </w:rPr>
        <w:t>Fig. S8. WebTEST prediction results for HMS and its ten first-generation oxidative metabolites.</w:t>
      </w:r>
      <w:r>
        <w:rPr>
          <w:rFonts w:hint="eastAsia" w:ascii="Times New Roman" w:hAnsi="Times New Roman" w:cs="Times New Roman"/>
          <w:b/>
          <w:bCs/>
          <w:sz w:val="24"/>
          <w:szCs w:val="24"/>
          <w:lang w:val="en-US" w:eastAsia="zh-CN"/>
        </w:rPr>
        <w:br w:type="page"/>
      </w:r>
    </w:p>
    <w:p w14:paraId="0E6634A2">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drawing>
          <wp:inline distT="0" distB="0" distL="114300" distR="114300">
            <wp:extent cx="5291455" cy="3060065"/>
            <wp:effectExtent l="0" t="0" r="4445" b="6985"/>
            <wp:docPr id="22" name="图片 22"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未标题-1"/>
                    <pic:cNvPicPr>
                      <a:picLocks noChangeAspect="1"/>
                    </pic:cNvPicPr>
                  </pic:nvPicPr>
                  <pic:blipFill>
                    <a:blip r:embed="rId24"/>
                    <a:stretch>
                      <a:fillRect/>
                    </a:stretch>
                  </pic:blipFill>
                  <pic:spPr>
                    <a:xfrm>
                      <a:off x="0" y="0"/>
                      <a:ext cx="5291455" cy="3060065"/>
                    </a:xfrm>
                    <a:prstGeom prst="rect">
                      <a:avLst/>
                    </a:prstGeom>
                  </pic:spPr>
                </pic:pic>
              </a:graphicData>
            </a:graphic>
          </wp:inline>
        </w:drawing>
      </w:r>
    </w:p>
    <w:p w14:paraId="6199F574">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Fig</w:t>
      </w:r>
      <w:r>
        <w:rPr>
          <w:rFonts w:hint="eastAsia" w:ascii="Times New Roman" w:hAnsi="Times New Roman" w:cs="Times New Roman"/>
          <w:b/>
          <w:bCs/>
          <w:sz w:val="21"/>
          <w:szCs w:val="21"/>
          <w:lang w:val="en-US" w:eastAsia="zh-CN"/>
        </w:rPr>
        <w:t xml:space="preserve">. </w:t>
      </w:r>
      <w:r>
        <w:rPr>
          <w:rFonts w:hint="default" w:ascii="Times New Roman" w:hAnsi="Times New Roman" w:cs="Times New Roman"/>
          <w:b/>
          <w:bCs/>
          <w:sz w:val="21"/>
          <w:szCs w:val="21"/>
          <w:lang w:val="en-US" w:eastAsia="zh-CN"/>
        </w:rPr>
        <w:t>S9. Binding interactions of C6 (left), HMS (middle), and C8 (right) with the ERα ligand-binding domain (PDB 3ERT).</w:t>
      </w:r>
    </w:p>
    <w:p w14:paraId="55898260">
      <w:pPr>
        <w:keepNext w:val="0"/>
        <w:keepLines w:val="0"/>
        <w:pageBreakBefore w:val="0"/>
        <w:kinsoku/>
        <w:wordWrap/>
        <w:overflowPunct/>
        <w:topLinePunct w:val="0"/>
        <w:autoSpaceDE/>
        <w:autoSpaceDN/>
        <w:bidi w:val="0"/>
        <w:adjustRightInd/>
        <w:snapToGrid/>
        <w:spacing w:line="480" w:lineRule="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br w:type="page"/>
      </w:r>
    </w:p>
    <w:p w14:paraId="1B31C86E">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 xml:space="preserve">Reference </w:t>
      </w:r>
    </w:p>
    <w:p w14:paraId="3B57AA65">
      <w:pPr>
        <w:spacing w:before="0" w:after="120" w:line="360" w:lineRule="auto"/>
      </w:pPr>
      <w:r>
        <w:rPr>
          <w:rFonts w:ascii="Times New Roman" w:hAnsi="Times New Roman" w:eastAsia="Times New Roman"/>
          <w:sz w:val="22"/>
        </w:rPr>
        <w:t>Daina A, Michielin O, Zoete V (2017) SwissADME: a free web tool to evaluate pharmacokinetics, drug-likeness and medicinal chemistry friendliness of small molecules. Sci Rep 7(1):42717. https://doi.org/10.1038/srep42717</w:t>
      </w:r>
    </w:p>
    <w:p w14:paraId="339B008B">
      <w:pPr>
        <w:spacing w:before="0" w:after="120" w:line="360" w:lineRule="auto"/>
      </w:pPr>
      <w:r>
        <w:rPr>
          <w:rFonts w:ascii="Times New Roman" w:hAnsi="Times New Roman" w:eastAsia="Times New Roman"/>
          <w:sz w:val="22"/>
        </w:rPr>
        <w:t>de Bruyn Kops C, Šícho M, Mazzolari A et al (2021) GLORYx: prediction of the metabolites resulting from phase 1 and phase 2 biotransformations of xenobiotics. Chem Res Toxicol 34(2):286–299. https://doi.org/10.1021/acs.chemrestox.0c00224</w:t>
      </w:r>
    </w:p>
    <w:p w14:paraId="324137C6">
      <w:pPr>
        <w:spacing w:before="0" w:after="120" w:line="360" w:lineRule="auto"/>
      </w:pPr>
      <w:r>
        <w:rPr>
          <w:rFonts w:ascii="Times New Roman" w:hAnsi="Times New Roman" w:eastAsia="Times New Roman"/>
          <w:sz w:val="22"/>
        </w:rPr>
        <w:t>Djoumbou-Feunang Y, Fiamoncini J, Gil-de-la-Fuente A et al (2019) BioTransformer: a comprehensive computational tool for small molecule metabolism prediction and metabolite identification. J Cheminform 11(1):2. https://doi.org/10.1186/s13321-018-0324-5</w:t>
      </w:r>
    </w:p>
    <w:p w14:paraId="2B6A8A6E">
      <w:pPr>
        <w:spacing w:before="0" w:after="120" w:line="360" w:lineRule="auto"/>
      </w:pPr>
      <w:r>
        <w:rPr>
          <w:rFonts w:ascii="Times New Roman" w:hAnsi="Times New Roman" w:eastAsia="Times New Roman"/>
          <w:sz w:val="22"/>
        </w:rPr>
        <w:t>Fu L, Liu L, Li S et al (2024) ADMETlab 3.0: an updated comprehensive online ADMET prediction platform enhanced with broader coverage, improved performance, API functionality and decision support. Nucleic Acids Res 52:W422–W431. https://doi.org/10.1093/nar/gkae236</w:t>
      </w:r>
    </w:p>
    <w:p w14:paraId="0D9CB34F">
      <w:pPr>
        <w:spacing w:before="0" w:after="120" w:line="360" w:lineRule="auto"/>
      </w:pPr>
      <w:r>
        <w:rPr>
          <w:rFonts w:ascii="Times New Roman" w:hAnsi="Times New Roman" w:eastAsia="Times New Roman"/>
          <w:sz w:val="22"/>
        </w:rPr>
        <w:t>Morris GM, Huey R, Lindstrom W et al (2009) AutoDock4 and AutoDockTools4: automated docking with selective receptor flexibility. J Comput Chem 30(16):2785–2791. https://doi.org/10.1002/jcc.21256</w:t>
      </w:r>
    </w:p>
    <w:p w14:paraId="1C593699">
      <w:pPr>
        <w:spacing w:before="0" w:after="120" w:line="360" w:lineRule="auto"/>
      </w:pPr>
      <w:r>
        <w:rPr>
          <w:rFonts w:ascii="Times New Roman" w:hAnsi="Times New Roman" w:eastAsia="Times New Roman"/>
          <w:sz w:val="22"/>
        </w:rPr>
        <w:t>Myung Y, de Sá AGC, Ascher DB (2024) Deep-PK: deep learning for small molecule pharmacokinetic and toxicity prediction. Nucleic Acids Res 52:W469–W475. https://doi.org/10.1093/nar/gkae254</w:t>
      </w:r>
    </w:p>
    <w:p w14:paraId="37036A9D">
      <w:pPr>
        <w:spacing w:before="0" w:after="120" w:line="360" w:lineRule="auto"/>
      </w:pPr>
      <w:r>
        <w:rPr>
          <w:rFonts w:ascii="Times New Roman" w:hAnsi="Times New Roman" w:eastAsia="Times New Roman"/>
          <w:sz w:val="22"/>
        </w:rPr>
        <w:t>Potts RO, Guy RH (1992) Predicting skin permeability. Pharm Res 9(5):663–669. https://doi.org/10.1023/A:1015810312465</w:t>
      </w:r>
    </w:p>
    <w:p w14:paraId="122E473F">
      <w:pPr>
        <w:spacing w:before="0" w:after="120" w:line="360" w:lineRule="auto"/>
      </w:pPr>
      <w:r>
        <w:rPr>
          <w:rFonts w:ascii="Times New Roman" w:hAnsi="Times New Roman" w:eastAsia="Times New Roman"/>
          <w:sz w:val="22"/>
        </w:rPr>
        <w:t>Qiu Y, Cui S, Zhang H et al (2026) EDC Profiler: a high-throughput screening server for identifying endocrine disrupting chemicals toward multiple nuclear receptors. Environ Sci Technol 60(19):14023–14034. https://doi.org/10.1021/acs.est.5c18135</w:t>
      </w:r>
    </w:p>
    <w:p w14:paraId="48A443FB">
      <w:pPr>
        <w:spacing w:before="0" w:after="120" w:line="360" w:lineRule="auto"/>
      </w:pPr>
      <w:r>
        <w:rPr>
          <w:rFonts w:ascii="Times New Roman" w:hAnsi="Times New Roman" w:eastAsia="Times New Roman"/>
          <w:sz w:val="22"/>
        </w:rPr>
        <w:t>US EPA (2012) Estimation Programs Interface Suite™ (EPI Suite™), version 4.11. US Environmental Protection Agency, Washington, DC. https://www.epa.gov/tsca-screening-tools/epi-suitetm-estimation-program-interface</w:t>
      </w:r>
    </w:p>
    <w:p w14:paraId="6B2CF954">
      <w:pPr>
        <w:spacing w:before="0" w:after="120" w:line="360" w:lineRule="auto"/>
      </w:pPr>
      <w:r>
        <w:rPr>
          <w:rFonts w:ascii="Times New Roman" w:hAnsi="Times New Roman" w:eastAsia="Times New Roman"/>
          <w:sz w:val="22"/>
        </w:rPr>
        <w:t>US EPA (2025) User's guide for WebTEST (version 1.0) (web-services toxicity estimation software tool). https://comptox.epa.gov/dashboard/predictions</w:t>
      </w:r>
    </w:p>
    <w:p w14:paraId="0349AED8">
      <w:pPr>
        <w:spacing w:before="0" w:after="120" w:line="360" w:lineRule="auto"/>
        <w:rPr>
          <w:rFonts w:hint="default" w:ascii="Times New Roman" w:hAnsi="Times New Roman" w:cs="Times New Roman"/>
          <w:b/>
          <w:bCs/>
          <w:sz w:val="24"/>
          <w:szCs w:val="24"/>
          <w:lang w:val="en-US" w:eastAsia="zh-CN"/>
        </w:rPr>
      </w:pPr>
      <w:r>
        <w:rPr>
          <w:rFonts w:ascii="Times New Roman" w:hAnsi="Times New Roman" w:eastAsia="Times New Roman"/>
          <w:sz w:val="22"/>
        </w:rPr>
        <w:t>Vegosen L, Martin TM (2020) An automated framework for compiling and integrating chemical hazard data. Clean Technol Environ Policy 22(2):441–458. https://doi.org/10.1007/s10098-019-01795-w</w:t>
      </w:r>
    </w:p>
    <w:p w14:paraId="6B3D3A1A"/>
    <w:sectPr>
      <w:pgSz w:w="11906" w:h="16838"/>
      <w:pgMar w:top="1440" w:right="1633" w:bottom="1440" w:left="1633" w:header="851" w:footer="992" w:gutter="0"/>
      <w:cols w:space="0" w:num="1"/>
      <w:rtlGutter w:val="0"/>
      <w:docGrid w:type="lines" w:linePitch="3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D82E74"/>
    <w:rsid w:val="00156091"/>
    <w:rsid w:val="00177F18"/>
    <w:rsid w:val="00572BA3"/>
    <w:rsid w:val="015F26DF"/>
    <w:rsid w:val="01E83CE2"/>
    <w:rsid w:val="021B67FE"/>
    <w:rsid w:val="0271690D"/>
    <w:rsid w:val="04203268"/>
    <w:rsid w:val="04545B40"/>
    <w:rsid w:val="04881B00"/>
    <w:rsid w:val="072B1594"/>
    <w:rsid w:val="074924D2"/>
    <w:rsid w:val="08A03E34"/>
    <w:rsid w:val="08E90E06"/>
    <w:rsid w:val="09AA72AA"/>
    <w:rsid w:val="0AF868EC"/>
    <w:rsid w:val="0B943924"/>
    <w:rsid w:val="0BB973B8"/>
    <w:rsid w:val="0BD82E74"/>
    <w:rsid w:val="0C4C174B"/>
    <w:rsid w:val="0EF12F98"/>
    <w:rsid w:val="10487FEB"/>
    <w:rsid w:val="10732A8B"/>
    <w:rsid w:val="10E45416"/>
    <w:rsid w:val="117322C4"/>
    <w:rsid w:val="136A6BC9"/>
    <w:rsid w:val="170353FB"/>
    <w:rsid w:val="18214123"/>
    <w:rsid w:val="19673F0F"/>
    <w:rsid w:val="1A9A6222"/>
    <w:rsid w:val="1BD07867"/>
    <w:rsid w:val="1C5B210C"/>
    <w:rsid w:val="1DE86925"/>
    <w:rsid w:val="1E3C7C36"/>
    <w:rsid w:val="1E562630"/>
    <w:rsid w:val="1F3A10FD"/>
    <w:rsid w:val="1F790624"/>
    <w:rsid w:val="209354CA"/>
    <w:rsid w:val="20C90A37"/>
    <w:rsid w:val="23A1108A"/>
    <w:rsid w:val="25821D55"/>
    <w:rsid w:val="25AA5582"/>
    <w:rsid w:val="26811101"/>
    <w:rsid w:val="285827F5"/>
    <w:rsid w:val="28797ADD"/>
    <w:rsid w:val="2AA07F73"/>
    <w:rsid w:val="2B4E0F99"/>
    <w:rsid w:val="2BB66F76"/>
    <w:rsid w:val="2BFC7B6C"/>
    <w:rsid w:val="2CF2303A"/>
    <w:rsid w:val="2D256324"/>
    <w:rsid w:val="306922C4"/>
    <w:rsid w:val="3083774F"/>
    <w:rsid w:val="313A1850"/>
    <w:rsid w:val="328E4ED3"/>
    <w:rsid w:val="37B410A5"/>
    <w:rsid w:val="3A03179B"/>
    <w:rsid w:val="3A47643E"/>
    <w:rsid w:val="3AE0114A"/>
    <w:rsid w:val="3B21278C"/>
    <w:rsid w:val="3B3650E5"/>
    <w:rsid w:val="3DC9747A"/>
    <w:rsid w:val="3E761363"/>
    <w:rsid w:val="3EAE61AD"/>
    <w:rsid w:val="3F5604AB"/>
    <w:rsid w:val="400B0DF0"/>
    <w:rsid w:val="406E2580"/>
    <w:rsid w:val="42802436"/>
    <w:rsid w:val="42CF4F93"/>
    <w:rsid w:val="43664B49"/>
    <w:rsid w:val="43D20A46"/>
    <w:rsid w:val="44623F87"/>
    <w:rsid w:val="458110FF"/>
    <w:rsid w:val="48E5409D"/>
    <w:rsid w:val="4AA03FD1"/>
    <w:rsid w:val="4B475260"/>
    <w:rsid w:val="4C275F3A"/>
    <w:rsid w:val="4CD134C2"/>
    <w:rsid w:val="4D7875A3"/>
    <w:rsid w:val="4E9A60FE"/>
    <w:rsid w:val="4F3C2C8F"/>
    <w:rsid w:val="4FF50545"/>
    <w:rsid w:val="507633F0"/>
    <w:rsid w:val="50A03429"/>
    <w:rsid w:val="517B6D61"/>
    <w:rsid w:val="51870AB3"/>
    <w:rsid w:val="51B15BF8"/>
    <w:rsid w:val="51BC69A8"/>
    <w:rsid w:val="53956694"/>
    <w:rsid w:val="543617A7"/>
    <w:rsid w:val="54B01375"/>
    <w:rsid w:val="555505F0"/>
    <w:rsid w:val="55987ED2"/>
    <w:rsid w:val="55D528DB"/>
    <w:rsid w:val="55EB700B"/>
    <w:rsid w:val="56FA5260"/>
    <w:rsid w:val="570668A0"/>
    <w:rsid w:val="57491156"/>
    <w:rsid w:val="577C1881"/>
    <w:rsid w:val="579A4948"/>
    <w:rsid w:val="5A591ACF"/>
    <w:rsid w:val="5A5F18A0"/>
    <w:rsid w:val="5A913F71"/>
    <w:rsid w:val="5B4E0AD4"/>
    <w:rsid w:val="5BBF3BCC"/>
    <w:rsid w:val="5C7F07CB"/>
    <w:rsid w:val="5C826BFA"/>
    <w:rsid w:val="5D0B190E"/>
    <w:rsid w:val="5D2A0341"/>
    <w:rsid w:val="5D443390"/>
    <w:rsid w:val="5D4B6C1A"/>
    <w:rsid w:val="5EFB30AB"/>
    <w:rsid w:val="5F774396"/>
    <w:rsid w:val="5FCD0C45"/>
    <w:rsid w:val="5FF81EAD"/>
    <w:rsid w:val="61956BDA"/>
    <w:rsid w:val="62265F23"/>
    <w:rsid w:val="62364067"/>
    <w:rsid w:val="628C6361"/>
    <w:rsid w:val="62EE7E5F"/>
    <w:rsid w:val="63D3640F"/>
    <w:rsid w:val="66010D5D"/>
    <w:rsid w:val="67D65FFB"/>
    <w:rsid w:val="69383B23"/>
    <w:rsid w:val="6A22583A"/>
    <w:rsid w:val="6C8D4A18"/>
    <w:rsid w:val="6D571B9E"/>
    <w:rsid w:val="6D6B0FC6"/>
    <w:rsid w:val="6F822126"/>
    <w:rsid w:val="70EC0CED"/>
    <w:rsid w:val="711A7BFB"/>
    <w:rsid w:val="714B7436"/>
    <w:rsid w:val="71BB70B0"/>
    <w:rsid w:val="72F31986"/>
    <w:rsid w:val="73590400"/>
    <w:rsid w:val="748C1940"/>
    <w:rsid w:val="75BE6A08"/>
    <w:rsid w:val="77C914FF"/>
    <w:rsid w:val="79B934C1"/>
    <w:rsid w:val="7AB92CFA"/>
    <w:rsid w:val="7AC07126"/>
    <w:rsid w:val="7AE451AC"/>
    <w:rsid w:val="7B9D6C91"/>
    <w:rsid w:val="7CE16BC2"/>
    <w:rsid w:val="7D0554AF"/>
    <w:rsid w:val="7FBD69FD"/>
    <w:rsid w:val="7FCB0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微软雅黑" w:cs="Times New Roman"/>
      <w:kern w:val="2"/>
      <w:sz w:val="21"/>
      <w:szCs w:val="24"/>
      <w:lang w:val="en-US" w:eastAsia="zh-CN" w:bidi="ar-SA"/>
    </w:rPr>
  </w:style>
  <w:style w:type="paragraph" w:styleId="2">
    <w:name w:val="heading 1"/>
    <w:basedOn w:val="1"/>
    <w:next w:val="1"/>
    <w:link w:val="14"/>
    <w:qFormat/>
    <w:uiPriority w:val="0"/>
    <w:pPr>
      <w:keepNext/>
      <w:keepLines/>
      <w:spacing w:before="100" w:beforeLines="100" w:after="100" w:afterLines="100" w:line="360" w:lineRule="auto"/>
      <w:jc w:val="both"/>
      <w:outlineLvl w:val="0"/>
    </w:pPr>
    <w:rPr>
      <w:rFonts w:ascii="Times New Roman" w:hAnsi="Times New Roman" w:eastAsia="宋体" w:cstheme="majorBidi"/>
      <w:b/>
      <w:bCs/>
      <w:color w:val="000000" w:themeColor="text1"/>
      <w:sz w:val="30"/>
      <w:szCs w:val="28"/>
      <w14:textFill>
        <w14:solidFill>
          <w14:schemeClr w14:val="tx1"/>
        </w14:solidFill>
      </w14:textFill>
    </w:rPr>
  </w:style>
  <w:style w:type="paragraph" w:styleId="3">
    <w:name w:val="heading 2"/>
    <w:basedOn w:val="1"/>
    <w:next w:val="1"/>
    <w:link w:val="13"/>
    <w:semiHidden/>
    <w:unhideWhenUsed/>
    <w:qFormat/>
    <w:uiPriority w:val="0"/>
    <w:pPr>
      <w:keepNext/>
      <w:keepLines/>
      <w:spacing w:before="50" w:beforeLines="50" w:after="50" w:afterLines="50" w:line="360" w:lineRule="auto"/>
      <w:jc w:val="both"/>
      <w:outlineLvl w:val="1"/>
    </w:pPr>
    <w:rPr>
      <w:rFonts w:ascii="Times New Roman" w:hAnsi="Times New Roman" w:eastAsia="宋体" w:cstheme="majorBidi"/>
      <w:b/>
      <w:bCs/>
      <w:color w:val="000000" w:themeColor="text1"/>
      <w:sz w:val="28"/>
      <w:szCs w:val="26"/>
      <w14:textFill>
        <w14:solidFill>
          <w14:schemeClr w14:val="tx1"/>
        </w14:solidFill>
      </w14:textFill>
    </w:rPr>
  </w:style>
  <w:style w:type="paragraph" w:styleId="4">
    <w:name w:val="heading 3"/>
    <w:basedOn w:val="1"/>
    <w:next w:val="1"/>
    <w:link w:val="12"/>
    <w:semiHidden/>
    <w:unhideWhenUsed/>
    <w:qFormat/>
    <w:uiPriority w:val="0"/>
    <w:pPr>
      <w:keepNext/>
      <w:keepLines/>
      <w:spacing w:before="50" w:beforeLines="50" w:after="50" w:afterLines="50"/>
      <w:ind w:firstLine="301" w:firstLineChars="100"/>
      <w:outlineLvl w:val="2"/>
    </w:pPr>
    <w:rPr>
      <w:rFonts w:ascii="Times New Roman" w:hAnsi="Times New Roman" w:eastAsia="宋体" w:cstheme="majorBidi"/>
      <w:b/>
      <w:bCs/>
      <w:color w:val="000000" w:themeColor="text1"/>
      <w14:textFill>
        <w14:solidFill>
          <w14:schemeClr w14:val="tx1"/>
        </w14:solidFill>
      </w14:textFill>
    </w:rPr>
  </w:style>
  <w:style w:type="paragraph" w:styleId="5">
    <w:name w:val="heading 4"/>
    <w:basedOn w:val="1"/>
    <w:next w:val="1"/>
    <w:link w:val="15"/>
    <w:semiHidden/>
    <w:unhideWhenUsed/>
    <w:qFormat/>
    <w:uiPriority w:val="0"/>
    <w:pPr>
      <w:keepNext/>
      <w:keepLines/>
      <w:spacing w:before="50" w:beforeLines="50" w:after="50" w:afterLines="50"/>
      <w:outlineLvl w:val="3"/>
    </w:pPr>
    <w:rPr>
      <w:rFonts w:cstheme="majorBidi"/>
      <w:b/>
      <w:bCs/>
      <w:iCs/>
      <w:color w:val="000000" w:themeColor="text1"/>
      <w14:textFill>
        <w14:solidFill>
          <w14:schemeClr w14:val="tx1"/>
        </w14:solidFill>
      </w14:textFill>
    </w:rPr>
  </w:style>
  <w:style w:type="paragraph" w:styleId="6">
    <w:name w:val="heading 5"/>
    <w:basedOn w:val="1"/>
    <w:next w:val="1"/>
    <w:semiHidden/>
    <w:unhideWhenUsed/>
    <w:qFormat/>
    <w:uiPriority w:val="0"/>
    <w:pPr>
      <w:spacing w:before="0" w:beforeAutospacing="0" w:after="0" w:afterAutospacing="0"/>
      <w:jc w:val="both"/>
      <w:outlineLvl w:val="4"/>
    </w:pPr>
    <w:rPr>
      <w:rFonts w:hint="eastAsia" w:ascii="Times New Roman" w:hAnsi="Times New Roman" w:eastAsia="宋体" w:cs="宋体"/>
      <w:b/>
      <w:bCs/>
      <w:kern w:val="0"/>
      <w:szCs w:val="20"/>
      <w:lang w:val="en-US" w:eastAsia="zh-CN" w:bidi="ar"/>
    </w:rPr>
  </w:style>
  <w:style w:type="character" w:default="1" w:styleId="11">
    <w:name w:val="Default Paragraph Font"/>
    <w:semiHidden/>
    <w:unhideWhenUsed/>
    <w:qFormat/>
    <w:uiPriority w:val="1"/>
  </w:style>
  <w:style w:type="table" w:default="1" w:styleId="9">
    <w:name w:val="Normal Table"/>
    <w:semiHidden/>
    <w:qFormat/>
    <w:uiPriority w:val="0"/>
    <w:tblPr>
      <w:tblCellMar>
        <w:top w:w="0" w:type="dxa"/>
        <w:left w:w="108" w:type="dxa"/>
        <w:bottom w:w="0" w:type="dxa"/>
        <w:right w:w="108" w:type="dxa"/>
      </w:tblCellMar>
    </w:tblPr>
  </w:style>
  <w:style w:type="paragraph" w:styleId="7">
    <w:name w:val="toc 1"/>
    <w:basedOn w:val="1"/>
    <w:next w:val="1"/>
    <w:qFormat/>
    <w:uiPriority w:val="0"/>
    <w:pPr>
      <w:ind w:firstLine="0" w:firstLineChars="0"/>
    </w:pPr>
    <w:rPr>
      <w:rFonts w:ascii="Times New Roman" w:hAnsi="Times New Roman" w:eastAsia="宋体" w:cs="Times New Roman"/>
      <w:b/>
      <w:sz w:val="28"/>
      <w:szCs w:val="22"/>
    </w:rPr>
  </w:style>
  <w:style w:type="paragraph" w:styleId="8">
    <w:name w:val="toc 2"/>
    <w:basedOn w:val="1"/>
    <w:next w:val="1"/>
    <w:qFormat/>
    <w:uiPriority w:val="0"/>
    <w:pPr>
      <w:spacing w:line="240" w:lineRule="auto"/>
      <w:ind w:left="0" w:leftChars="0"/>
    </w:pPr>
    <w:rPr>
      <w:rFonts w:ascii="Times New Roman" w:hAnsi="Times New Roman" w:eastAsia="宋体" w:cs="Times New Roman"/>
      <w:szCs w:val="22"/>
    </w:rPr>
  </w:style>
  <w:style w:type="table" w:styleId="10">
    <w:name w:val="Table Grid"/>
    <w:basedOn w:val="9"/>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标题 3 字符"/>
    <w:basedOn w:val="11"/>
    <w:link w:val="4"/>
    <w:qFormat/>
    <w:uiPriority w:val="0"/>
    <w:rPr>
      <w:rFonts w:ascii="Times New Roman" w:hAnsi="Times New Roman" w:eastAsia="宋体"/>
      <w:b/>
      <w:bCs/>
      <w:sz w:val="24"/>
      <w:szCs w:val="24"/>
      <w:lang w:val="en-US" w:eastAsia="en-US" w:bidi="ar-SA"/>
    </w:rPr>
  </w:style>
  <w:style w:type="character" w:customStyle="1" w:styleId="13">
    <w:name w:val="标题 2 Char"/>
    <w:link w:val="3"/>
    <w:qFormat/>
    <w:uiPriority w:val="0"/>
    <w:rPr>
      <w:rFonts w:hint="eastAsia" w:ascii="Times New Roman" w:hAnsi="Times New Roman" w:eastAsia="宋体" w:cs="宋体"/>
      <w:b/>
      <w:bCs/>
      <w:kern w:val="0"/>
      <w:sz w:val="24"/>
      <w:szCs w:val="24"/>
      <w:lang w:val="en-US" w:eastAsia="en-US" w:bidi="ar-SA"/>
    </w:rPr>
  </w:style>
  <w:style w:type="character" w:customStyle="1" w:styleId="14">
    <w:name w:val="标题 1 字符"/>
    <w:link w:val="2"/>
    <w:qFormat/>
    <w:uiPriority w:val="9"/>
    <w:rPr>
      <w:rFonts w:ascii="Times New Roman" w:hAnsi="Times New Roman" w:eastAsia="宋体" w:cs="宋体"/>
      <w:b/>
      <w:kern w:val="32"/>
      <w:sz w:val="28"/>
      <w:szCs w:val="28"/>
      <w:lang w:val="en-US" w:eastAsia="en-US" w:bidi="ar-SA"/>
    </w:rPr>
  </w:style>
  <w:style w:type="character" w:customStyle="1" w:styleId="15">
    <w:name w:val="Heading 4 Char"/>
    <w:basedOn w:val="11"/>
    <w:link w:val="5"/>
    <w:semiHidden/>
    <w:qFormat/>
    <w:uiPriority w:val="9"/>
    <w:rPr>
      <w:rFonts w:ascii="Times New Roman" w:hAnsi="Times New Roman" w:eastAsia="宋体" w:cstheme="majorBidi"/>
      <w:b/>
      <w:bCs/>
      <w:iCs/>
      <w:color w:val="000000" w:themeColor="text1"/>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5" Type="http://schemas.openxmlformats.org/officeDocument/2006/relationships/fontTable" Target="fontTable.xml"/><Relationship Id="rId24" Type="http://schemas.openxmlformats.org/officeDocument/2006/relationships/image" Target="media/image21.tiff"/><Relationship Id="rId23" Type="http://schemas.openxmlformats.org/officeDocument/2006/relationships/image" Target="media/image20.png"/><Relationship Id="rId22" Type="http://schemas.openxmlformats.org/officeDocument/2006/relationships/image" Target="media/image19.tiff"/><Relationship Id="rId21" Type="http://schemas.openxmlformats.org/officeDocument/2006/relationships/image" Target="media/image18.tiff"/><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tiff"/><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1339</Words>
  <Characters>8764</Characters>
  <Lines>0</Lines>
  <Paragraphs>0</Paragraphs>
  <TotalTime>1</TotalTime>
  <ScaleCrop>false</ScaleCrop>
  <LinksUpToDate>false</LinksUpToDate>
  <CharactersWithSpaces>9901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2026-09-15T07:50:00Z</dcterms:created>
  <dc:creator>GD</dc:creator>
  <cp:lastModifiedBy>GD</cp:lastModifiedBy>
  <dcterms:modified xsi:type="dcterms:W3CDTF">2026-09-16T02:33:33Z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3ACD36C6899942799C721AEFDA9A4B3F_11</vt:lpwstr>
  </property>
  <property fmtid="{D5CDD505-2E9C-101B-9397-08002B2CF9AE}" pid="4" name="KSOTemplateDocerSaveRecord">
    <vt:lpwstr>eyJoZGlkIjoiZTU1ZmQxOThjM2Y1YTUyMTgxNWFjZWZmM2I0MWI4MzQiLCJ1c2VySWQiOiI0NDg4MDMxODEifQ==</vt:lpwstr>
  </property>
</Properties>
</file>