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A68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480" w:lineRule="auto"/>
        <w:jc w:val="center"/>
        <w:textAlignment w:val="auto"/>
        <w:rPr>
          <w:rFonts w:hint="default" w:ascii="Times New Roman" w:hAnsi="Times New Roman" w:cs="Times New Roman"/>
          <w:b w:val="0"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shd w:val="clear" w:fill="auto"/>
          <w:lang w:val="en-US" w:eastAsia="zh-CN"/>
        </w:rPr>
        <w:t xml:space="preserve">Table 1. </w:t>
      </w:r>
      <w:r>
        <w:rPr>
          <w:rFonts w:hint="default" w:ascii="Times New Roman" w:hAnsi="Times New Roman" w:eastAsia="Times New Roman" w:cs="Times New Roman"/>
          <w:b w:val="0"/>
          <w:bCs/>
          <w:sz w:val="20"/>
          <w:szCs w:val="20"/>
        </w:rPr>
        <w:t>Cross-evidence-type confidence assessment criteria</w:t>
      </w:r>
    </w:p>
    <w:tbl>
      <w:tblPr>
        <w:tblStyle w:val="8"/>
        <w:tblW w:w="1017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32"/>
        <w:gridCol w:w="3095"/>
        <w:gridCol w:w="3068"/>
        <w:gridCol w:w="2278"/>
      </w:tblGrid>
      <w:tr w14:paraId="15449A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32" w:type="dxa"/>
            <w:tcBorders>
              <w:bottom w:val="single" w:color="auto" w:sz="4" w:space="0"/>
            </w:tcBorders>
            <w:vAlign w:val="center"/>
          </w:tcPr>
          <w:p w14:paraId="238D4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Evidence type</w:t>
            </w:r>
          </w:p>
        </w:tc>
        <w:tc>
          <w:tcPr>
            <w:tcW w:w="3095" w:type="dxa"/>
            <w:tcBorders>
              <w:bottom w:val="single" w:color="auto" w:sz="4" w:space="0"/>
            </w:tcBorders>
            <w:vAlign w:val="center"/>
          </w:tcPr>
          <w:p w14:paraId="4B6F1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High confidence</w:t>
            </w:r>
          </w:p>
        </w:tc>
        <w:tc>
          <w:tcPr>
            <w:tcW w:w="3068" w:type="dxa"/>
            <w:tcBorders>
              <w:bottom w:val="single" w:color="auto" w:sz="4" w:space="0"/>
            </w:tcBorders>
            <w:vAlign w:val="center"/>
          </w:tcPr>
          <w:p w14:paraId="295A5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Medium confidence</w:t>
            </w:r>
          </w:p>
        </w:tc>
        <w:tc>
          <w:tcPr>
            <w:tcW w:w="2278" w:type="dxa"/>
            <w:tcBorders>
              <w:bottom w:val="single" w:color="auto" w:sz="4" w:space="0"/>
            </w:tcBorders>
            <w:vAlign w:val="center"/>
          </w:tcPr>
          <w:p w14:paraId="70426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</w:rPr>
              <w:t>Low confidence</w:t>
            </w:r>
          </w:p>
        </w:tc>
      </w:tr>
      <w:tr w14:paraId="32CBEC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32" w:type="dxa"/>
            <w:tcBorders>
              <w:top w:val="single" w:color="auto" w:sz="4" w:space="0"/>
            </w:tcBorders>
            <w:vAlign w:val="center"/>
          </w:tcPr>
          <w:p w14:paraId="5628A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Qualitative structural alerts</w:t>
            </w:r>
          </w:p>
        </w:tc>
        <w:tc>
          <w:tcPr>
            <w:tcW w:w="3095" w:type="dxa"/>
            <w:tcBorders>
              <w:top w:val="single" w:color="auto" w:sz="4" w:space="0"/>
            </w:tcBorders>
            <w:vAlign w:val="center"/>
          </w:tcPr>
          <w:p w14:paraId="2B528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Mechanistic-analytical model with rule set covering the structural class of the target compound</w:t>
            </w:r>
          </w:p>
        </w:tc>
        <w:tc>
          <w:tcPr>
            <w:tcW w:w="3068" w:type="dxa"/>
            <w:tcBorders>
              <w:top w:val="single" w:color="auto" w:sz="4" w:space="0"/>
            </w:tcBorders>
            <w:vAlign w:val="center"/>
          </w:tcPr>
          <w:p w14:paraId="42C88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Statistical or fragment model, or rule set marginally covering it</w:t>
            </w:r>
          </w:p>
        </w:tc>
        <w:tc>
          <w:tcPr>
            <w:tcW w:w="2278" w:type="dxa"/>
            <w:tcBorders>
              <w:top w:val="single" w:color="auto" w:sz="4" w:space="0"/>
            </w:tcBorders>
            <w:vAlign w:val="center"/>
          </w:tcPr>
          <w:p w14:paraId="5D9B8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Outside the rule set or inter-model conflict</w:t>
            </w:r>
          </w:p>
        </w:tc>
      </w:tr>
      <w:tr w14:paraId="0B8F71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32" w:type="dxa"/>
            <w:vAlign w:val="center"/>
          </w:tcPr>
          <w:p w14:paraId="16AE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Quantitative QSAR prediction</w:t>
            </w:r>
          </w:p>
        </w:tc>
        <w:tc>
          <w:tcPr>
            <w:tcW w:w="3095" w:type="dxa"/>
            <w:vAlign w:val="center"/>
          </w:tcPr>
          <w:p w14:paraId="3880E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Within the applicability domain with consistent cross-validation</w:t>
            </w:r>
          </w:p>
        </w:tc>
        <w:tc>
          <w:tcPr>
            <w:tcW w:w="3068" w:type="dxa"/>
            <w:vAlign w:val="center"/>
          </w:tcPr>
          <w:p w14:paraId="15560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At the edge of the applicability domain or partially inconsistent between models</w:t>
            </w:r>
          </w:p>
        </w:tc>
        <w:tc>
          <w:tcPr>
            <w:tcW w:w="2278" w:type="dxa"/>
            <w:vAlign w:val="center"/>
          </w:tcPr>
          <w:p w14:paraId="0FD19D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Outside the applicability domain or inter-model conflict</w:t>
            </w:r>
          </w:p>
        </w:tc>
      </w:tr>
      <w:tr w14:paraId="423646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32" w:type="dxa"/>
            <w:vAlign w:val="center"/>
          </w:tcPr>
          <w:p w14:paraId="4C858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Endpoint-specific screening</w:t>
            </w:r>
          </w:p>
        </w:tc>
        <w:tc>
          <w:tcPr>
            <w:tcW w:w="3095" w:type="dxa"/>
            <w:vAlign w:val="center"/>
          </w:tcPr>
          <w:p w14:paraId="248F2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Multi-tool consistent and within the applicability domain</w:t>
            </w:r>
          </w:p>
        </w:tc>
        <w:tc>
          <w:tcPr>
            <w:tcW w:w="3068" w:type="dxa"/>
            <w:vAlign w:val="center"/>
          </w:tcPr>
          <w:p w14:paraId="0E821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Single-tool screening-level prediction unconfirmed by cross-validation</w:t>
            </w:r>
          </w:p>
        </w:tc>
        <w:tc>
          <w:tcPr>
            <w:tcW w:w="2278" w:type="dxa"/>
            <w:vAlign w:val="center"/>
          </w:tcPr>
          <w:p w14:paraId="4A6C7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Outside the applicability domain or inter-tool conflict</w:t>
            </w:r>
          </w:p>
        </w:tc>
      </w:tr>
      <w:tr w14:paraId="4036F7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32" w:type="dxa"/>
            <w:vAlign w:val="center"/>
          </w:tcPr>
          <w:p w14:paraId="291CE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Molecular docking</w:t>
            </w:r>
          </w:p>
        </w:tc>
        <w:tc>
          <w:tcPr>
            <w:tcW w:w="3095" w:type="dxa"/>
            <w:vAlign w:val="center"/>
          </w:tcPr>
          <w:p w14:paraId="68A0A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Binding energy trend directionally consistent with independent predictions and converged poses</w:t>
            </w:r>
          </w:p>
        </w:tc>
        <w:tc>
          <w:tcPr>
            <w:tcW w:w="3068" w:type="dxa"/>
            <w:vAlign w:val="center"/>
          </w:tcPr>
          <w:p w14:paraId="03A6B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Converged poses but lacking independent validation</w:t>
            </w:r>
          </w:p>
        </w:tc>
        <w:tc>
          <w:tcPr>
            <w:tcW w:w="2278" w:type="dxa"/>
            <w:vAlign w:val="center"/>
          </w:tcPr>
          <w:p w14:paraId="6A320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Scattered poses or directionally conflicting with independent predictions</w:t>
            </w:r>
          </w:p>
        </w:tc>
      </w:tr>
      <w:tr w14:paraId="66E315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32" w:type="dxa"/>
            <w:vAlign w:val="center"/>
          </w:tcPr>
          <w:p w14:paraId="5B52C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Target prediction</w:t>
            </w:r>
          </w:p>
        </w:tc>
        <w:tc>
          <w:tcPr>
            <w:tcW w:w="3095" w:type="dxa"/>
            <w:vAlign w:val="center"/>
          </w:tcPr>
          <w:p w14:paraId="48395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Dual-platform agreement</w:t>
            </w:r>
          </w:p>
        </w:tc>
        <w:tc>
          <w:tcPr>
            <w:tcW w:w="3068" w:type="dxa"/>
            <w:vAlign w:val="center"/>
          </w:tcPr>
          <w:p w14:paraId="53DE3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Single-platform prediction</w:t>
            </w:r>
          </w:p>
        </w:tc>
        <w:tc>
          <w:tcPr>
            <w:tcW w:w="2278" w:type="dxa"/>
            <w:vAlign w:val="center"/>
          </w:tcPr>
          <w:p w14:paraId="17C59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Inter-platform conflict</w:t>
            </w:r>
          </w:p>
        </w:tc>
      </w:tr>
      <w:tr w14:paraId="5DA024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732" w:type="dxa"/>
            <w:vAlign w:val="center"/>
          </w:tcPr>
          <w:p w14:paraId="35261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Pathway enrichment</w:t>
            </w:r>
          </w:p>
        </w:tc>
        <w:tc>
          <w:tcPr>
            <w:tcW w:w="3095" w:type="dxa"/>
            <w:vAlign w:val="center"/>
          </w:tcPr>
          <w:p w14:paraId="21A0B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Multi-database agreement reaching the significance threshold</w:t>
            </w:r>
          </w:p>
        </w:tc>
        <w:tc>
          <w:tcPr>
            <w:tcW w:w="3068" w:type="dxa"/>
            <w:vAlign w:val="center"/>
          </w:tcPr>
          <w:p w14:paraId="5932C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Single database reaching the threshold</w:t>
            </w:r>
          </w:p>
        </w:tc>
        <w:tc>
          <w:tcPr>
            <w:tcW w:w="2278" w:type="dxa"/>
            <w:vAlign w:val="center"/>
          </w:tcPr>
          <w:p w14:paraId="5713C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Below the threshold</w:t>
            </w:r>
          </w:p>
        </w:tc>
      </w:tr>
    </w:tbl>
    <w:p w14:paraId="3328161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585"/>
    <w:rsid w:val="00127708"/>
    <w:rsid w:val="004E4585"/>
    <w:rsid w:val="00673543"/>
    <w:rsid w:val="00C70890"/>
    <w:rsid w:val="00CB2772"/>
    <w:rsid w:val="00E02B97"/>
    <w:rsid w:val="0C813E6B"/>
    <w:rsid w:val="0EDE323A"/>
    <w:rsid w:val="22F7193B"/>
    <w:rsid w:val="23FE088C"/>
    <w:rsid w:val="2CF468F3"/>
    <w:rsid w:val="30A33127"/>
    <w:rsid w:val="30CA0D3A"/>
    <w:rsid w:val="3AC8654F"/>
    <w:rsid w:val="3C601D90"/>
    <w:rsid w:val="418635A3"/>
    <w:rsid w:val="4EF02F6C"/>
    <w:rsid w:val="53C04BD2"/>
    <w:rsid w:val="5F634908"/>
    <w:rsid w:val="64AB5634"/>
    <w:rsid w:val="6E7F424C"/>
    <w:rsid w:val="73E446BA"/>
    <w:rsid w:val="777C288D"/>
    <w:rsid w:val="7E8B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80" w:lineRule="auto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eastAsiaTheme="minorEastAsia"/>
      <w:b/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line="240" w:lineRule="auto"/>
      <w:ind w:firstLine="321" w:firstLineChars="100"/>
      <w:outlineLvl w:val="1"/>
    </w:pPr>
    <w:rPr>
      <w:rFonts w:cstheme="minorBidi"/>
      <w:b/>
      <w:szCs w:val="24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line="240" w:lineRule="auto"/>
      <w:ind w:firstLine="643" w:firstLineChars="200"/>
      <w:outlineLvl w:val="2"/>
    </w:pPr>
    <w:rPr>
      <w:rFonts w:cstheme="minorBidi"/>
      <w:b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3">
    <w:name w:val="批注框文本 Char"/>
    <w:basedOn w:val="10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1126</Characters>
  <Lines>12</Lines>
  <Paragraphs>3</Paragraphs>
  <TotalTime>0</TotalTime>
  <ScaleCrop>false</ScaleCrop>
  <LinksUpToDate>false</LinksUpToDate>
  <CharactersWithSpaces>1246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2020-04-15T05:47:00Z</dcterms:created>
  <dc:creator>GD-RC-PC</dc:creator>
  <cp:lastModifiedBy>GD</cp:lastModifiedBy>
  <dcterms:modified xsi:type="dcterms:W3CDTF">2026-09-15T07:55:32Z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3033AE72AD31432FBB5D573769FE27EA</vt:lpwstr>
  </property>
  <property fmtid="{D5CDD505-2E9C-101B-9397-08002B2CF9AE}" pid="4" name="KSOTemplateDocerSaveRecord">
    <vt:lpwstr>eyJoZGlkIjoiZTU1ZmQxOThjM2Y1YTUyMTgxNWFjZWZmM2I0MWI4MzQiLCJ1c2VySWQiOiI0NDg4MDMxODEifQ==</vt:lpwstr>
  </property>
</Properties>
</file>