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2176A" w14:textId="4D784A78" w:rsidR="00C80ED4" w:rsidRDefault="00D31479" w:rsidP="00AA67FE">
      <w:pPr>
        <w:spacing w:after="0" w:line="240" w:lineRule="auto"/>
        <w:jc w:val="center"/>
        <w:rPr>
          <w:b/>
          <w:color w:val="000000"/>
        </w:rPr>
      </w:pPr>
      <w:r w:rsidRPr="00604000">
        <w:rPr>
          <w:b/>
          <w:color w:val="000000"/>
        </w:rPr>
        <w:t xml:space="preserve">Community-Based Ecotourism in a Protected Coastal Landscape: Challenges and Opportunities </w:t>
      </w:r>
      <w:r w:rsidRPr="005478A7">
        <w:rPr>
          <w:b/>
          <w:color w:val="000000"/>
        </w:rPr>
        <w:t>from</w:t>
      </w:r>
      <w:r w:rsidRPr="00604000">
        <w:rPr>
          <w:b/>
          <w:color w:val="000000"/>
        </w:rPr>
        <w:t xml:space="preserve"> Guang-Guang Mangrove Park,</w:t>
      </w:r>
      <w:r w:rsidR="00386DEC">
        <w:rPr>
          <w:b/>
          <w:color w:val="000000"/>
        </w:rPr>
        <w:t xml:space="preserve"> Pujada Bay,</w:t>
      </w:r>
      <w:r w:rsidRPr="00604000">
        <w:rPr>
          <w:b/>
          <w:color w:val="000000"/>
        </w:rPr>
        <w:t xml:space="preserve"> Mati, Philippines</w:t>
      </w:r>
    </w:p>
    <w:p w14:paraId="427CB30B" w14:textId="77777777" w:rsidR="00AA67FE" w:rsidRPr="00604000" w:rsidRDefault="00AA67FE" w:rsidP="00AA67FE">
      <w:pPr>
        <w:spacing w:after="0" w:line="240" w:lineRule="auto"/>
        <w:jc w:val="center"/>
      </w:pPr>
    </w:p>
    <w:p w14:paraId="6995D7FC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1E8848CA" w14:textId="372034C9" w:rsidR="00604000" w:rsidRPr="007D293F" w:rsidRDefault="00604000" w:rsidP="005B65CB">
      <w:pPr>
        <w:pStyle w:val="Caption"/>
        <w:keepNext/>
        <w:spacing w:after="0" w:line="480" w:lineRule="auto"/>
        <w:rPr>
          <w:color w:val="auto"/>
          <w:sz w:val="24"/>
          <w:szCs w:val="24"/>
        </w:rPr>
      </w:pPr>
      <w:r w:rsidRPr="007D293F">
        <w:rPr>
          <w:color w:val="000000"/>
          <w:sz w:val="24"/>
          <w:szCs w:val="24"/>
        </w:rPr>
        <w:t xml:space="preserve">Table </w:t>
      </w:r>
      <w:r w:rsidRPr="007D293F">
        <w:rPr>
          <w:color w:val="000000"/>
          <w:sz w:val="24"/>
          <w:szCs w:val="24"/>
        </w:rPr>
        <w:fldChar w:fldCharType="begin"/>
      </w:r>
      <w:r w:rsidRPr="007D293F">
        <w:rPr>
          <w:color w:val="000000"/>
          <w:sz w:val="24"/>
          <w:szCs w:val="24"/>
        </w:rPr>
        <w:instrText xml:space="preserve"> SEQ Table \* ARABIC </w:instrText>
      </w:r>
      <w:r w:rsidRPr="007D293F">
        <w:rPr>
          <w:color w:val="000000"/>
          <w:sz w:val="24"/>
          <w:szCs w:val="24"/>
        </w:rPr>
        <w:fldChar w:fldCharType="separate"/>
      </w:r>
      <w:r w:rsidR="00042532" w:rsidRPr="007D293F">
        <w:rPr>
          <w:noProof/>
          <w:color w:val="000000"/>
          <w:sz w:val="24"/>
          <w:szCs w:val="24"/>
        </w:rPr>
        <w:t>1</w:t>
      </w:r>
      <w:r w:rsidRPr="007D293F">
        <w:rPr>
          <w:color w:val="000000"/>
          <w:sz w:val="24"/>
          <w:szCs w:val="24"/>
        </w:rPr>
        <w:fldChar w:fldCharType="end"/>
      </w:r>
      <w:r w:rsidRPr="007D293F">
        <w:rPr>
          <w:color w:val="000000"/>
          <w:sz w:val="24"/>
          <w:szCs w:val="24"/>
        </w:rPr>
        <w:t xml:space="preserve">. </w:t>
      </w:r>
      <w:r w:rsidRPr="007D293F">
        <w:rPr>
          <w:b w:val="0"/>
          <w:bCs w:val="0"/>
          <w:color w:val="000000"/>
          <w:sz w:val="24"/>
          <w:szCs w:val="24"/>
        </w:rPr>
        <w:t>Data sources and analytical linkage to the modified Quadruple Bottom Line framework.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05"/>
        <w:gridCol w:w="2724"/>
        <w:gridCol w:w="2070"/>
        <w:gridCol w:w="3138"/>
      </w:tblGrid>
      <w:tr w:rsidR="00C80ED4" w:rsidRPr="00604000" w14:paraId="564ACC62" w14:textId="77777777" w:rsidTr="007F011D">
        <w:trPr>
          <w:jc w:val="center"/>
        </w:trPr>
        <w:tc>
          <w:tcPr>
            <w:tcW w:w="140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6D5D390F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Dimension</w:t>
            </w:r>
          </w:p>
        </w:tc>
        <w:tc>
          <w:tcPr>
            <w:tcW w:w="2724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2C62DFD3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Main questions examined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6831605D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Primary data sources</w:t>
            </w:r>
          </w:p>
        </w:tc>
        <w:tc>
          <w:tcPr>
            <w:tcW w:w="313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494AD143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Examples of indicators or themes</w:t>
            </w:r>
          </w:p>
        </w:tc>
      </w:tr>
      <w:tr w:rsidR="00C80ED4" w:rsidRPr="00604000" w14:paraId="73F0AA93" w14:textId="77777777" w:rsidTr="007F011D">
        <w:trPr>
          <w:jc w:val="center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0E8FABAA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Environmental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</w:tcPr>
          <w:p w14:paraId="38B946FD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How does tourism relate to mangrove protection and visitor impacts?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6E5348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Transect walk, interviews, tourist survey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</w:tcPr>
          <w:p w14:paraId="121CBFA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Litter, vandalism, environmental awareness, interpretation and carrying-capacity concerns</w:t>
            </w:r>
          </w:p>
        </w:tc>
      </w:tr>
      <w:tr w:rsidR="00C80ED4" w:rsidRPr="00604000" w14:paraId="7FEE3A67" w14:textId="77777777" w:rsidTr="007F011D">
        <w:trPr>
          <w:jc w:val="center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72CCCBDA" w14:textId="6950902D" w:rsidR="00C80ED4" w:rsidRPr="00604000" w:rsidRDefault="002865CA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economic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</w:tcPr>
          <w:p w14:paraId="35B54D2D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What livelihood and revenue opportunities or constraints are present?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75E8F3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Interviews, tourist survey, field observations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</w:tcPr>
          <w:p w14:paraId="51A9F379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Employment, entrance-fee support, infrastructure limits, enterprise potential and visitor spending</w:t>
            </w:r>
          </w:p>
        </w:tc>
      </w:tr>
      <w:tr w:rsidR="00C80ED4" w:rsidRPr="00604000" w14:paraId="40C760A4" w14:textId="77777777" w:rsidTr="007F011D">
        <w:trPr>
          <w:jc w:val="center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71436C43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Social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</w:tcPr>
          <w:p w14:paraId="429D4771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How are community participation, ownership and local benefits perceived?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6CA92B1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Interviews, transect walk, tourist survey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</w:tcPr>
          <w:p w14:paraId="446A6592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Stewardship, community pride, participation in conservation, women and fisherfolk involvement</w:t>
            </w:r>
          </w:p>
        </w:tc>
      </w:tr>
      <w:tr w:rsidR="00C80ED4" w:rsidRPr="00604000" w14:paraId="5136DC6A" w14:textId="77777777" w:rsidTr="007F011D">
        <w:trPr>
          <w:jc w:val="center"/>
        </w:trPr>
        <w:tc>
          <w:tcPr>
            <w:tcW w:w="140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BD33BC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Organizational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1AA51F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How do governance, coordination and institutional arrangements shape CBET?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E16209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Stakeholder analysis, interviews, document-informed review</w:t>
            </w:r>
          </w:p>
        </w:tc>
        <w:tc>
          <w:tcPr>
            <w:tcW w:w="313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1ECB70A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Decision-making power, PAMB/LGU/DENR roles, NGO intermediation and political continuity</w:t>
            </w:r>
          </w:p>
        </w:tc>
      </w:tr>
    </w:tbl>
    <w:p w14:paraId="0713C787" w14:textId="77777777" w:rsidR="00223ACC" w:rsidRDefault="00223ACC" w:rsidP="005B65CB"/>
    <w:p w14:paraId="594AE87C" w14:textId="77777777" w:rsidR="00AF2AF5" w:rsidRDefault="00AF2AF5" w:rsidP="005B65CB"/>
    <w:p w14:paraId="04AC28DC" w14:textId="77777777" w:rsidR="00AF2AF5" w:rsidRDefault="00AF2AF5" w:rsidP="005B65CB"/>
    <w:p w14:paraId="61A92185" w14:textId="77777777" w:rsidR="00AF2AF5" w:rsidRDefault="00AF2AF5" w:rsidP="005B65CB"/>
    <w:p w14:paraId="5807AAF6" w14:textId="77777777" w:rsidR="00AF2AF5" w:rsidRDefault="00AF2AF5" w:rsidP="005B65CB"/>
    <w:p w14:paraId="5AF061D7" w14:textId="77777777" w:rsidR="00AF2AF5" w:rsidRDefault="00AF2AF5" w:rsidP="005B65CB"/>
    <w:p w14:paraId="0F35E775" w14:textId="77777777" w:rsidR="00AF2AF5" w:rsidRDefault="00AF2AF5" w:rsidP="005B65CB"/>
    <w:p w14:paraId="0F44F613" w14:textId="77777777" w:rsidR="00604000" w:rsidRPr="002C3340" w:rsidRDefault="00604000" w:rsidP="005B65CB">
      <w:pPr>
        <w:pStyle w:val="Caption"/>
        <w:keepNext/>
        <w:spacing w:after="0" w:line="480" w:lineRule="auto"/>
        <w:rPr>
          <w:color w:val="auto"/>
          <w:sz w:val="24"/>
          <w:szCs w:val="24"/>
        </w:rPr>
      </w:pPr>
      <w:r w:rsidRPr="002C3340">
        <w:rPr>
          <w:color w:val="000000"/>
          <w:sz w:val="24"/>
          <w:szCs w:val="24"/>
        </w:rPr>
        <w:lastRenderedPageBreak/>
        <w:t xml:space="preserve">Table </w:t>
      </w:r>
      <w:r w:rsidRPr="002C3340">
        <w:rPr>
          <w:color w:val="000000"/>
          <w:sz w:val="24"/>
          <w:szCs w:val="24"/>
        </w:rPr>
        <w:fldChar w:fldCharType="begin"/>
      </w:r>
      <w:r w:rsidRPr="002C3340">
        <w:rPr>
          <w:color w:val="000000"/>
          <w:sz w:val="24"/>
          <w:szCs w:val="24"/>
        </w:rPr>
        <w:instrText xml:space="preserve"> SEQ Table \* ARABIC </w:instrText>
      </w:r>
      <w:r w:rsidRPr="002C3340">
        <w:rPr>
          <w:color w:val="000000"/>
          <w:sz w:val="24"/>
          <w:szCs w:val="24"/>
        </w:rPr>
        <w:fldChar w:fldCharType="separate"/>
      </w:r>
      <w:r w:rsidR="00042532" w:rsidRPr="002C3340">
        <w:rPr>
          <w:noProof/>
          <w:color w:val="000000"/>
          <w:sz w:val="24"/>
          <w:szCs w:val="24"/>
        </w:rPr>
        <w:t>2</w:t>
      </w:r>
      <w:r w:rsidRPr="002C3340">
        <w:rPr>
          <w:color w:val="000000"/>
          <w:sz w:val="24"/>
          <w:szCs w:val="24"/>
        </w:rPr>
        <w:fldChar w:fldCharType="end"/>
      </w:r>
      <w:r w:rsidRPr="002C3340">
        <w:rPr>
          <w:color w:val="000000"/>
          <w:sz w:val="24"/>
          <w:szCs w:val="24"/>
        </w:rPr>
        <w:t xml:space="preserve">. </w:t>
      </w:r>
      <w:r w:rsidRPr="002C3340">
        <w:rPr>
          <w:b w:val="0"/>
          <w:bCs w:val="0"/>
          <w:color w:val="000000"/>
          <w:sz w:val="24"/>
          <w:szCs w:val="24"/>
        </w:rPr>
        <w:t>Stakeholder interview participants and their roles (n = 12).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8"/>
        <w:gridCol w:w="1128"/>
        <w:gridCol w:w="3702"/>
        <w:gridCol w:w="1440"/>
        <w:gridCol w:w="1923"/>
      </w:tblGrid>
      <w:tr w:rsidR="00C80ED4" w:rsidRPr="00604000" w14:paraId="24518995" w14:textId="77777777" w:rsidTr="007F011D">
        <w:tc>
          <w:tcPr>
            <w:tcW w:w="103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63A0F35E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Interview No.</w:t>
            </w: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30A54D64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w="3702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5096D2EA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Agency / Organization</w:t>
            </w:r>
          </w:p>
        </w:tc>
        <w:tc>
          <w:tcPr>
            <w:tcW w:w="144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45262FD4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Code Name</w:t>
            </w:r>
          </w:p>
        </w:tc>
        <w:tc>
          <w:tcPr>
            <w:tcW w:w="192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6505A32B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Management Level</w:t>
            </w:r>
          </w:p>
        </w:tc>
      </w:tr>
      <w:tr w:rsidR="00C80ED4" w:rsidRPr="00604000" w14:paraId="6DCA0B71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6717CE4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7506523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01/05/2023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0244BB2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City Civil Security Unit (CCSU)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1CD3717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JO 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58C7385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No</w:t>
            </w:r>
          </w:p>
        </w:tc>
      </w:tr>
      <w:tr w:rsidR="00C80ED4" w:rsidRPr="00604000" w14:paraId="46D88BFC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7B25EF13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951A402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01/05/2023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4C0DE78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City Tourism Office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C77D0D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JO 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2B9323F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No</w:t>
            </w:r>
          </w:p>
        </w:tc>
      </w:tr>
      <w:tr w:rsidR="00C80ED4" w:rsidRPr="00604000" w14:paraId="5869B877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7C7F0BA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0EFD07A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01/05/2023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7B1DB00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City Environment and Natural Resource Office (CENRO)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CF8243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JO 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16911F4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No</w:t>
            </w:r>
          </w:p>
        </w:tc>
      </w:tr>
      <w:tr w:rsidR="00C80ED4" w:rsidRPr="00604000" w14:paraId="7EFEA73A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6AD6869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2F74FFD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01/05/2023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24C468AA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City LGU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DF00DBD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JO 4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1D4BC62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No</w:t>
            </w:r>
          </w:p>
        </w:tc>
      </w:tr>
      <w:tr w:rsidR="00C80ED4" w:rsidRPr="00604000" w14:paraId="4091D259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0A625815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9D9C26A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16/05/2023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320463D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City LGU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7697A7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JO 5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79A4C12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No</w:t>
            </w:r>
          </w:p>
        </w:tc>
      </w:tr>
      <w:tr w:rsidR="00C80ED4" w:rsidRPr="00604000" w14:paraId="79781984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353F859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0F3A7F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17/05/2023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7E80D4C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Mama Earth Foundation (NGO)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F709D4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NGO 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0E4EA0B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Yes</w:t>
            </w:r>
          </w:p>
        </w:tc>
      </w:tr>
      <w:tr w:rsidR="00C80ED4" w:rsidRPr="00604000" w14:paraId="184F979B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0F77CE0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227736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26/05/2023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3E830B3D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City Tourism Office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52EE51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Tourism 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3C8D6B0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Yes</w:t>
            </w:r>
          </w:p>
        </w:tc>
      </w:tr>
      <w:tr w:rsidR="00C80ED4" w:rsidRPr="00604000" w14:paraId="3D605071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4077C14B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D3F25A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26/05/2023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0A933AA1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Women's City Federation (WCF)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3CDB4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WCF 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32B3F8E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Yes</w:t>
            </w:r>
          </w:p>
        </w:tc>
      </w:tr>
      <w:tr w:rsidR="00C80ED4" w:rsidRPr="00604000" w14:paraId="235A6FAD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32FAE46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E1A2095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01/05/2023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2B60DF0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City Tourism Office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E59D74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JO 6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17A4ABAB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No</w:t>
            </w:r>
          </w:p>
        </w:tc>
      </w:tr>
      <w:tr w:rsidR="00C80ED4" w:rsidRPr="00604000" w14:paraId="5218432A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5F7B0E4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EE05A45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29/05/2023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4FF3C8A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City Environment and Natural Resource Office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669D37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 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39AA374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Yes</w:t>
            </w:r>
          </w:p>
        </w:tc>
      </w:tr>
      <w:tr w:rsidR="00C80ED4" w:rsidRPr="00604000" w14:paraId="16645191" w14:textId="77777777" w:rsidTr="007F011D"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14:paraId="07D572F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2A7EC89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29/05/2023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1F29FAD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CENRO Environmental Specialist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88F75A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 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 w14:paraId="29860B1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Yes</w:t>
            </w:r>
          </w:p>
        </w:tc>
      </w:tr>
      <w:tr w:rsidR="00C80ED4" w:rsidRPr="00604000" w14:paraId="1F94CD42" w14:textId="77777777" w:rsidTr="007F011D">
        <w:tc>
          <w:tcPr>
            <w:tcW w:w="103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199E3D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7C6A9D7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08/06/2023</w:t>
            </w:r>
          </w:p>
        </w:tc>
        <w:tc>
          <w:tcPr>
            <w:tcW w:w="370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B6E64D1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PENRO with CENRO official present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51E52E2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 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75E815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Yes</w:t>
            </w:r>
          </w:p>
        </w:tc>
      </w:tr>
    </w:tbl>
    <w:p w14:paraId="2A9330F9" w14:textId="77777777" w:rsidR="00C80ED4" w:rsidRPr="00B74294" w:rsidRDefault="00D31479" w:rsidP="005B65CB">
      <w:pPr>
        <w:spacing w:after="0"/>
        <w:rPr>
          <w:sz w:val="22"/>
          <w:szCs w:val="20"/>
        </w:rPr>
      </w:pPr>
      <w:r w:rsidRPr="00B74294">
        <w:rPr>
          <w:color w:val="000000"/>
          <w:sz w:val="18"/>
          <w:szCs w:val="20"/>
        </w:rPr>
        <w:t>Note: JO = job order; LGU = local government unit; NGO = non-government organization; PENRO = Provincial Environment and Natural Resources Office; CENRO = Community Environment and Natural Resources Office.</w:t>
      </w:r>
    </w:p>
    <w:p w14:paraId="363118AE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624C5EAE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57DED1DD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7FB69CA3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07437EEB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5ECB0326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00B67426" w14:textId="5E54303A" w:rsidR="00E03121" w:rsidRPr="00D222B7" w:rsidRDefault="00E03121" w:rsidP="005B65CB">
      <w:pPr>
        <w:pStyle w:val="Caption"/>
        <w:keepNext/>
        <w:spacing w:after="0" w:line="480" w:lineRule="auto"/>
        <w:rPr>
          <w:color w:val="auto"/>
          <w:sz w:val="24"/>
          <w:szCs w:val="24"/>
        </w:rPr>
      </w:pPr>
      <w:r w:rsidRPr="00D222B7">
        <w:rPr>
          <w:color w:val="000000"/>
          <w:sz w:val="24"/>
          <w:szCs w:val="24"/>
        </w:rPr>
        <w:t xml:space="preserve">Table </w:t>
      </w:r>
      <w:r w:rsidRPr="00D222B7">
        <w:rPr>
          <w:color w:val="000000"/>
          <w:sz w:val="24"/>
          <w:szCs w:val="24"/>
        </w:rPr>
        <w:fldChar w:fldCharType="begin"/>
      </w:r>
      <w:r w:rsidRPr="00D222B7">
        <w:rPr>
          <w:color w:val="000000"/>
          <w:sz w:val="24"/>
          <w:szCs w:val="24"/>
        </w:rPr>
        <w:instrText xml:space="preserve"> SEQ Table \* ARABIC </w:instrText>
      </w:r>
      <w:r w:rsidRPr="00D222B7">
        <w:rPr>
          <w:color w:val="000000"/>
          <w:sz w:val="24"/>
          <w:szCs w:val="24"/>
        </w:rPr>
        <w:fldChar w:fldCharType="separate"/>
      </w:r>
      <w:r w:rsidR="00042532" w:rsidRPr="00D222B7">
        <w:rPr>
          <w:noProof/>
          <w:color w:val="000000"/>
          <w:sz w:val="24"/>
          <w:szCs w:val="24"/>
        </w:rPr>
        <w:t>3</w:t>
      </w:r>
      <w:r w:rsidRPr="00D222B7">
        <w:rPr>
          <w:color w:val="000000"/>
          <w:sz w:val="24"/>
          <w:szCs w:val="24"/>
        </w:rPr>
        <w:fldChar w:fldCharType="end"/>
      </w:r>
      <w:r w:rsidRPr="00D222B7">
        <w:rPr>
          <w:color w:val="000000"/>
          <w:sz w:val="24"/>
          <w:szCs w:val="24"/>
        </w:rPr>
        <w:t xml:space="preserve">. </w:t>
      </w:r>
      <w:r w:rsidRPr="00D222B7">
        <w:rPr>
          <w:b w:val="0"/>
          <w:bCs w:val="0"/>
          <w:color w:val="000000"/>
          <w:sz w:val="24"/>
          <w:szCs w:val="24"/>
        </w:rPr>
        <w:t>Summary of visitor sample characteristics based on survey responses (n = 54).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08"/>
        <w:gridCol w:w="3943"/>
        <w:gridCol w:w="3176"/>
      </w:tblGrid>
      <w:tr w:rsidR="00C80ED4" w:rsidRPr="00604000" w14:paraId="09CEAD23" w14:textId="77777777" w:rsidTr="007F011D">
        <w:tc>
          <w:tcPr>
            <w:tcW w:w="190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72928BE6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Variable</w:t>
            </w:r>
          </w:p>
        </w:tc>
        <w:tc>
          <w:tcPr>
            <w:tcW w:w="3943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7B0DFC4D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Main result</w:t>
            </w:r>
          </w:p>
        </w:tc>
        <w:tc>
          <w:tcPr>
            <w:tcW w:w="3176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62950431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Interpretive note</w:t>
            </w:r>
          </w:p>
        </w:tc>
      </w:tr>
      <w:tr w:rsidR="00C80ED4" w:rsidRPr="00604000" w14:paraId="4402A67D" w14:textId="77777777" w:rsidTr="007F011D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58D4C951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Gender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</w:tcPr>
          <w:p w14:paraId="763C0BB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53% male; 47% female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</w:tcPr>
          <w:p w14:paraId="7899EC1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Approximately balanced gender distribution</w:t>
            </w:r>
          </w:p>
        </w:tc>
      </w:tr>
      <w:tr w:rsidR="00C80ED4" w:rsidRPr="00604000" w14:paraId="6E5D648C" w14:textId="77777777" w:rsidTr="007F011D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34B9E08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Age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</w:tcPr>
          <w:p w14:paraId="59E8649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61% aged 18-25 years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</w:tcPr>
          <w:p w14:paraId="4367560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Young visitors dominated the sample</w:t>
            </w:r>
          </w:p>
        </w:tc>
      </w:tr>
      <w:tr w:rsidR="00C80ED4" w:rsidRPr="00604000" w14:paraId="4A62AA51" w14:textId="77777777" w:rsidTr="007F011D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0FE74CAB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Education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</w:tcPr>
          <w:p w14:paraId="3774EEB3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63% with postsecondary education; 41% enrolled in college/university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</w:tcPr>
          <w:p w14:paraId="1BF613C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Likely influenced high environmental-awareness scores</w:t>
            </w:r>
          </w:p>
        </w:tc>
      </w:tr>
      <w:tr w:rsidR="00C80ED4" w:rsidRPr="00604000" w14:paraId="3A6EBC56" w14:textId="77777777" w:rsidTr="007F011D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462CAF2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Origin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</w:tcPr>
          <w:p w14:paraId="3B48612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78% from the local area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</w:tcPr>
          <w:p w14:paraId="62C4FEC5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The site functions mainly as a local/domestic destination</w:t>
            </w:r>
          </w:p>
        </w:tc>
      </w:tr>
      <w:tr w:rsidR="00C80ED4" w:rsidRPr="00604000" w14:paraId="66779F84" w14:textId="77777777" w:rsidTr="007F011D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453BF0E1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Transport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</w:tcPr>
          <w:p w14:paraId="2794C613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91% used private transport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</w:tcPr>
          <w:p w14:paraId="117F94A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Access is easier for visitors with private vehicles</w:t>
            </w:r>
          </w:p>
        </w:tc>
      </w:tr>
      <w:tr w:rsidR="00C80ED4" w:rsidRPr="00604000" w14:paraId="416338F7" w14:textId="77777777" w:rsidTr="007F011D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162F6FA9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First-time visitors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</w:tcPr>
          <w:p w14:paraId="34DB5EAB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17% first-time visitors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</w:tcPr>
          <w:p w14:paraId="5ECB896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Most respondents had visited previously</w:t>
            </w:r>
          </w:p>
        </w:tc>
      </w:tr>
      <w:tr w:rsidR="00C80ED4" w:rsidRPr="00604000" w14:paraId="384F08E9" w14:textId="77777777" w:rsidTr="007F011D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168D41E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Visit duration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</w:tcPr>
          <w:p w14:paraId="44273E5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49% stayed less than 1 h</w:t>
            </w: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</w:tcPr>
          <w:p w14:paraId="3090A67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Amenities and activities may limit length of stay</w:t>
            </w:r>
          </w:p>
        </w:tc>
      </w:tr>
      <w:tr w:rsidR="00C80ED4" w:rsidRPr="00604000" w14:paraId="532814B2" w14:textId="77777777" w:rsidTr="007F011D">
        <w:tc>
          <w:tcPr>
            <w:tcW w:w="190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B1598C7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Main motivations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692E4B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Relaxation, photography/social media and nature enjoyment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C5DBCF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The site has recreational and educational potential</w:t>
            </w:r>
          </w:p>
        </w:tc>
      </w:tr>
    </w:tbl>
    <w:p w14:paraId="173037BC" w14:textId="7F7C5FF6" w:rsidR="00C80ED4" w:rsidRDefault="00C80ED4" w:rsidP="00AF2AF5">
      <w:pPr>
        <w:pStyle w:val="Heading2"/>
        <w:spacing w:before="120"/>
        <w:rPr>
          <w:rFonts w:ascii="Times New Roman" w:eastAsia="Times New Roman" w:hAnsi="Times New Roman"/>
        </w:rPr>
      </w:pPr>
    </w:p>
    <w:p w14:paraId="50F14D88" w14:textId="77777777" w:rsidR="00AF2AF5" w:rsidRPr="00AF2AF5" w:rsidRDefault="00AF2AF5" w:rsidP="00AF2AF5"/>
    <w:p w14:paraId="2FD6F0CE" w14:textId="77777777" w:rsidR="002F2262" w:rsidRPr="00113EFC" w:rsidRDefault="002F2262" w:rsidP="005B65CB">
      <w:pPr>
        <w:spacing w:after="0"/>
      </w:pPr>
      <w:r w:rsidRPr="00113EFC">
        <w:rPr>
          <w:b/>
          <w:bCs/>
          <w:color w:val="000000"/>
          <w:szCs w:val="24"/>
        </w:rPr>
        <w:lastRenderedPageBreak/>
        <w:t xml:space="preserve">Table </w:t>
      </w:r>
      <w:r w:rsidRPr="00113EFC">
        <w:rPr>
          <w:b/>
          <w:bCs/>
          <w:color w:val="000000"/>
          <w:szCs w:val="24"/>
        </w:rPr>
        <w:fldChar w:fldCharType="begin"/>
      </w:r>
      <w:r w:rsidRPr="00113EFC">
        <w:rPr>
          <w:b/>
          <w:bCs/>
          <w:color w:val="000000"/>
          <w:szCs w:val="24"/>
        </w:rPr>
        <w:instrText xml:space="preserve"> SEQ Table \* ARABIC </w:instrText>
      </w:r>
      <w:r w:rsidRPr="00113EFC">
        <w:rPr>
          <w:b/>
          <w:bCs/>
          <w:color w:val="000000"/>
          <w:szCs w:val="24"/>
        </w:rPr>
        <w:fldChar w:fldCharType="separate"/>
      </w:r>
      <w:r w:rsidR="00042532" w:rsidRPr="00113EFC">
        <w:rPr>
          <w:b/>
          <w:bCs/>
          <w:noProof/>
          <w:color w:val="000000"/>
          <w:szCs w:val="24"/>
        </w:rPr>
        <w:t>4</w:t>
      </w:r>
      <w:r w:rsidRPr="00113EFC">
        <w:rPr>
          <w:b/>
          <w:bCs/>
          <w:color w:val="000000"/>
          <w:szCs w:val="24"/>
        </w:rPr>
        <w:fldChar w:fldCharType="end"/>
      </w:r>
      <w:r w:rsidRPr="00113EFC">
        <w:rPr>
          <w:b/>
          <w:bCs/>
          <w:color w:val="000000"/>
          <w:szCs w:val="24"/>
        </w:rPr>
        <w:t>.</w:t>
      </w:r>
      <w:r w:rsidRPr="00D222B7">
        <w:rPr>
          <w:color w:val="000000"/>
          <w:szCs w:val="24"/>
        </w:rPr>
        <w:t xml:space="preserve"> Ecotourist profile of respondents (n = 54).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"/>
        <w:gridCol w:w="2579"/>
        <w:gridCol w:w="4500"/>
        <w:gridCol w:w="900"/>
        <w:gridCol w:w="596"/>
      </w:tblGrid>
      <w:tr w:rsidR="00C80ED4" w:rsidRPr="00604000" w14:paraId="344209FD" w14:textId="77777777" w:rsidTr="00627B88">
        <w:trPr>
          <w:jc w:val="center"/>
        </w:trPr>
        <w:tc>
          <w:tcPr>
            <w:tcW w:w="511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63E0C994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No.</w:t>
            </w:r>
          </w:p>
        </w:tc>
        <w:tc>
          <w:tcPr>
            <w:tcW w:w="2579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41A21C31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Theme</w:t>
            </w:r>
          </w:p>
        </w:tc>
        <w:tc>
          <w:tcPr>
            <w:tcW w:w="450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03204D16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Statement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0939EAD6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Mean</w:t>
            </w:r>
          </w:p>
        </w:tc>
        <w:tc>
          <w:tcPr>
            <w:tcW w:w="596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0DF2BCCF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SD</w:t>
            </w:r>
          </w:p>
        </w:tc>
      </w:tr>
      <w:tr w:rsidR="00C80ED4" w:rsidRPr="00604000" w14:paraId="73BDECA9" w14:textId="77777777" w:rsidTr="00627B88">
        <w:trPr>
          <w:jc w:val="center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6485ED5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1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</w:tcPr>
          <w:p w14:paraId="00EFDEB2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Community value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0D3EFCA1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Community-managed project is important.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6E552D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4.58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57C67687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0.53</w:t>
            </w:r>
          </w:p>
        </w:tc>
      </w:tr>
      <w:tr w:rsidR="00C80ED4" w:rsidRPr="00604000" w14:paraId="3507EADE" w14:textId="77777777" w:rsidTr="00627B88">
        <w:trPr>
          <w:jc w:val="center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582D0482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</w:tcPr>
          <w:p w14:paraId="5212C57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Community value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52E690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Ecotourism can provide additional income.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0811D7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4.58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0454673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0.53</w:t>
            </w:r>
          </w:p>
        </w:tc>
      </w:tr>
      <w:tr w:rsidR="00C80ED4" w:rsidRPr="00604000" w14:paraId="0AAA3585" w14:textId="77777777" w:rsidTr="00627B88">
        <w:trPr>
          <w:jc w:val="center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0BCA0A3D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3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</w:tcPr>
          <w:p w14:paraId="60F7737D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Community involvement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10167E7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Community involvement is important for mangrove restoration and conservation.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FF79D2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4.75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68F1432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0.48</w:t>
            </w:r>
          </w:p>
        </w:tc>
      </w:tr>
      <w:tr w:rsidR="00C80ED4" w:rsidRPr="00604000" w14:paraId="39EF6530" w14:textId="77777777" w:rsidTr="00627B88">
        <w:trPr>
          <w:jc w:val="center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3ED3D694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</w:tcPr>
          <w:p w14:paraId="5FDBCC7F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Environmental protection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0E41111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Environmental protection is important in ecotourism.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393083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4.66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3A07024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0.52</w:t>
            </w:r>
          </w:p>
        </w:tc>
      </w:tr>
      <w:tr w:rsidR="00C80ED4" w:rsidRPr="00604000" w14:paraId="0547ED47" w14:textId="77777777" w:rsidTr="00627B88">
        <w:trPr>
          <w:jc w:val="center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3009C4E5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5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</w:tcPr>
          <w:p w14:paraId="01D35299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Environmental protection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23145D0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Ecotourism can support mangrove conservation.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42684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4.63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11A86C1A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0.60</w:t>
            </w:r>
          </w:p>
        </w:tc>
      </w:tr>
      <w:tr w:rsidR="00C80ED4" w:rsidRPr="00604000" w14:paraId="6B10EF61" w14:textId="77777777" w:rsidTr="00627B88">
        <w:trPr>
          <w:jc w:val="center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3366696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6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</w:tcPr>
          <w:p w14:paraId="7AE564A2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Environmental education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D52961C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Environmental education is important in ecotourism.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455825E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4.55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0F7733F5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0.54</w:t>
            </w:r>
          </w:p>
        </w:tc>
      </w:tr>
      <w:tr w:rsidR="00C80ED4" w:rsidRPr="00604000" w14:paraId="749237AB" w14:textId="77777777" w:rsidTr="00627B88">
        <w:trPr>
          <w:jc w:val="center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03BC50FB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7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</w:tcPr>
          <w:p w14:paraId="6A7B60A8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Site attraction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1A380512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Mangrove forests are attractive tourist destinations.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2273690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4.75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656526E6" w14:textId="77777777" w:rsidR="00C80ED4" w:rsidRPr="00604000" w:rsidRDefault="00D31479" w:rsidP="005B65CB">
            <w:pPr>
              <w:spacing w:after="0"/>
            </w:pPr>
            <w:r w:rsidRPr="00604000">
              <w:rPr>
                <w:color w:val="000000"/>
                <w:sz w:val="20"/>
              </w:rPr>
              <w:t>0.43</w:t>
            </w:r>
          </w:p>
        </w:tc>
      </w:tr>
      <w:tr w:rsidR="00C80ED4" w:rsidRPr="00604000" w14:paraId="669809E4" w14:textId="77777777" w:rsidTr="00627B88">
        <w:trPr>
          <w:jc w:val="center"/>
        </w:trPr>
        <w:tc>
          <w:tcPr>
            <w:tcW w:w="51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86E8D77" w14:textId="77777777" w:rsidR="00C80ED4" w:rsidRPr="00604000" w:rsidRDefault="00C80ED4" w:rsidP="005B65CB">
            <w:pPr>
              <w:spacing w:after="0"/>
            </w:pPr>
          </w:p>
        </w:tc>
        <w:tc>
          <w:tcPr>
            <w:tcW w:w="257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435C8E6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Average ecotourist-profile score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E690204" w14:textId="77777777" w:rsidR="00C80ED4" w:rsidRPr="00604000" w:rsidRDefault="00C80ED4" w:rsidP="005B65CB">
            <w:pPr>
              <w:spacing w:after="0"/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D7EFA7D" w14:textId="77777777" w:rsidR="00C80ED4" w:rsidRPr="00604000" w:rsidRDefault="00D31479" w:rsidP="005B65CB">
            <w:pPr>
              <w:spacing w:after="0"/>
            </w:pPr>
            <w:r w:rsidRPr="00604000">
              <w:rPr>
                <w:b/>
                <w:color w:val="000000"/>
                <w:sz w:val="20"/>
              </w:rPr>
              <w:t>4.64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B5C7F9A" w14:textId="77777777" w:rsidR="00C80ED4" w:rsidRPr="00604000" w:rsidRDefault="00C80ED4" w:rsidP="005B65CB">
            <w:pPr>
              <w:spacing w:after="0"/>
            </w:pPr>
          </w:p>
        </w:tc>
      </w:tr>
    </w:tbl>
    <w:p w14:paraId="71C04C96" w14:textId="77777777" w:rsidR="00C80ED4" w:rsidRPr="00627B88" w:rsidRDefault="00D31479" w:rsidP="005B65CB">
      <w:pPr>
        <w:spacing w:after="0"/>
        <w:rPr>
          <w:sz w:val="22"/>
          <w:szCs w:val="20"/>
        </w:rPr>
      </w:pPr>
      <w:r w:rsidRPr="00627B88">
        <w:rPr>
          <w:color w:val="000000"/>
          <w:sz w:val="18"/>
          <w:szCs w:val="20"/>
        </w:rPr>
        <w:t>Note: Likert scale: 1 = strongly disagree, 2 = disagree, 3 = neutral, 4 = agree and 5 = strongly agree. SD = standard deviation.</w:t>
      </w:r>
    </w:p>
    <w:p w14:paraId="15B60BA4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30A52ED6" w14:textId="77777777" w:rsidR="00AF2AF5" w:rsidRDefault="00AF2AF5" w:rsidP="005B65CB">
      <w:pPr>
        <w:pStyle w:val="Caption"/>
        <w:keepNext/>
        <w:spacing w:after="0" w:line="480" w:lineRule="auto"/>
        <w:rPr>
          <w:color w:val="000000"/>
          <w:sz w:val="24"/>
          <w:szCs w:val="24"/>
        </w:rPr>
      </w:pPr>
    </w:p>
    <w:p w14:paraId="3EBFA657" w14:textId="0FBEEFD3" w:rsidR="006F38A5" w:rsidRPr="006F38A5" w:rsidRDefault="006F38A5" w:rsidP="005B65CB">
      <w:pPr>
        <w:pStyle w:val="Caption"/>
        <w:keepNext/>
        <w:spacing w:after="0" w:line="480" w:lineRule="auto"/>
        <w:rPr>
          <w:b w:val="0"/>
          <w:bCs w:val="0"/>
          <w:color w:val="auto"/>
          <w:sz w:val="24"/>
          <w:szCs w:val="24"/>
        </w:rPr>
      </w:pPr>
      <w:r w:rsidRPr="005E3FD5">
        <w:rPr>
          <w:color w:val="000000"/>
          <w:sz w:val="24"/>
          <w:szCs w:val="24"/>
        </w:rPr>
        <w:t xml:space="preserve">Table </w:t>
      </w:r>
      <w:r w:rsidRPr="005E3FD5">
        <w:rPr>
          <w:color w:val="000000"/>
          <w:sz w:val="24"/>
          <w:szCs w:val="24"/>
        </w:rPr>
        <w:fldChar w:fldCharType="begin"/>
      </w:r>
      <w:r w:rsidRPr="005E3FD5">
        <w:rPr>
          <w:color w:val="000000"/>
          <w:sz w:val="24"/>
          <w:szCs w:val="24"/>
        </w:rPr>
        <w:instrText xml:space="preserve"> SEQ Table \* ARABIC </w:instrText>
      </w:r>
      <w:r w:rsidRPr="005E3FD5">
        <w:rPr>
          <w:color w:val="000000"/>
          <w:sz w:val="24"/>
          <w:szCs w:val="24"/>
        </w:rPr>
        <w:fldChar w:fldCharType="separate"/>
      </w:r>
      <w:r w:rsidRPr="005E3FD5">
        <w:rPr>
          <w:noProof/>
          <w:color w:val="000000"/>
          <w:sz w:val="24"/>
          <w:szCs w:val="24"/>
        </w:rPr>
        <w:t>5</w:t>
      </w:r>
      <w:r w:rsidRPr="005E3FD5">
        <w:rPr>
          <w:color w:val="000000"/>
          <w:sz w:val="24"/>
          <w:szCs w:val="24"/>
        </w:rPr>
        <w:fldChar w:fldCharType="end"/>
      </w:r>
      <w:r w:rsidRPr="005E3FD5">
        <w:rPr>
          <w:color w:val="000000"/>
          <w:sz w:val="24"/>
          <w:szCs w:val="24"/>
        </w:rPr>
        <w:t>.</w:t>
      </w:r>
      <w:r w:rsidRPr="005E3FD5">
        <w:rPr>
          <w:b w:val="0"/>
          <w:bCs w:val="0"/>
          <w:color w:val="000000"/>
          <w:sz w:val="24"/>
          <w:szCs w:val="24"/>
        </w:rPr>
        <w:t xml:space="preserve"> Priority recommendations for strengthening CBET at Guang-Guang Mangrove Park.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45"/>
        <w:gridCol w:w="3137"/>
        <w:gridCol w:w="2541"/>
        <w:gridCol w:w="2137"/>
      </w:tblGrid>
      <w:tr w:rsidR="006F38A5" w:rsidRPr="006F38A5" w14:paraId="2AF4F39F" w14:textId="77777777" w:rsidTr="006F38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09A12867" w14:textId="77777777" w:rsidR="006F38A5" w:rsidRPr="006F38A5" w:rsidRDefault="006F38A5" w:rsidP="005B65CB">
            <w:pPr>
              <w:spacing w:after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Priority area</w:t>
            </w:r>
          </w:p>
        </w:tc>
        <w:tc>
          <w:tcPr>
            <w:tcW w:w="3240" w:type="dxa"/>
          </w:tcPr>
          <w:p w14:paraId="0697B457" w14:textId="77777777" w:rsidR="006F38A5" w:rsidRPr="006F38A5" w:rsidRDefault="006F38A5" w:rsidP="005B65C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Recommended action</w:t>
            </w:r>
          </w:p>
        </w:tc>
        <w:tc>
          <w:tcPr>
            <w:tcW w:w="2610" w:type="dxa"/>
          </w:tcPr>
          <w:p w14:paraId="04EE1492" w14:textId="77777777" w:rsidR="006F38A5" w:rsidRPr="006F38A5" w:rsidRDefault="006F38A5" w:rsidP="005B65C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Responsible actors</w:t>
            </w:r>
          </w:p>
        </w:tc>
        <w:tc>
          <w:tcPr>
            <w:tcW w:w="2178" w:type="dxa"/>
          </w:tcPr>
          <w:p w14:paraId="3C97E9E6" w14:textId="77777777" w:rsidR="006F38A5" w:rsidRPr="006F38A5" w:rsidRDefault="006F38A5" w:rsidP="005B65C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Expected contribution to CBET</w:t>
            </w:r>
          </w:p>
        </w:tc>
      </w:tr>
      <w:tr w:rsidR="006F38A5" w:rsidRPr="006F38A5" w14:paraId="2DF490F9" w14:textId="77777777" w:rsidTr="006F3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1232F727" w14:textId="77777777" w:rsidR="006F38A5" w:rsidRPr="006F38A5" w:rsidRDefault="006F38A5" w:rsidP="005B65CB">
            <w:pPr>
              <w:spacing w:after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Revenue governance</w:t>
            </w:r>
          </w:p>
        </w:tc>
        <w:tc>
          <w:tcPr>
            <w:tcW w:w="3240" w:type="dxa"/>
          </w:tcPr>
          <w:p w14:paraId="48404538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Clarify entrance-fee restrictions and explore PAMB/LGU-approved environmental fees, donations or guided-tour fees.</w:t>
            </w:r>
          </w:p>
        </w:tc>
        <w:tc>
          <w:tcPr>
            <w:tcW w:w="2610" w:type="dxa"/>
          </w:tcPr>
          <w:p w14:paraId="64AC5C12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PAMB, DENR, Mati City LGU, City Tourism Office and community representatives</w:t>
            </w:r>
          </w:p>
        </w:tc>
        <w:tc>
          <w:tcPr>
            <w:tcW w:w="2178" w:type="dxa"/>
          </w:tcPr>
          <w:p w14:paraId="4354F981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Generates funds for maintenance, conservation and community benefit-sharing.</w:t>
            </w:r>
          </w:p>
        </w:tc>
      </w:tr>
      <w:tr w:rsidR="006F38A5" w:rsidRPr="006F38A5" w14:paraId="55901BC7" w14:textId="77777777" w:rsidTr="006F38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1A6A6266" w14:textId="77777777" w:rsidR="006F38A5" w:rsidRPr="006F38A5" w:rsidRDefault="006F38A5" w:rsidP="005B65CB">
            <w:pPr>
              <w:spacing w:after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Basic infrastructure</w:t>
            </w:r>
          </w:p>
        </w:tc>
        <w:tc>
          <w:tcPr>
            <w:tcW w:w="3240" w:type="dxa"/>
          </w:tcPr>
          <w:p w14:paraId="7E4D9088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Prioritize electricity, water, sanitation, waste systems and access-road improvement.</w:t>
            </w:r>
          </w:p>
        </w:tc>
        <w:tc>
          <w:tcPr>
            <w:tcW w:w="2610" w:type="dxa"/>
          </w:tcPr>
          <w:p w14:paraId="00AEBB6E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Mati City LGU, PAMB/DENR, City ENRO, City Tourism Office and barangay partners</w:t>
            </w:r>
          </w:p>
        </w:tc>
        <w:tc>
          <w:tcPr>
            <w:tcW w:w="2178" w:type="dxa"/>
          </w:tcPr>
          <w:p w14:paraId="4A590E8D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Creates conditions for longer stays and local enterprise development.</w:t>
            </w:r>
          </w:p>
        </w:tc>
      </w:tr>
      <w:tr w:rsidR="006F38A5" w:rsidRPr="006F38A5" w14:paraId="706397E4" w14:textId="77777777" w:rsidTr="006F3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14867D75" w14:textId="77777777" w:rsidR="006F38A5" w:rsidRPr="006F38A5" w:rsidRDefault="006F38A5" w:rsidP="005B65CB">
            <w:pPr>
              <w:spacing w:after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lastRenderedPageBreak/>
              <w:t>Community empowerment</w:t>
            </w:r>
          </w:p>
        </w:tc>
        <w:tc>
          <w:tcPr>
            <w:tcW w:w="3240" w:type="dxa"/>
          </w:tcPr>
          <w:p w14:paraId="0687B505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Establish a community ecotourism committee or formal consultation mechanism with representation from fisherfolk, women, youth and site workers.</w:t>
            </w:r>
          </w:p>
        </w:tc>
        <w:tc>
          <w:tcPr>
            <w:tcW w:w="2610" w:type="dxa"/>
          </w:tcPr>
          <w:p w14:paraId="1F38272F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PAMB/LGU, fisherfolk groups, women's groups, youth representatives and DOrSU-RIC XI</w:t>
            </w:r>
          </w:p>
        </w:tc>
        <w:tc>
          <w:tcPr>
            <w:tcW w:w="2178" w:type="dxa"/>
          </w:tcPr>
          <w:p w14:paraId="4843E98D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Moves participation from implementation toward shared decision-making.</w:t>
            </w:r>
          </w:p>
        </w:tc>
      </w:tr>
      <w:tr w:rsidR="006F38A5" w:rsidRPr="006F38A5" w14:paraId="1DC4B738" w14:textId="77777777" w:rsidTr="006F38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37C70595" w14:textId="77777777" w:rsidR="006F38A5" w:rsidRPr="006F38A5" w:rsidRDefault="006F38A5" w:rsidP="005B65CB">
            <w:pPr>
              <w:spacing w:after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Benefit-sharing</w:t>
            </w:r>
          </w:p>
        </w:tc>
        <w:tc>
          <w:tcPr>
            <w:tcW w:w="3240" w:type="dxa"/>
          </w:tcPr>
          <w:p w14:paraId="692DF36D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Develop transparent allocation rules for revenue to support guides, nursery workers, education activities and site maintenance.</w:t>
            </w:r>
          </w:p>
        </w:tc>
        <w:tc>
          <w:tcPr>
            <w:tcW w:w="2610" w:type="dxa"/>
          </w:tcPr>
          <w:p w14:paraId="22E095AF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PAMB, LGU, community ecotourism committee, accredited guides and vendors</w:t>
            </w:r>
          </w:p>
        </w:tc>
        <w:tc>
          <w:tcPr>
            <w:tcW w:w="2178" w:type="dxa"/>
          </w:tcPr>
          <w:p w14:paraId="1CDB226F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Improves equity, legitimacy and local support for conservation.</w:t>
            </w:r>
          </w:p>
        </w:tc>
      </w:tr>
      <w:tr w:rsidR="006F38A5" w:rsidRPr="006F38A5" w14:paraId="676F2186" w14:textId="77777777" w:rsidTr="006F3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1EB5B058" w14:textId="77777777" w:rsidR="006F38A5" w:rsidRPr="006F38A5" w:rsidRDefault="006F38A5" w:rsidP="005B65CB">
            <w:pPr>
              <w:spacing w:after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Visitor management</w:t>
            </w:r>
          </w:p>
        </w:tc>
        <w:tc>
          <w:tcPr>
            <w:tcW w:w="3240" w:type="dxa"/>
          </w:tcPr>
          <w:p w14:paraId="3B3AE102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Develop carrying-capacity guidance, multilingual signs, waste controls, vandalism penalties and monitoring protocols.</w:t>
            </w:r>
          </w:p>
        </w:tc>
        <w:tc>
          <w:tcPr>
            <w:tcW w:w="2610" w:type="dxa"/>
          </w:tcPr>
          <w:p w14:paraId="5CD6D6AD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Site managers, City Tourism Office, DENR/PAMB, CCSU and community guides</w:t>
            </w:r>
          </w:p>
        </w:tc>
        <w:tc>
          <w:tcPr>
            <w:tcW w:w="2178" w:type="dxa"/>
          </w:tcPr>
          <w:p w14:paraId="38F69998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Reduces visitor impacts and protects mangrove integrity.</w:t>
            </w:r>
          </w:p>
        </w:tc>
      </w:tr>
      <w:tr w:rsidR="006F38A5" w:rsidRPr="006F38A5" w14:paraId="5AC2689A" w14:textId="77777777" w:rsidTr="006F38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2D66128F" w14:textId="77777777" w:rsidR="006F38A5" w:rsidRPr="006F38A5" w:rsidRDefault="006F38A5" w:rsidP="005B65CB">
            <w:pPr>
              <w:spacing w:after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Environmental education</w:t>
            </w:r>
          </w:p>
        </w:tc>
        <w:tc>
          <w:tcPr>
            <w:tcW w:w="3240" w:type="dxa"/>
          </w:tcPr>
          <w:p w14:paraId="3FE2BB9C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Prepare guided-walk scripts, school modules, interpretation panels and nursery demonstrations.</w:t>
            </w:r>
          </w:p>
        </w:tc>
        <w:tc>
          <w:tcPr>
            <w:tcW w:w="2610" w:type="dxa"/>
          </w:tcPr>
          <w:p w14:paraId="78442A55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DOrSU-RIC XI, schools, DENR, City Tourism Office, local guides and Mama Earth Foundation</w:t>
            </w:r>
          </w:p>
        </w:tc>
        <w:tc>
          <w:tcPr>
            <w:tcW w:w="2178" w:type="dxa"/>
          </w:tcPr>
          <w:p w14:paraId="6A18F6D6" w14:textId="77777777" w:rsidR="006F38A5" w:rsidRPr="006F38A5" w:rsidRDefault="006F38A5" w:rsidP="005B65C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Converts the park into an education-based ecotourism product.</w:t>
            </w:r>
          </w:p>
        </w:tc>
      </w:tr>
      <w:tr w:rsidR="006F38A5" w:rsidRPr="006F38A5" w14:paraId="6D301D1A" w14:textId="77777777" w:rsidTr="006F38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6F33B542" w14:textId="77777777" w:rsidR="006F38A5" w:rsidRPr="006F38A5" w:rsidRDefault="006F38A5" w:rsidP="005B65CB">
            <w:pPr>
              <w:spacing w:after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Tourism circuit integration</w:t>
            </w:r>
          </w:p>
        </w:tc>
        <w:tc>
          <w:tcPr>
            <w:tcW w:w="3240" w:type="dxa"/>
          </w:tcPr>
          <w:p w14:paraId="2DBD9299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Link Guang-Guang with Dahican and other Mati attractions only after safeguards and benefit-sharing systems are strengthened.</w:t>
            </w:r>
          </w:p>
        </w:tc>
        <w:tc>
          <w:tcPr>
            <w:tcW w:w="2610" w:type="dxa"/>
          </w:tcPr>
          <w:p w14:paraId="5CADC787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City Tourism Office, PAMB/DENR, barangay stakeholders and destination operators</w:t>
            </w:r>
          </w:p>
        </w:tc>
        <w:tc>
          <w:tcPr>
            <w:tcW w:w="2178" w:type="dxa"/>
          </w:tcPr>
          <w:p w14:paraId="11CC7EFB" w14:textId="77777777" w:rsidR="006F38A5" w:rsidRPr="006F38A5" w:rsidRDefault="006F38A5" w:rsidP="005B65C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8"/>
              </w:rPr>
            </w:pPr>
            <w:r w:rsidRPr="006F38A5">
              <w:rPr>
                <w:color w:val="000000"/>
                <w:sz w:val="20"/>
                <w:szCs w:val="28"/>
              </w:rPr>
              <w:t>Expands market reach while reducing the risk of unmanaged growth.</w:t>
            </w:r>
          </w:p>
        </w:tc>
      </w:tr>
    </w:tbl>
    <w:p w14:paraId="1BFCC953" w14:textId="76BB3C63" w:rsidR="00BB0F7E" w:rsidRDefault="00BB0F7E" w:rsidP="005B65CB"/>
    <w:sectPr w:rsidR="00BB0F7E" w:rsidSect="00855984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A747" w14:textId="77777777" w:rsidR="00D2405A" w:rsidRDefault="00D2405A">
      <w:pPr>
        <w:spacing w:after="0" w:line="240" w:lineRule="auto"/>
      </w:pPr>
      <w:r>
        <w:separator/>
      </w:r>
    </w:p>
  </w:endnote>
  <w:endnote w:type="continuationSeparator" w:id="0">
    <w:p w14:paraId="41F30624" w14:textId="77777777" w:rsidR="00D2405A" w:rsidRDefault="00D24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6E76" w14:textId="77777777" w:rsidR="00D2405A" w:rsidRDefault="00D2405A">
      <w:pPr>
        <w:spacing w:after="0" w:line="240" w:lineRule="auto"/>
      </w:pPr>
      <w:r>
        <w:separator/>
      </w:r>
    </w:p>
  </w:footnote>
  <w:footnote w:type="continuationSeparator" w:id="0">
    <w:p w14:paraId="034D2AB4" w14:textId="77777777" w:rsidR="00D2405A" w:rsidRDefault="00D24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7214801">
    <w:abstractNumId w:val="8"/>
  </w:num>
  <w:num w:numId="2" w16cid:durableId="106659331">
    <w:abstractNumId w:val="6"/>
  </w:num>
  <w:num w:numId="3" w16cid:durableId="86578521">
    <w:abstractNumId w:val="5"/>
  </w:num>
  <w:num w:numId="4" w16cid:durableId="2114008308">
    <w:abstractNumId w:val="4"/>
  </w:num>
  <w:num w:numId="5" w16cid:durableId="1429080870">
    <w:abstractNumId w:val="7"/>
  </w:num>
  <w:num w:numId="6" w16cid:durableId="70858658">
    <w:abstractNumId w:val="3"/>
  </w:num>
  <w:num w:numId="7" w16cid:durableId="1860508674">
    <w:abstractNumId w:val="2"/>
  </w:num>
  <w:num w:numId="8" w16cid:durableId="1201241370">
    <w:abstractNumId w:val="1"/>
  </w:num>
  <w:num w:numId="9" w16cid:durableId="153137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532"/>
    <w:rsid w:val="00051650"/>
    <w:rsid w:val="0006063C"/>
    <w:rsid w:val="000913B6"/>
    <w:rsid w:val="00093DCF"/>
    <w:rsid w:val="000C3798"/>
    <w:rsid w:val="000D583F"/>
    <w:rsid w:val="000E5080"/>
    <w:rsid w:val="00113EFC"/>
    <w:rsid w:val="001165A3"/>
    <w:rsid w:val="001328C1"/>
    <w:rsid w:val="0015074B"/>
    <w:rsid w:val="0015316C"/>
    <w:rsid w:val="001C5664"/>
    <w:rsid w:val="00223ACC"/>
    <w:rsid w:val="002865CA"/>
    <w:rsid w:val="0029639D"/>
    <w:rsid w:val="002C3340"/>
    <w:rsid w:val="002E0FE9"/>
    <w:rsid w:val="002F2262"/>
    <w:rsid w:val="00326F90"/>
    <w:rsid w:val="00342F90"/>
    <w:rsid w:val="0037115C"/>
    <w:rsid w:val="00386DEC"/>
    <w:rsid w:val="003C5907"/>
    <w:rsid w:val="00432BC4"/>
    <w:rsid w:val="004621CE"/>
    <w:rsid w:val="00463DDB"/>
    <w:rsid w:val="00475DA7"/>
    <w:rsid w:val="00486545"/>
    <w:rsid w:val="004A3410"/>
    <w:rsid w:val="004E7DAC"/>
    <w:rsid w:val="0051715A"/>
    <w:rsid w:val="00524995"/>
    <w:rsid w:val="00531E62"/>
    <w:rsid w:val="00537941"/>
    <w:rsid w:val="005478A7"/>
    <w:rsid w:val="00550BA9"/>
    <w:rsid w:val="00563D16"/>
    <w:rsid w:val="005B65CB"/>
    <w:rsid w:val="005D6086"/>
    <w:rsid w:val="005E3FD5"/>
    <w:rsid w:val="00604000"/>
    <w:rsid w:val="00627B88"/>
    <w:rsid w:val="00642DFF"/>
    <w:rsid w:val="0069033F"/>
    <w:rsid w:val="006B6FD8"/>
    <w:rsid w:val="006B74DB"/>
    <w:rsid w:val="006C1CEF"/>
    <w:rsid w:val="006F38A5"/>
    <w:rsid w:val="0073279C"/>
    <w:rsid w:val="00747EE0"/>
    <w:rsid w:val="007A21C0"/>
    <w:rsid w:val="007D293F"/>
    <w:rsid w:val="007D64D0"/>
    <w:rsid w:val="007F011D"/>
    <w:rsid w:val="00855984"/>
    <w:rsid w:val="0088649B"/>
    <w:rsid w:val="008C222F"/>
    <w:rsid w:val="008F307A"/>
    <w:rsid w:val="009115A2"/>
    <w:rsid w:val="0093503A"/>
    <w:rsid w:val="009B6A89"/>
    <w:rsid w:val="009D0F01"/>
    <w:rsid w:val="00A17CFB"/>
    <w:rsid w:val="00A92173"/>
    <w:rsid w:val="00AA1D8D"/>
    <w:rsid w:val="00AA67FE"/>
    <w:rsid w:val="00AD29C5"/>
    <w:rsid w:val="00AF0683"/>
    <w:rsid w:val="00AF2AF5"/>
    <w:rsid w:val="00B05298"/>
    <w:rsid w:val="00B34F7C"/>
    <w:rsid w:val="00B47730"/>
    <w:rsid w:val="00B57F87"/>
    <w:rsid w:val="00B621CB"/>
    <w:rsid w:val="00B74294"/>
    <w:rsid w:val="00B80FD8"/>
    <w:rsid w:val="00BB0F7E"/>
    <w:rsid w:val="00BF6E95"/>
    <w:rsid w:val="00C06D31"/>
    <w:rsid w:val="00C206BF"/>
    <w:rsid w:val="00C313DF"/>
    <w:rsid w:val="00C41AE5"/>
    <w:rsid w:val="00C72CE5"/>
    <w:rsid w:val="00C80ED4"/>
    <w:rsid w:val="00CB0664"/>
    <w:rsid w:val="00CC7D6B"/>
    <w:rsid w:val="00CD69EB"/>
    <w:rsid w:val="00CF74F3"/>
    <w:rsid w:val="00D013AA"/>
    <w:rsid w:val="00D222B7"/>
    <w:rsid w:val="00D2405A"/>
    <w:rsid w:val="00D251E7"/>
    <w:rsid w:val="00D31479"/>
    <w:rsid w:val="00D51098"/>
    <w:rsid w:val="00D518D5"/>
    <w:rsid w:val="00D7419E"/>
    <w:rsid w:val="00DB2820"/>
    <w:rsid w:val="00DC5188"/>
    <w:rsid w:val="00DD4642"/>
    <w:rsid w:val="00DE139E"/>
    <w:rsid w:val="00E03121"/>
    <w:rsid w:val="00E36046"/>
    <w:rsid w:val="00E67C11"/>
    <w:rsid w:val="00EE434D"/>
    <w:rsid w:val="00EE4978"/>
    <w:rsid w:val="00EF055F"/>
    <w:rsid w:val="00F31453"/>
    <w:rsid w:val="00FC693F"/>
    <w:rsid w:val="00FC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7BD0B0"/>
  <w14:defaultImageDpi w14:val="300"/>
  <w15:docId w15:val="{44A1363E-3920-4926-A50A-68BEB890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48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42DFF"/>
  </w:style>
  <w:style w:type="character" w:styleId="Hyperlink">
    <w:name w:val="Hyperlink"/>
    <w:basedOn w:val="DefaultParagraphFont"/>
    <w:uiPriority w:val="99"/>
    <w:unhideWhenUsed/>
    <w:rsid w:val="009115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15A2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99"/>
    <w:rsid w:val="006F38A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B57F87"/>
    <w:pPr>
      <w:spacing w:after="0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71E40B-0924-4F4F-965C-FDCAE6B4E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Lorjie Bation</cp:lastModifiedBy>
  <cp:revision>3</cp:revision>
  <dcterms:created xsi:type="dcterms:W3CDTF">2026-09-15T16:35:00Z</dcterms:created>
  <dcterms:modified xsi:type="dcterms:W3CDTF">2026-09-15T16:37:00Z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0b7f17a3-80b9-4028-998b-d6d1a4f6170a</vt:lpwstr>
  </property>
  <property fmtid="{D5CDD505-2E9C-101B-9397-08002B2CF9AE}" pid="3" name="ZOTERO_PREF_1">
    <vt:lpwstr>&lt;data data-version="3" zotero-version="9.0.6"&gt;&lt;session id="FpjwPGrf"/&gt;&lt;style id="http://www.zotero.org/styles/apa" locale="en-US" hasBibliography="1" bibliographyStyleHasBeenSet="1"/&gt;&lt;prefs&gt;&lt;pref name="fieldType" value="Field"/&gt;&lt;/prefs&gt;&lt;/data&gt;</vt:lpwstr>
  </property>
</Properties>
</file>