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Supplementary Material for</w:t>
      </w:r>
    </w:p>
    <w:p w:rsidR="00000000" w:rsidDel="00000000" w:rsidP="00000000" w:rsidRDefault="00000000" w:rsidRPr="00000000" w14:paraId="00000002">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Disturbances Increase Net Carbon Emissions in the Arctic-Boreal Zone - An Expert Assessment</w:t>
      </w:r>
    </w:p>
    <w:p w:rsidR="00000000" w:rsidDel="00000000" w:rsidP="00000000" w:rsidRDefault="00000000" w:rsidRPr="00000000" w14:paraId="00000003">
      <w:pPr>
        <w:jc w:val="left"/>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4">
      <w:pPr>
        <w:jc w:val="left"/>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Contents:</w:t>
      </w:r>
    </w:p>
    <w:p w:rsidR="00000000" w:rsidDel="00000000" w:rsidP="00000000" w:rsidRDefault="00000000" w:rsidRPr="00000000" w14:paraId="00000005">
      <w:pPr>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Table S1</w:t>
      </w:r>
    </w:p>
    <w:p w:rsidR="00000000" w:rsidDel="00000000" w:rsidP="00000000" w:rsidRDefault="00000000" w:rsidRPr="00000000" w14:paraId="00000006">
      <w:pPr>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Figures S1-S8</w:t>
      </w:r>
      <w:r w:rsidDel="00000000" w:rsidR="00000000" w:rsidRPr="00000000">
        <w:br w:type="page"/>
      </w:r>
      <w:r w:rsidDel="00000000" w:rsidR="00000000" w:rsidRPr="00000000">
        <w:rPr>
          <w:rtl w:val="0"/>
        </w:rPr>
      </w:r>
    </w:p>
    <w:p w:rsidR="00000000" w:rsidDel="00000000" w:rsidP="00000000" w:rsidRDefault="00000000" w:rsidRPr="00000000" w14:paraId="00000007">
      <w:pPr>
        <w:jc w:val="left"/>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Table S1</w:t>
      </w:r>
      <w:r w:rsidDel="00000000" w:rsidR="00000000" w:rsidRPr="00000000">
        <w:rPr>
          <w:rFonts w:ascii="Calibri" w:cs="Calibri" w:eastAsia="Calibri" w:hAnsi="Calibri"/>
          <w:b w:val="1"/>
          <w:bCs w:val="1"/>
          <w:sz w:val="24"/>
          <w:szCs w:val="24"/>
          <w:rtl w:val="0"/>
        </w:rPr>
        <w:t xml:space="preser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rtl w:val="0"/>
        </w:rPr>
        <w:t xml:space="preserve">Demographic </w:t>
      </w:r>
      <w:r w:rsidDel="00000000" w:rsidR="00000000" w:rsidRPr="00000000">
        <w:rPr>
          <w:rFonts w:ascii="Calibri" w:cs="Calibri" w:eastAsia="Calibri" w:hAnsi="Calibri"/>
          <w:sz w:val="24"/>
          <w:szCs w:val="24"/>
          <w:rtl w:val="0"/>
        </w:rPr>
        <w:t xml:space="preserve">information about survey respondents.</w:t>
      </w:r>
      <w:r w:rsidDel="00000000" w:rsidR="00000000" w:rsidRPr="00000000">
        <w:rPr>
          <w:rFonts w:ascii="Calibri" w:cs="Calibri" w:eastAsia="Calibri" w:hAnsi="Calibri"/>
          <w:sz w:val="24"/>
          <w:szCs w:val="24"/>
          <w:rtl w:val="0"/>
        </w:rPr>
        <w:t xml:space="preserve"> Grey text indicates data not provided.</w:t>
      </w:r>
    </w:p>
    <w:p w:rsidR="00000000" w:rsidDel="00000000" w:rsidP="00000000" w:rsidRDefault="00000000" w:rsidRPr="00000000" w14:paraId="00000008">
      <w:pPr>
        <w:rPr>
          <w:rFonts w:ascii="Calibri" w:cs="Calibri" w:eastAsia="Calibri" w:hAnsi="Calibri"/>
          <w:sz w:val="24"/>
          <w:szCs w:val="24"/>
        </w:rPr>
      </w:pPr>
      <w:r w:rsidDel="00000000" w:rsidR="00000000" w:rsidRPr="00000000">
        <w:rPr>
          <w:rFonts w:ascii="Calibri" w:cs="Calibri" w:eastAsia="Calibri" w:hAnsi="Calibri"/>
          <w:sz w:val="24"/>
          <w:szCs w:val="24"/>
          <w:rtl w:val="0"/>
        </w:rPr>
        <w:tab/>
        <w:t xml:space="preserve"> </w:t>
        <w:tab/>
        <w:t xml:space="preserve"> </w:t>
        <w:tab/>
        <w:t xml:space="preserve"> </w:t>
        <w:tab/>
        <w:t xml:space="preserve"> </w:t>
        <w:tab/>
        <w:t xml:space="preserve"> </w:t>
        <w:tab/>
      </w:r>
    </w:p>
    <w:tbl>
      <w:tblPr>
        <w:tblStyle w:val="Table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9.198882161155"/>
        <w:gridCol w:w="2175.426176059618"/>
        <w:gridCol w:w="1325.3097345132744"/>
        <w:gridCol w:w="671.374010246856"/>
        <w:gridCol w:w="527.508150908244"/>
        <w:gridCol w:w="1037.5780158360503"/>
        <w:gridCol w:w="841.3972985561248"/>
        <w:gridCol w:w="1142.2077317186772"/>
        <w:tblGridChange w:id="0">
          <w:tblGrid>
            <w:gridCol w:w="1639.198882161155"/>
            <w:gridCol w:w="2175.426176059618"/>
            <w:gridCol w:w="1325.3097345132744"/>
            <w:gridCol w:w="671.374010246856"/>
            <w:gridCol w:w="527.508150908244"/>
            <w:gridCol w:w="1037.5780158360503"/>
            <w:gridCol w:w="841.3972985561248"/>
            <w:gridCol w:w="1142.2077317186772"/>
          </w:tblGrid>
        </w:tblGridChange>
      </w:tblGrid>
      <w:tr>
        <w:trPr>
          <w:cantSplit w:val="0"/>
          <w:trHeight w:val="144" w:hRule="atLeast"/>
          <w:tblHeader w:val="0"/>
        </w:trPr>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9">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Category</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A">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Demographic</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B">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Anthropogenic</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C">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Biotic</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D">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Fire</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E">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Permafrost</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0F">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Weather</w:t>
            </w:r>
            <w:r w:rsidDel="00000000" w:rsidR="00000000" w:rsidRPr="00000000">
              <w:rPr>
                <w:rtl w:val="0"/>
              </w:rPr>
            </w:r>
          </w:p>
        </w:tc>
        <w:tc>
          <w:tcPr>
            <w:tcBorders>
              <w:top w:color="000000" w:space="0" w:sz="6" w:val="single"/>
              <w:bottom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All Categories</w:t>
            </w:r>
            <w:r w:rsidDel="00000000" w:rsidR="00000000" w:rsidRPr="00000000">
              <w:rPr>
                <w:rtl w:val="0"/>
              </w:rPr>
            </w:r>
          </w:p>
        </w:tc>
      </w:tr>
      <w:tr>
        <w:trPr>
          <w:cantSplit w:val="0"/>
          <w:trHeight w:val="144" w:hRule="atLeast"/>
          <w:tblHeader w:val="0"/>
        </w:trPr>
        <w:tc>
          <w:tcPr>
            <w:vMerge w:val="restart"/>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Career Stage</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Mid</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tcBorders>
              <w:top w:color="000000" w:space="0" w:sz="6" w:val="single"/>
            </w:tcBorders>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32</w:t>
            </w:r>
            <w:r w:rsidDel="00000000" w:rsidR="00000000" w:rsidRPr="00000000">
              <w:rPr>
                <w:rtl w:val="0"/>
              </w:rPr>
            </w:r>
          </w:p>
        </w:tc>
      </w:tr>
      <w:tr>
        <w:trPr>
          <w:cantSplit w:val="0"/>
          <w:trHeight w:val="144" w:hRule="atLeast"/>
          <w:tblHeader w:val="0"/>
        </w:trPr>
        <w:tc>
          <w:tcPr>
            <w:vMerge w:val="continue"/>
            <w:tcBorders>
              <w:top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19">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Early</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1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22</w:t>
            </w:r>
            <w:r w:rsidDel="00000000" w:rsidR="00000000" w:rsidRPr="00000000">
              <w:rPr>
                <w:rtl w:val="0"/>
              </w:rPr>
            </w:r>
          </w:p>
        </w:tc>
      </w:tr>
      <w:tr>
        <w:trPr>
          <w:cantSplit w:val="0"/>
          <w:trHeight w:val="144" w:hRule="atLeast"/>
          <w:tblHeader w:val="0"/>
        </w:trPr>
        <w:tc>
          <w:tcPr>
            <w:vMerge w:val="continue"/>
            <w:tcBorders>
              <w:top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Established</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13</w:t>
            </w:r>
            <w:r w:rsidDel="00000000" w:rsidR="00000000" w:rsidRPr="00000000">
              <w:rPr>
                <w:rtl w:val="0"/>
              </w:rPr>
            </w:r>
          </w:p>
        </w:tc>
      </w:tr>
      <w:tr>
        <w:trPr>
          <w:cantSplit w:val="0"/>
          <w:trHeight w:val="144" w:hRule="atLeast"/>
          <w:tblHeader w:val="0"/>
        </w:trPr>
        <w:tc>
          <w:tcPr>
            <w:vMerge w:val="continue"/>
            <w:tcBorders>
              <w:top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29">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A">
            <w:pP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Not Provided</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B">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C">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D">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E">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2F">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0">
            <w:pPr>
              <w:jc w:val="center"/>
              <w:rPr>
                <w:rFonts w:ascii="Calibri" w:cs="Calibri" w:eastAsia="Calibri" w:hAnsi="Calibri"/>
                <w:sz w:val="20"/>
                <w:szCs w:val="20"/>
              </w:rPr>
            </w:pPr>
            <w:r w:rsidDel="00000000" w:rsidR="00000000" w:rsidRPr="00000000">
              <w:rPr>
                <w:rFonts w:ascii="Calibri" w:cs="Calibri" w:eastAsia="Calibri" w:hAnsi="Calibri"/>
                <w:b w:val="1"/>
                <w:bCs w:val="1"/>
                <w:color w:val="666666"/>
                <w:sz w:val="20"/>
                <w:szCs w:val="20"/>
                <w:rtl w:val="0"/>
              </w:rPr>
              <w:t xml:space="preserve">11</w:t>
            </w:r>
            <w:r w:rsidDel="00000000" w:rsidR="00000000" w:rsidRPr="00000000">
              <w:rPr>
                <w:rtl w:val="0"/>
              </w:rPr>
            </w:r>
          </w:p>
        </w:tc>
      </w:tr>
      <w:tr>
        <w:trPr>
          <w:cantSplit w:val="0"/>
          <w:trHeight w:val="144" w:hRule="atLeast"/>
          <w:tblHeader w:val="0"/>
        </w:trPr>
        <w:tc>
          <w:tcPr>
            <w:vMerge w:val="restart"/>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1">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Gender</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Male</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35</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39">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Female</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3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29</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41">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2">
            <w:pP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Not Provided</w:t>
            </w: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3">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1</w:t>
            </w: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4">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5">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4</w:t>
            </w: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6">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7">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8">
            <w:pPr>
              <w:jc w:val="center"/>
              <w:rPr>
                <w:rFonts w:ascii="Calibri" w:cs="Calibri" w:eastAsia="Calibri" w:hAnsi="Calibri"/>
                <w:sz w:val="20"/>
                <w:szCs w:val="20"/>
              </w:rPr>
            </w:pPr>
            <w:r w:rsidDel="00000000" w:rsidR="00000000" w:rsidRPr="00000000">
              <w:rPr>
                <w:rFonts w:ascii="Calibri" w:cs="Calibri" w:eastAsia="Calibri" w:hAnsi="Calibri"/>
                <w:b w:val="1"/>
                <w:bCs w:val="1"/>
                <w:color w:val="666666"/>
                <w:sz w:val="20"/>
                <w:szCs w:val="20"/>
                <w:rtl w:val="0"/>
              </w:rPr>
              <w:t xml:space="preserve">14</w:t>
            </w:r>
            <w:r w:rsidDel="00000000" w:rsidR="00000000" w:rsidRPr="00000000">
              <w:rPr>
                <w:rtl w:val="0"/>
              </w:rPr>
            </w:r>
          </w:p>
        </w:tc>
      </w:tr>
      <w:tr>
        <w:trPr>
          <w:cantSplit w:val="0"/>
          <w:trHeight w:val="144" w:hRule="atLeast"/>
          <w:tblHeader w:val="0"/>
        </w:trPr>
        <w:tc>
          <w:tcPr>
            <w:vMerge w:val="restart"/>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Region</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North America</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14</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4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41</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51">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Europe</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25</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59">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Oceania</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B">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C">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E">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5F">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1">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Russia</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3">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4">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6">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7">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69">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Asia</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B">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C">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E">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6F">
            <w:pPr>
              <w:jc w:val="center"/>
              <w:rPr>
                <w:rFonts w:ascii="Calibri" w:cs="Calibri" w:eastAsia="Calibri" w:hAnsi="Calibri"/>
                <w:sz w:val="20"/>
                <w:szCs w:val="20"/>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w:t>
            </w:r>
            <w:r w:rsidDel="00000000" w:rsidR="00000000" w:rsidRPr="00000000">
              <w:rPr>
                <w:rtl w:val="0"/>
              </w:rPr>
            </w:r>
          </w:p>
        </w:tc>
      </w:tr>
      <w:tr>
        <w:trPr>
          <w:cantSplit w:val="0"/>
          <w:trHeight w:val="144" w:hRule="atLeast"/>
          <w:tblHeader w:val="0"/>
        </w:trPr>
        <w:tc>
          <w:tcPr>
            <w:vMerge w:val="continue"/>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71">
            <w:pPr>
              <w:rPr>
                <w:rFonts w:ascii="Calibri" w:cs="Calibri" w:eastAsia="Calibri" w:hAnsi="Calibri"/>
                <w:sz w:val="24"/>
                <w:szCs w:val="24"/>
              </w:rPr>
            </w:pP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2">
            <w:pP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Not Provided</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3">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1</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4">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5">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6">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7">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shd w:fill="auto"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8">
            <w:pPr>
              <w:jc w:val="center"/>
              <w:rPr>
                <w:rFonts w:ascii="Calibri" w:cs="Calibri" w:eastAsia="Calibri" w:hAnsi="Calibri"/>
                <w:sz w:val="20"/>
                <w:szCs w:val="20"/>
              </w:rPr>
            </w:pPr>
            <w:r w:rsidDel="00000000" w:rsidR="00000000" w:rsidRPr="00000000">
              <w:rPr>
                <w:rFonts w:ascii="Calibri" w:cs="Calibri" w:eastAsia="Calibri" w:hAnsi="Calibri"/>
                <w:b w:val="1"/>
                <w:bCs w:val="1"/>
                <w:color w:val="666666"/>
                <w:sz w:val="20"/>
                <w:szCs w:val="20"/>
                <w:rtl w:val="0"/>
              </w:rPr>
              <w:t xml:space="preserve">9</w:t>
            </w:r>
            <w:r w:rsidDel="00000000" w:rsidR="00000000" w:rsidRPr="00000000">
              <w:rPr>
                <w:rtl w:val="0"/>
              </w:rPr>
            </w:r>
          </w:p>
        </w:tc>
      </w:tr>
      <w:tr>
        <w:trPr>
          <w:cantSplit w:val="0"/>
          <w:trHeight w:val="144" w:hRule="atLeast"/>
          <w:tblHeader w:val="0"/>
        </w:trPr>
        <w:tc>
          <w:tcPr>
            <w:vMerge w:val="restart"/>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9">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Primary Research Approach</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Modelling</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7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28</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81">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Remote Sensing</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3">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6">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13</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89">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Field Work</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B">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8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11</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91">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Remote Sensing/Modelling</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3">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4">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6">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7">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4</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99">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Field Work/Modelling</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B">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C">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D">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E">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9F">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4</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1">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2">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Field Work/Remote Sensing</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3">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4">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5">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6">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8">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A9">
            <w:pPr>
              <w:rPr>
                <w:rFonts w:ascii="Calibri" w:cs="Calibri" w:eastAsia="Calibri" w:hAnsi="Calibri"/>
                <w:sz w:val="24"/>
                <w:szCs w:val="24"/>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A">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Field Work/Remote Sensing/Modelling</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B">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C">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D">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E">
            <w:pPr>
              <w:jc w:val="center"/>
              <w:rPr>
                <w:rFonts w:ascii="Calibri" w:cs="Calibri" w:eastAsia="Calibri" w:hAnsi="Calibri"/>
                <w:sz w:val="20"/>
                <w:szCs w:val="20"/>
              </w:rPr>
            </w:pPr>
            <w:r w:rsidDel="00000000" w:rsidR="00000000" w:rsidRPr="00000000">
              <w:rPr>
                <w:rtl w:val="0"/>
              </w:rPr>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AF">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w:t>
            </w:r>
          </w:p>
        </w:tc>
        <w:tc>
          <w:tcPr>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w:t>
            </w:r>
            <w:r w:rsidDel="00000000" w:rsidR="00000000" w:rsidRPr="00000000">
              <w:rPr>
                <w:rtl w:val="0"/>
              </w:rPr>
            </w:r>
          </w:p>
        </w:tc>
      </w:tr>
      <w:tr>
        <w:trPr>
          <w:cantSplit w:val="0"/>
          <w:trHeight w:val="144" w:hRule="atLeast"/>
          <w:tblHeader w:val="0"/>
        </w:trPr>
        <w:tc>
          <w:tcPr>
            <w:vMerge w:val="continue"/>
            <w:tcBorders>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1">
            <w:pPr>
              <w:rPr>
                <w:rFonts w:ascii="Calibri" w:cs="Calibri" w:eastAsia="Calibri" w:hAnsi="Calibri"/>
                <w:sz w:val="24"/>
                <w:szCs w:val="24"/>
              </w:rPr>
            </w:pP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2">
            <w:pP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Not Provided</w:t>
            </w: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3">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2</w:t>
            </w: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4">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5">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6">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5</w:t>
            </w: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7">
            <w:pPr>
              <w:jc w:val="center"/>
              <w:rPr>
                <w:rFonts w:ascii="Calibri" w:cs="Calibri" w:eastAsia="Calibri" w:hAnsi="Calibri"/>
                <w:sz w:val="20"/>
                <w:szCs w:val="20"/>
              </w:rPr>
            </w:pPr>
            <w:r w:rsidDel="00000000" w:rsidR="00000000" w:rsidRPr="00000000">
              <w:rPr>
                <w:rFonts w:ascii="Calibri" w:cs="Calibri" w:eastAsia="Calibri" w:hAnsi="Calibri"/>
                <w:color w:val="666666"/>
                <w:sz w:val="20"/>
                <w:szCs w:val="20"/>
                <w:rtl w:val="0"/>
              </w:rPr>
              <w:t xml:space="preserve">3</w:t>
            </w:r>
            <w:r w:rsidDel="00000000" w:rsidR="00000000" w:rsidRPr="00000000">
              <w:rPr>
                <w:rtl w:val="0"/>
              </w:rPr>
            </w:r>
          </w:p>
        </w:tc>
        <w:tc>
          <w:tcPr>
            <w:tcBorders>
              <w:bottom w:color="000000" w:space="0" w:sz="6" w:val="single"/>
            </w:tcBorders>
            <w:shd w:fill="eeeeee" w:val="clear"/>
            <w:tcMar>
              <w:top w:w="14.399999999999999" w:type="dxa"/>
              <w:left w:w="14.399999999999999" w:type="dxa"/>
              <w:bottom w:w="14.399999999999999" w:type="dxa"/>
              <w:right w:w="14.399999999999999" w:type="dxa"/>
            </w:tcMar>
            <w:vAlign w:val="center"/>
          </w:tcPr>
          <w:p w:rsidR="00000000" w:rsidDel="00000000" w:rsidP="00000000" w:rsidRDefault="00000000" w:rsidRPr="00000000" w14:paraId="000000B8">
            <w:pPr>
              <w:jc w:val="center"/>
              <w:rPr>
                <w:rFonts w:ascii="Calibri" w:cs="Calibri" w:eastAsia="Calibri" w:hAnsi="Calibri"/>
                <w:sz w:val="20"/>
                <w:szCs w:val="20"/>
              </w:rPr>
            </w:pPr>
            <w:r w:rsidDel="00000000" w:rsidR="00000000" w:rsidRPr="00000000">
              <w:rPr>
                <w:rFonts w:ascii="Calibri" w:cs="Calibri" w:eastAsia="Calibri" w:hAnsi="Calibri"/>
                <w:b w:val="1"/>
                <w:bCs w:val="1"/>
                <w:color w:val="666666"/>
                <w:sz w:val="20"/>
                <w:szCs w:val="20"/>
                <w:rtl w:val="0"/>
              </w:rPr>
              <w:t xml:space="preserve">16</w:t>
            </w:r>
            <w:r w:rsidDel="00000000" w:rsidR="00000000" w:rsidRPr="00000000">
              <w:rPr>
                <w:rtl w:val="0"/>
              </w:rPr>
            </w:r>
          </w:p>
        </w:tc>
      </w:tr>
      <w:tr>
        <w:trPr>
          <w:cantSplit w:val="0"/>
          <w:trHeight w:val="144" w:hRule="atLeast"/>
          <w:tblHeader w:val="0"/>
        </w:trPr>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9">
            <w:pP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Total</w:t>
            </w: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A">
            <w:pPr>
              <w:jc w:val="center"/>
              <w:rPr>
                <w:rFonts w:ascii="Calibri" w:cs="Calibri" w:eastAsia="Calibri" w:hAnsi="Calibri"/>
                <w:sz w:val="20"/>
                <w:szCs w:val="20"/>
              </w:rPr>
            </w:pP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B">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10</w:t>
            </w: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C">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13</w:t>
            </w: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D">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21</w:t>
            </w: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E">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22</w:t>
            </w: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BF">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11</w:t>
            </w:r>
            <w:r w:rsidDel="00000000" w:rsidR="00000000" w:rsidRPr="00000000">
              <w:rPr>
                <w:rtl w:val="0"/>
              </w:rPr>
            </w:r>
          </w:p>
        </w:tc>
        <w:tc>
          <w:tcPr>
            <w:tcBorders>
              <w:top w:color="000000" w:space="0" w:sz="6" w:val="single"/>
              <w:bottom w:color="000000" w:space="0" w:sz="6" w:val="single"/>
            </w:tcBorders>
            <w:shd w:fill="auto" w:val="clear"/>
            <w:tcMar>
              <w:top w:w="14.399999999999999" w:type="dxa"/>
              <w:left w:w="14.399999999999999" w:type="dxa"/>
              <w:bottom w:w="14.399999999999999" w:type="dxa"/>
              <w:right w:w="14.399999999999999" w:type="dxa"/>
            </w:tcMar>
            <w:vAlign w:val="top"/>
          </w:tcPr>
          <w:p w:rsidR="00000000" w:rsidDel="00000000" w:rsidP="00000000" w:rsidRDefault="00000000" w:rsidRPr="00000000" w14:paraId="000000C0">
            <w:pPr>
              <w:jc w:val="center"/>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77</w:t>
            </w:r>
            <w:r w:rsidDel="00000000" w:rsidR="00000000" w:rsidRPr="00000000">
              <w:rPr>
                <w:rtl w:val="0"/>
              </w:rPr>
            </w:r>
          </w:p>
        </w:tc>
      </w:tr>
    </w:tbl>
    <w:p w:rsidR="00000000" w:rsidDel="00000000" w:rsidP="00000000" w:rsidRDefault="00000000" w:rsidRPr="00000000" w14:paraId="000000C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2">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943600" cy="5943600"/>
            <wp:effectExtent b="0" l="0" r="0" t="0"/>
            <wp:docPr id="2"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C3">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S1.</w:t>
      </w:r>
      <w:r w:rsidDel="00000000" w:rsidR="00000000" w:rsidRPr="00000000">
        <w:rPr>
          <w:rFonts w:ascii="Calibri" w:cs="Calibri" w:eastAsia="Calibri" w:hAnsi="Calibri"/>
          <w:sz w:val="24"/>
          <w:szCs w:val="24"/>
          <w:rtl w:val="0"/>
        </w:rPr>
        <w:t xml:space="preserve"> Self-rated expertise of the experts across disturbance types and survey questions on a scale of 1-5. A score of 1 indicates no directly relevant experience, while a score of 5 indicates the respondent has or is in the process of publishing on that exact survey question.</w:t>
      </w:r>
    </w:p>
    <w:p w:rsidR="00000000" w:rsidDel="00000000" w:rsidP="00000000" w:rsidRDefault="00000000" w:rsidRPr="00000000" w14:paraId="000000C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C5">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3657600" cy="594782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657600" cy="5947820"/>
                    </a:xfrm>
                    <a:prstGeom prst="rect"/>
                    <a:ln/>
                  </pic:spPr>
                </pic:pic>
              </a:graphicData>
            </a:graphic>
          </wp:inline>
        </w:drawing>
      </w:r>
      <w:r w:rsidDel="00000000" w:rsidR="00000000" w:rsidRPr="00000000">
        <w:rPr>
          <w:rtl w:val="0"/>
        </w:rPr>
      </w:r>
    </w:p>
    <w:p w:rsidR="00000000" w:rsidDel="00000000" w:rsidP="00000000" w:rsidRDefault="00000000" w:rsidRPr="00000000" w14:paraId="000000C6">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S2.</w:t>
      </w:r>
      <w:r w:rsidDel="00000000" w:rsidR="00000000" w:rsidRPr="00000000">
        <w:rPr>
          <w:rFonts w:ascii="Calibri" w:cs="Calibri" w:eastAsia="Calibri" w:hAnsi="Calibri"/>
          <w:sz w:val="24"/>
          <w:szCs w:val="24"/>
          <w:rtl w:val="0"/>
        </w:rPr>
        <w:t xml:space="preserve"> Respondent confidence across disturbance types for survey question 1.</w:t>
      </w:r>
    </w:p>
    <w:p w:rsidR="00000000" w:rsidDel="00000000" w:rsidP="00000000" w:rsidRDefault="00000000" w:rsidRPr="00000000" w14:paraId="000000C7">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943600" cy="5943600"/>
            <wp:effectExtent b="0" l="0" r="0" t="0"/>
            <wp:docPr id="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C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S3.</w:t>
      </w:r>
      <w:r w:rsidDel="00000000" w:rsidR="00000000" w:rsidRPr="00000000">
        <w:rPr>
          <w:rFonts w:ascii="Calibri" w:cs="Calibri" w:eastAsia="Calibri" w:hAnsi="Calibri"/>
          <w:sz w:val="24"/>
          <w:szCs w:val="24"/>
          <w:rtl w:val="0"/>
        </w:rPr>
        <w:t xml:space="preserve"> Respondent confidence across disturbance types and emissions scenarios for survey question 2a.</w:t>
      </w:r>
    </w:p>
    <w:p w:rsidR="00000000" w:rsidDel="00000000" w:rsidP="00000000" w:rsidRDefault="00000000" w:rsidRPr="00000000" w14:paraId="000000C9">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943600" cy="5943600"/>
            <wp:effectExtent b="0" l="0" r="0" t="0"/>
            <wp:docPr id="5" name="image5.jpg"/>
            <a:graphic>
              <a:graphicData uri="http://schemas.openxmlformats.org/drawingml/2006/picture">
                <pic:pic>
                  <pic:nvPicPr>
                    <pic:cNvPr id="0" name="image5.jpg"/>
                    <pic:cNvPicPr preferRelativeResize="0"/>
                  </pic:nvPicPr>
                  <pic:blipFill>
                    <a:blip r:embed="rId9"/>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CA">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S4.</w:t>
      </w:r>
      <w:r w:rsidDel="00000000" w:rsidR="00000000" w:rsidRPr="00000000">
        <w:rPr>
          <w:rFonts w:ascii="Calibri" w:cs="Calibri" w:eastAsia="Calibri" w:hAnsi="Calibri"/>
          <w:sz w:val="24"/>
          <w:szCs w:val="24"/>
          <w:rtl w:val="0"/>
        </w:rPr>
        <w:t xml:space="preserve"> Respondent confidence across disturbance types and emissions scenarios for survey question 2b.</w:t>
      </w:r>
    </w:p>
    <w:p w:rsidR="00000000" w:rsidDel="00000000" w:rsidP="00000000" w:rsidRDefault="00000000" w:rsidRPr="00000000" w14:paraId="000000CB">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943600" cy="5943600"/>
            <wp:effectExtent b="0" l="0" r="0" t="0"/>
            <wp:docPr id="7" name="image7.jpg"/>
            <a:graphic>
              <a:graphicData uri="http://schemas.openxmlformats.org/drawingml/2006/picture">
                <pic:pic>
                  <pic:nvPicPr>
                    <pic:cNvPr id="0" name="image7.jpg"/>
                    <pic:cNvPicPr preferRelativeResize="0"/>
                  </pic:nvPicPr>
                  <pic:blipFill>
                    <a:blip r:embed="rId10"/>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S5.</w:t>
      </w:r>
      <w:r w:rsidDel="00000000" w:rsidR="00000000" w:rsidRPr="00000000">
        <w:rPr>
          <w:rFonts w:ascii="Calibri" w:cs="Calibri" w:eastAsia="Calibri" w:hAnsi="Calibri"/>
          <w:sz w:val="24"/>
          <w:szCs w:val="24"/>
          <w:rtl w:val="0"/>
        </w:rPr>
        <w:t xml:space="preserve"> Respondent confidence across disturbance types and emissions scenarios for survey question 3a.</w:t>
      </w:r>
    </w:p>
    <w:p w:rsidR="00000000" w:rsidDel="00000000" w:rsidP="00000000" w:rsidRDefault="00000000" w:rsidRPr="00000000" w14:paraId="000000CD">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943600" cy="5943600"/>
            <wp:effectExtent b="0" l="0" r="0" t="0"/>
            <wp:docPr id="4"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943600" cy="5943600"/>
                    </a:xfrm>
                    <a:prstGeom prst="rect"/>
                    <a:ln/>
                  </pic:spPr>
                </pic:pic>
              </a:graphicData>
            </a:graphic>
          </wp:inline>
        </w:drawing>
      </w:r>
      <w:r w:rsidDel="00000000" w:rsidR="00000000" w:rsidRPr="00000000">
        <w:rPr>
          <w:rtl w:val="0"/>
        </w:rPr>
      </w:r>
    </w:p>
    <w:p w:rsidR="00000000" w:rsidDel="00000000" w:rsidP="00000000" w:rsidRDefault="00000000" w:rsidRPr="00000000" w14:paraId="000000C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S6. </w:t>
      </w:r>
      <w:r w:rsidDel="00000000" w:rsidR="00000000" w:rsidRPr="00000000">
        <w:rPr>
          <w:rFonts w:ascii="Calibri" w:cs="Calibri" w:eastAsia="Calibri" w:hAnsi="Calibri"/>
          <w:sz w:val="24"/>
          <w:szCs w:val="24"/>
          <w:rtl w:val="0"/>
        </w:rPr>
        <w:t xml:space="preserve">Respondent confidence across disturbance types and emissions scenarios for survey question 3b.</w:t>
      </w:r>
    </w:p>
    <w:p w:rsidR="00000000" w:rsidDel="00000000" w:rsidP="00000000" w:rsidRDefault="00000000" w:rsidRPr="00000000" w14:paraId="000000CF">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3657600" cy="5947820"/>
            <wp:effectExtent b="0" l="0" r="0" t="0"/>
            <wp:docPr id="6" name="image6.jpg"/>
            <a:graphic>
              <a:graphicData uri="http://schemas.openxmlformats.org/drawingml/2006/picture">
                <pic:pic>
                  <pic:nvPicPr>
                    <pic:cNvPr id="0" name="image6.jpg"/>
                    <pic:cNvPicPr preferRelativeResize="0"/>
                  </pic:nvPicPr>
                  <pic:blipFill>
                    <a:blip r:embed="rId12"/>
                    <a:srcRect b="0" l="0" r="0" t="0"/>
                    <a:stretch>
                      <a:fillRect/>
                    </a:stretch>
                  </pic:blipFill>
                  <pic:spPr>
                    <a:xfrm>
                      <a:off x="0" y="0"/>
                      <a:ext cx="3657600" cy="5947820"/>
                    </a:xfrm>
                    <a:prstGeom prst="rect"/>
                    <a:ln/>
                  </pic:spPr>
                </pic:pic>
              </a:graphicData>
            </a:graphic>
          </wp:inline>
        </w:drawing>
      </w:r>
      <w:r w:rsidDel="00000000" w:rsidR="00000000" w:rsidRPr="00000000">
        <w:rPr>
          <w:rtl w:val="0"/>
        </w:rPr>
      </w:r>
    </w:p>
    <w:p w:rsidR="00000000" w:rsidDel="00000000" w:rsidP="00000000" w:rsidRDefault="00000000" w:rsidRPr="00000000" w14:paraId="000000D0">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S7.</w:t>
      </w:r>
      <w:r w:rsidDel="00000000" w:rsidR="00000000" w:rsidRPr="00000000">
        <w:rPr>
          <w:rFonts w:ascii="Calibri" w:cs="Calibri" w:eastAsia="Calibri" w:hAnsi="Calibri"/>
          <w:sz w:val="24"/>
          <w:szCs w:val="24"/>
          <w:rtl w:val="0"/>
        </w:rPr>
        <w:t xml:space="preserve"> Respondent confidence across disturbance types for survey question 4.</w:t>
      </w:r>
    </w:p>
    <w:p w:rsidR="00000000" w:rsidDel="00000000" w:rsidP="00000000" w:rsidRDefault="00000000" w:rsidRPr="00000000" w14:paraId="000000D1">
      <w:pPr>
        <w:rPr>
          <w:rFonts w:ascii="Calibri" w:cs="Calibri" w:eastAsia="Calibri" w:hAnsi="Calibri"/>
          <w:sz w:val="24"/>
          <w:szCs w:val="24"/>
        </w:rPr>
      </w:pPr>
      <w:r w:rsidDel="00000000" w:rsidR="00000000" w:rsidRPr="00000000">
        <w:rPr>
          <w:rFonts w:ascii="Calibri" w:cs="Calibri" w:eastAsia="Calibri" w:hAnsi="Calibri"/>
          <w:sz w:val="24"/>
          <w:szCs w:val="24"/>
        </w:rPr>
        <w:drawing>
          <wp:inline distB="114300" distT="114300" distL="114300" distR="114300">
            <wp:extent cx="5943600" cy="4559300"/>
            <wp:effectExtent b="0" l="0" r="0" t="0"/>
            <wp:docPr id="8" name="image8.png"/>
            <a:graphic>
              <a:graphicData uri="http://schemas.openxmlformats.org/drawingml/2006/picture">
                <pic:pic>
                  <pic:nvPicPr>
                    <pic:cNvPr id="0" name="image8.png"/>
                    <pic:cNvPicPr preferRelativeResize="0"/>
                  </pic:nvPicPr>
                  <pic:blipFill>
                    <a:blip r:embed="rId13"/>
                    <a:srcRect b="25" l="0" r="0" t="25"/>
                    <a:stretch>
                      <a:fillRect/>
                    </a:stretch>
                  </pic:blipFill>
                  <pic:spPr>
                    <a:xfrm>
                      <a:off x="0" y="0"/>
                      <a:ext cx="5943600" cy="4559300"/>
                    </a:xfrm>
                    <a:prstGeom prst="rect"/>
                    <a:ln/>
                  </pic:spPr>
                </pic:pic>
              </a:graphicData>
            </a:graphic>
          </wp:inline>
        </w:drawing>
      </w:r>
      <w:r w:rsidDel="00000000" w:rsidR="00000000" w:rsidRPr="00000000">
        <w:rPr>
          <w:rtl w:val="0"/>
        </w:rPr>
      </w:r>
    </w:p>
    <w:p w:rsidR="00000000" w:rsidDel="00000000" w:rsidP="00000000" w:rsidRDefault="00000000" w:rsidRPr="00000000" w14:paraId="000000D2">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Figure S8.</w:t>
      </w:r>
      <w:r w:rsidDel="00000000" w:rsidR="00000000" w:rsidRPr="00000000">
        <w:rPr>
          <w:rFonts w:ascii="Calibri" w:cs="Calibri" w:eastAsia="Calibri" w:hAnsi="Calibri"/>
          <w:sz w:val="24"/>
          <w:szCs w:val="24"/>
          <w:rtl w:val="0"/>
        </w:rPr>
        <w:t xml:space="preserve"> Flowchart of expert-informed interacting relationships between fire and weather disturbances. Blue arrows indicate a negative relationship for an individual relationship, while red arrows indicate a positive relationship. The sign of the relationship is indicative of a specific arrow, not an entire path. For example, increasing drought lowers fuel moisture and higher fuel moisture decreases fire such that, when combined, drought drives increases in fire. Relationship importance is indicated by arrow width, reflecting both the number of times the relationship appeared in individual flowcharts and the level of importance individuals attributed to it.</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2.jpg"/><Relationship Id="rId10" Type="http://schemas.openxmlformats.org/officeDocument/2006/relationships/image" Target="media/image7.jpg"/><Relationship Id="rId13" Type="http://schemas.openxmlformats.org/officeDocument/2006/relationships/image" Target="media/image8.png"/><Relationship Id="rId12" Type="http://schemas.openxmlformats.org/officeDocument/2006/relationships/image" Target="media/image6.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jpg"/><Relationship Id="rId5" Type="http://schemas.openxmlformats.org/officeDocument/2006/relationships/styles" Target="styles.xml"/><Relationship Id="rId6" Type="http://schemas.openxmlformats.org/officeDocument/2006/relationships/image" Target="media/image4.jpg"/><Relationship Id="rId7" Type="http://schemas.openxmlformats.org/officeDocument/2006/relationships/image" Target="media/image1.jp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