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28A" w:rsidRDefault="00AE3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sz w:val="24"/>
          <w:szCs w:val="24"/>
        </w:rPr>
        <w:t>ADDITIONAL FILE TABLE S 4</w:t>
      </w:r>
    </w:p>
    <w:p w:rsidR="001E528A" w:rsidRDefault="00AE3005">
      <w:pPr>
        <w:spacing w:after="200" w:line="240" w:lineRule="auto"/>
        <w:jc w:val="both"/>
        <w:rPr>
          <w:rFonts w:ascii="Arial" w:eastAsia="Arial" w:hAnsi="Arial" w:cs="Arial"/>
          <w:sz w:val="24"/>
          <w:szCs w:val="24"/>
        </w:rPr>
      </w:pPr>
      <w:bookmarkStart w:id="1" w:name="_heading=h.vajrzl4ig75u" w:colFirst="0" w:colLast="0"/>
      <w:bookmarkEnd w:id="1"/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Table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S4. </w:t>
      </w:r>
      <w:proofErr w:type="spellStart"/>
      <w:r>
        <w:rPr>
          <w:rFonts w:ascii="Arial" w:eastAsia="Arial" w:hAnsi="Arial" w:cs="Arial"/>
          <w:sz w:val="24"/>
          <w:szCs w:val="24"/>
        </w:rPr>
        <w:t>Predicted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means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and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95% CI </w:t>
      </w:r>
      <w:proofErr w:type="spellStart"/>
      <w:r>
        <w:rPr>
          <w:rFonts w:ascii="Arial" w:eastAsia="Arial" w:hAnsi="Arial" w:cs="Arial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National Emergency Department Overcrowding Score (NEDOCS) </w:t>
      </w:r>
      <w:proofErr w:type="spellStart"/>
      <w:r>
        <w:rPr>
          <w:rFonts w:ascii="Arial" w:eastAsia="Arial" w:hAnsi="Arial" w:cs="Arial"/>
          <w:sz w:val="24"/>
          <w:szCs w:val="24"/>
        </w:rPr>
        <w:t>across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model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stages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 Lean in Emergency </w:t>
      </w:r>
      <w:proofErr w:type="spellStart"/>
      <w:r>
        <w:rPr>
          <w:rFonts w:ascii="Arial" w:eastAsia="Arial" w:hAnsi="Arial" w:cs="Arial"/>
          <w:sz w:val="24"/>
          <w:szCs w:val="24"/>
        </w:rPr>
        <w:t>Departments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Project, PROADI-SUS/Hospital Sírio-Libanês, </w:t>
      </w:r>
      <w:proofErr w:type="spellStart"/>
      <w:r>
        <w:rPr>
          <w:rFonts w:ascii="Arial" w:eastAsia="Arial" w:hAnsi="Arial" w:cs="Arial"/>
          <w:sz w:val="24"/>
          <w:szCs w:val="24"/>
        </w:rPr>
        <w:t>Brazil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2018–2023.  </w:t>
      </w:r>
    </w:p>
    <w:tbl>
      <w:tblPr>
        <w:tblStyle w:val="a3"/>
        <w:tblW w:w="8503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356"/>
        <w:gridCol w:w="2126"/>
        <w:gridCol w:w="1923"/>
        <w:gridCol w:w="1520"/>
        <w:gridCol w:w="1578"/>
      </w:tblGrid>
      <w:tr w:rsidR="001E528A">
        <w:trPr>
          <w:tblHeader/>
          <w:jc w:val="center"/>
        </w:trPr>
        <w:tc>
          <w:tcPr>
            <w:tcW w:w="1357" w:type="dxa"/>
            <w:tcBorders>
              <w:top w:val="single" w:sz="12" w:space="0" w:color="666666"/>
              <w:bottom w:val="single" w:sz="12" w:space="0" w:color="666666"/>
            </w:tcBorders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Model</w:t>
            </w:r>
            <w:proofErr w:type="spellEnd"/>
          </w:p>
        </w:tc>
        <w:tc>
          <w:tcPr>
            <w:tcW w:w="2126" w:type="dxa"/>
            <w:tcBorders>
              <w:top w:val="single" w:sz="12" w:space="0" w:color="666666"/>
              <w:bottom w:val="single" w:sz="12" w:space="0" w:color="666666"/>
            </w:tcBorders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Stage</w:t>
            </w:r>
            <w:proofErr w:type="spellEnd"/>
          </w:p>
        </w:tc>
        <w:tc>
          <w:tcPr>
            <w:tcW w:w="1923" w:type="dxa"/>
            <w:tcBorders>
              <w:top w:val="single" w:sz="12" w:space="0" w:color="666666"/>
              <w:bottom w:val="single" w:sz="12" w:space="0" w:color="666666"/>
            </w:tcBorders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Adjusted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Mean</w:t>
            </w:r>
            <w:proofErr w:type="spellEnd"/>
          </w:p>
        </w:tc>
        <w:tc>
          <w:tcPr>
            <w:tcW w:w="1520" w:type="dxa"/>
            <w:tcBorders>
              <w:top w:val="single" w:sz="12" w:space="0" w:color="666666"/>
              <w:bottom w:val="single" w:sz="12" w:space="0" w:color="666666"/>
            </w:tcBorders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1578" w:type="dxa"/>
            <w:tcBorders>
              <w:top w:val="single" w:sz="12" w:space="0" w:color="666666"/>
              <w:bottom w:val="single" w:sz="12" w:space="0" w:color="666666"/>
            </w:tcBorders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Change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E528A">
        <w:trPr>
          <w:jc w:val="center"/>
        </w:trPr>
        <w:tc>
          <w:tcPr>
            <w:tcW w:w="1357" w:type="dxa"/>
            <w:tcBorders>
              <w:top w:val="single" w:sz="12" w:space="0" w:color="666666"/>
            </w:tcBorders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1a</w:t>
            </w:r>
          </w:p>
        </w:tc>
        <w:tc>
          <w:tcPr>
            <w:tcW w:w="2126" w:type="dxa"/>
            <w:tcBorders>
              <w:top w:val="single" w:sz="12" w:space="0" w:color="666666"/>
            </w:tcBorders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Baseline</w:t>
            </w:r>
            <w:proofErr w:type="spellEnd"/>
          </w:p>
        </w:tc>
        <w:tc>
          <w:tcPr>
            <w:tcW w:w="1923" w:type="dxa"/>
            <w:tcBorders>
              <w:top w:val="single" w:sz="12" w:space="0" w:color="666666"/>
            </w:tcBorders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321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20" w:type="dxa"/>
            <w:tcBorders>
              <w:top w:val="single" w:sz="12" w:space="0" w:color="666666"/>
            </w:tcBorders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1578" w:type="dxa"/>
            <w:tcBorders>
              <w:top w:val="single" w:sz="12" w:space="0" w:color="666666"/>
            </w:tcBorders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0%</w:t>
            </w:r>
          </w:p>
        </w:tc>
      </w:tr>
      <w:tr w:rsidR="001E528A">
        <w:trPr>
          <w:jc w:val="center"/>
        </w:trPr>
        <w:tc>
          <w:tcPr>
            <w:tcW w:w="1357" w:type="dxa"/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1a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Intermediate</w:t>
            </w:r>
            <w:proofErr w:type="spellEnd"/>
          </w:p>
        </w:tc>
        <w:tc>
          <w:tcPr>
            <w:tcW w:w="1923" w:type="dxa"/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257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20" w:type="dxa"/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1578" w:type="dxa"/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-19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9%</w:t>
            </w:r>
          </w:p>
        </w:tc>
      </w:tr>
      <w:tr w:rsidR="001E528A">
        <w:trPr>
          <w:jc w:val="center"/>
        </w:trPr>
        <w:tc>
          <w:tcPr>
            <w:tcW w:w="1357" w:type="dxa"/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1a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Final</w:t>
            </w:r>
          </w:p>
        </w:tc>
        <w:tc>
          <w:tcPr>
            <w:tcW w:w="1923" w:type="dxa"/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215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0" w:type="dxa"/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1578" w:type="dxa"/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-33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1%</w:t>
            </w:r>
          </w:p>
        </w:tc>
      </w:tr>
      <w:tr w:rsidR="001E528A">
        <w:trPr>
          <w:jc w:val="center"/>
        </w:trPr>
        <w:tc>
          <w:tcPr>
            <w:tcW w:w="1357" w:type="dxa"/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2a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Baseline</w:t>
            </w:r>
            <w:proofErr w:type="spellEnd"/>
          </w:p>
        </w:tc>
        <w:tc>
          <w:tcPr>
            <w:tcW w:w="1923" w:type="dxa"/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355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20" w:type="dxa"/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319,0–395,0</w:t>
            </w:r>
          </w:p>
        </w:tc>
        <w:tc>
          <w:tcPr>
            <w:tcW w:w="1578" w:type="dxa"/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0%</w:t>
            </w:r>
          </w:p>
        </w:tc>
      </w:tr>
      <w:tr w:rsidR="001E528A">
        <w:trPr>
          <w:jc w:val="center"/>
        </w:trPr>
        <w:tc>
          <w:tcPr>
            <w:tcW w:w="1357" w:type="dxa"/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2a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Intermediate</w:t>
            </w:r>
            <w:proofErr w:type="spellEnd"/>
          </w:p>
        </w:tc>
        <w:tc>
          <w:tcPr>
            <w:tcW w:w="1923" w:type="dxa"/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293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20" w:type="dxa"/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263,0–325,0</w:t>
            </w:r>
          </w:p>
        </w:tc>
        <w:tc>
          <w:tcPr>
            <w:tcW w:w="1578" w:type="dxa"/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-17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6%</w:t>
            </w:r>
          </w:p>
        </w:tc>
      </w:tr>
      <w:tr w:rsidR="001E528A">
        <w:trPr>
          <w:jc w:val="center"/>
        </w:trPr>
        <w:tc>
          <w:tcPr>
            <w:tcW w:w="1357" w:type="dxa"/>
            <w:tcBorders>
              <w:bottom w:val="single" w:sz="12" w:space="0" w:color="666666"/>
            </w:tcBorders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2a</w:t>
            </w:r>
          </w:p>
        </w:tc>
        <w:tc>
          <w:tcPr>
            <w:tcW w:w="2126" w:type="dxa"/>
            <w:tcBorders>
              <w:bottom w:val="single" w:sz="12" w:space="0" w:color="666666"/>
            </w:tcBorders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Final</w:t>
            </w:r>
          </w:p>
        </w:tc>
        <w:tc>
          <w:tcPr>
            <w:tcW w:w="1923" w:type="dxa"/>
            <w:tcBorders>
              <w:bottom w:val="single" w:sz="12" w:space="0" w:color="666666"/>
            </w:tcBorders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245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20" w:type="dxa"/>
            <w:tcBorders>
              <w:bottom w:val="single" w:sz="12" w:space="0" w:color="666666"/>
            </w:tcBorders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220,0–273,0</w:t>
            </w:r>
          </w:p>
        </w:tc>
        <w:tc>
          <w:tcPr>
            <w:tcW w:w="1578" w:type="dxa"/>
            <w:tcBorders>
              <w:bottom w:val="single" w:sz="12" w:space="0" w:color="666666"/>
            </w:tcBorders>
            <w:shd w:val="clear" w:color="auto" w:fill="FFFFFF"/>
            <w:vAlign w:val="center"/>
          </w:tcPr>
          <w:p w:rsidR="001E528A" w:rsidRDefault="00AE3005">
            <w:pPr>
              <w:spacing w:before="60" w:after="60" w:line="240" w:lineRule="auto"/>
              <w:ind w:left="60" w:right="6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-31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0%</w:t>
            </w:r>
          </w:p>
        </w:tc>
      </w:tr>
      <w:tr w:rsidR="001E528A">
        <w:trPr>
          <w:jc w:val="center"/>
        </w:trPr>
        <w:tc>
          <w:tcPr>
            <w:tcW w:w="8504" w:type="dxa"/>
            <w:gridSpan w:val="5"/>
            <w:tcBorders>
              <w:top w:val="single" w:sz="12" w:space="0" w:color="666666"/>
            </w:tcBorders>
            <w:shd w:val="clear" w:color="auto" w:fill="FFFFFF"/>
            <w:vAlign w:val="center"/>
          </w:tcPr>
          <w:p w:rsidR="001E528A" w:rsidRDefault="00AE3005">
            <w:pPr>
              <w:spacing w:before="100" w:after="100" w:line="240" w:lineRule="auto"/>
              <w:ind w:left="100" w:right="10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Note: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Change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is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calculated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relative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baseline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stage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each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model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. In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Model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1a,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means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are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conditional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on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average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hospital; in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Model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2a,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means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are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adjusted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for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Year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and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averaged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over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years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included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model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. </w:t>
            </w:r>
          </w:p>
          <w:p w:rsidR="001E528A" w:rsidRDefault="001E528A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1E528A" w:rsidRDefault="001E528A"/>
    <w:sectPr w:rsidR="001E528A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7B768FE-3CFC-427B-B6E2-4320AB1F8369}"/>
    <w:embedBold r:id="rId2" w:fontKey="{50FB9F39-117B-413A-B155-6AC14E69172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6C811F00-122A-4DD6-95EE-E7752730073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3AF195B-12FF-4BDA-A980-AF9FA904F33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28A"/>
    <w:rsid w:val="001E528A"/>
    <w:rsid w:val="00AE3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6EEB97-A79B-48DB-B6C0-051042EB9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f8Iaznuj3Fc+mrDMTaS3piymlA==">CgMxLjAyDmgudmFqcnpsNGlnNzV1OAByITF1c0FZazZLeklqMklGbS1yT1JPeU1uNVBZaDVGNV8zQQ==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 Antonio Maia Filho</dc:creator>
  <cp:lastModifiedBy>camaia</cp:lastModifiedBy>
  <cp:revision>2</cp:revision>
  <dcterms:created xsi:type="dcterms:W3CDTF">2026-09-14T17:15:00Z</dcterms:created>
  <dcterms:modified xsi:type="dcterms:W3CDTF">2026-09-14T17:15:00Z</dcterms:modified>
</cp:coreProperties>
</file>