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E2590" w14:textId="77777777" w:rsidR="0041404E" w:rsidRDefault="00000000" w:rsidP="000A75D3">
      <w:pPr>
        <w:spacing w:after="0" w:line="240" w:lineRule="auto"/>
        <w:jc w:val="both"/>
        <w:rPr>
          <w:rFonts w:ascii="Times New Roman" w:eastAsia="Times New Roman" w:hAnsi="Times New Roman" w:cs="Times New Roman"/>
          <w:color w:val="000000"/>
        </w:rPr>
      </w:pPr>
      <w:r>
        <w:rPr>
          <w:rFonts w:ascii="Arial" w:eastAsia="Arial" w:hAnsi="Arial" w:cs="Arial"/>
          <w:color w:val="000000"/>
        </w:rPr>
        <w:t>Supplementary Information for </w:t>
      </w:r>
    </w:p>
    <w:p w14:paraId="2B03C767" w14:textId="77777777" w:rsidR="0041404E" w:rsidRDefault="00000000" w:rsidP="000A75D3">
      <w:pPr>
        <w:spacing w:after="0" w:line="240" w:lineRule="auto"/>
        <w:jc w:val="both"/>
        <w:rPr>
          <w:rFonts w:ascii="Arial" w:eastAsia="Arial" w:hAnsi="Arial" w:cs="Arial"/>
          <w:sz w:val="28"/>
          <w:szCs w:val="28"/>
        </w:rPr>
      </w:pPr>
      <w:r>
        <w:rPr>
          <w:rFonts w:ascii="Arial" w:eastAsia="Arial" w:hAnsi="Arial" w:cs="Arial"/>
          <w:color w:val="000000"/>
          <w:sz w:val="28"/>
          <w:szCs w:val="28"/>
        </w:rPr>
        <w:t>TOR inhibition drives accumulation of amino acids through transcriptional</w:t>
      </w:r>
    </w:p>
    <w:p w14:paraId="4B0575D6" w14:textId="77777777" w:rsidR="0041404E" w:rsidRDefault="00000000" w:rsidP="000A75D3">
      <w:pPr>
        <w:spacing w:after="0" w:line="240" w:lineRule="auto"/>
        <w:jc w:val="both"/>
        <w:rPr>
          <w:rFonts w:ascii="Times New Roman" w:eastAsia="Times New Roman" w:hAnsi="Times New Roman" w:cs="Times New Roman"/>
          <w:color w:val="000000"/>
        </w:rPr>
      </w:pPr>
      <w:r>
        <w:rPr>
          <w:rFonts w:ascii="Arial" w:eastAsia="Arial" w:hAnsi="Arial" w:cs="Arial"/>
          <w:color w:val="000000"/>
          <w:sz w:val="28"/>
          <w:szCs w:val="28"/>
        </w:rPr>
        <w:t>activation in algae </w:t>
      </w:r>
    </w:p>
    <w:p w14:paraId="2B866E28" w14:textId="77777777" w:rsidR="0041404E" w:rsidRDefault="0041404E">
      <w:pPr>
        <w:spacing w:after="0" w:line="240" w:lineRule="auto"/>
        <w:rPr>
          <w:rFonts w:ascii="Times New Roman" w:eastAsia="Times New Roman" w:hAnsi="Times New Roman" w:cs="Times New Roman"/>
          <w:color w:val="000000"/>
        </w:rPr>
      </w:pPr>
    </w:p>
    <w:p w14:paraId="5F3CBF15" w14:textId="77777777" w:rsidR="0041404E" w:rsidRDefault="00000000">
      <w:pPr>
        <w:spacing w:after="0" w:line="240" w:lineRule="auto"/>
        <w:jc w:val="both"/>
        <w:rPr>
          <w:rFonts w:ascii="Times New Roman" w:eastAsia="Times New Roman" w:hAnsi="Times New Roman" w:cs="Times New Roman"/>
          <w:color w:val="000000"/>
        </w:rPr>
      </w:pPr>
      <w:r>
        <w:rPr>
          <w:rFonts w:ascii="Arial" w:eastAsia="Arial" w:hAnsi="Arial" w:cs="Arial"/>
          <w:color w:val="000000"/>
          <w:sz w:val="20"/>
          <w:szCs w:val="20"/>
        </w:rPr>
        <w:t>Shivani Upadhyaya*</w:t>
      </w:r>
      <w:r>
        <w:rPr>
          <w:rFonts w:ascii="Arial" w:eastAsia="Arial" w:hAnsi="Arial" w:cs="Arial"/>
          <w:color w:val="000000"/>
          <w:vertAlign w:val="superscript"/>
        </w:rPr>
        <w:t>1</w:t>
      </w:r>
      <w:r>
        <w:rPr>
          <w:rFonts w:ascii="Arial" w:eastAsia="Arial" w:hAnsi="Arial" w:cs="Arial"/>
          <w:color w:val="000000"/>
          <w:sz w:val="20"/>
          <w:szCs w:val="20"/>
        </w:rPr>
        <w:t>, Suzanne M. Kosina</w:t>
      </w:r>
      <w:r>
        <w:rPr>
          <w:rFonts w:ascii="Arial" w:eastAsia="Arial" w:hAnsi="Arial" w:cs="Arial"/>
          <w:color w:val="000000"/>
          <w:vertAlign w:val="superscript"/>
        </w:rPr>
        <w:t>2</w:t>
      </w:r>
      <w:r>
        <w:rPr>
          <w:rFonts w:ascii="Arial" w:eastAsia="Arial" w:hAnsi="Arial" w:cs="Arial"/>
          <w:color w:val="000000"/>
          <w:sz w:val="20"/>
          <w:szCs w:val="20"/>
        </w:rPr>
        <w:t>, Samuel O. Purvine</w:t>
      </w:r>
      <w:r>
        <w:rPr>
          <w:rFonts w:ascii="Arial" w:eastAsia="Arial" w:hAnsi="Arial" w:cs="Arial"/>
          <w:color w:val="000000"/>
          <w:vertAlign w:val="superscript"/>
        </w:rPr>
        <w:t>3</w:t>
      </w:r>
      <w:r>
        <w:rPr>
          <w:rFonts w:ascii="Arial" w:eastAsia="Arial" w:hAnsi="Arial" w:cs="Arial"/>
          <w:color w:val="000000"/>
          <w:sz w:val="20"/>
          <w:szCs w:val="20"/>
        </w:rPr>
        <w:t>, Kim Hixson</w:t>
      </w:r>
      <w:r>
        <w:rPr>
          <w:rFonts w:ascii="Arial" w:eastAsia="Arial" w:hAnsi="Arial" w:cs="Arial"/>
          <w:color w:val="000000"/>
          <w:vertAlign w:val="superscript"/>
        </w:rPr>
        <w:t>3,4</w:t>
      </w:r>
      <w:r>
        <w:rPr>
          <w:rFonts w:ascii="Arial" w:eastAsia="Arial" w:hAnsi="Arial" w:cs="Arial"/>
          <w:color w:val="000000"/>
          <w:sz w:val="20"/>
          <w:szCs w:val="20"/>
        </w:rPr>
        <w:t>, Athena A. Schepmoes</w:t>
      </w:r>
      <w:r>
        <w:rPr>
          <w:rFonts w:ascii="Arial" w:eastAsia="Arial" w:hAnsi="Arial" w:cs="Arial"/>
          <w:color w:val="000000"/>
          <w:vertAlign w:val="superscript"/>
        </w:rPr>
        <w:t>3</w:t>
      </w:r>
      <w:r>
        <w:rPr>
          <w:rFonts w:ascii="Arial" w:eastAsia="Arial" w:hAnsi="Arial" w:cs="Arial"/>
          <w:color w:val="000000"/>
          <w:sz w:val="20"/>
          <w:szCs w:val="20"/>
        </w:rPr>
        <w:t>, Ritesh Mewalal</w:t>
      </w:r>
      <w:r>
        <w:rPr>
          <w:rFonts w:ascii="Arial" w:eastAsia="Arial" w:hAnsi="Arial" w:cs="Arial"/>
          <w:color w:val="000000"/>
          <w:vertAlign w:val="superscript"/>
        </w:rPr>
        <w:t>5</w:t>
      </w:r>
      <w:r>
        <w:rPr>
          <w:rFonts w:ascii="Arial" w:eastAsia="Arial" w:hAnsi="Arial" w:cs="Arial"/>
          <w:color w:val="000000"/>
          <w:sz w:val="20"/>
          <w:szCs w:val="20"/>
        </w:rPr>
        <w:t>, Yu Zhang</w:t>
      </w:r>
      <w:r>
        <w:rPr>
          <w:rFonts w:ascii="Arial" w:eastAsia="Arial" w:hAnsi="Arial" w:cs="Arial"/>
          <w:color w:val="000000"/>
          <w:vertAlign w:val="superscript"/>
        </w:rPr>
        <w:t>5</w:t>
      </w:r>
      <w:r>
        <w:rPr>
          <w:rFonts w:ascii="Arial" w:eastAsia="Arial" w:hAnsi="Arial" w:cs="Arial"/>
          <w:color w:val="000000"/>
          <w:sz w:val="20"/>
          <w:szCs w:val="20"/>
        </w:rPr>
        <w:t>, Ronan C. O’Malley</w:t>
      </w:r>
      <w:r>
        <w:rPr>
          <w:rFonts w:ascii="Arial" w:eastAsia="Arial" w:hAnsi="Arial" w:cs="Arial"/>
          <w:color w:val="000000"/>
          <w:vertAlign w:val="superscript"/>
        </w:rPr>
        <w:t>5,6</w:t>
      </w:r>
      <w:r>
        <w:rPr>
          <w:rFonts w:ascii="Arial" w:eastAsia="Arial" w:hAnsi="Arial" w:cs="Arial"/>
          <w:color w:val="000000"/>
          <w:sz w:val="20"/>
          <w:szCs w:val="20"/>
        </w:rPr>
        <w:t>, Leo Baumgart</w:t>
      </w:r>
      <w:r>
        <w:rPr>
          <w:rFonts w:ascii="Arial" w:eastAsia="Arial" w:hAnsi="Arial" w:cs="Arial"/>
          <w:color w:val="000000"/>
          <w:vertAlign w:val="superscript"/>
        </w:rPr>
        <w:t>5</w:t>
      </w:r>
      <w:r>
        <w:rPr>
          <w:rFonts w:ascii="Arial" w:eastAsia="Arial" w:hAnsi="Arial" w:cs="Arial"/>
          <w:color w:val="000000"/>
          <w:sz w:val="20"/>
          <w:szCs w:val="20"/>
        </w:rPr>
        <w:t>, Ian K. Blaby</w:t>
      </w:r>
      <w:r>
        <w:rPr>
          <w:rFonts w:ascii="Arial" w:eastAsia="Arial" w:hAnsi="Arial" w:cs="Arial"/>
          <w:color w:val="000000"/>
          <w:vertAlign w:val="superscript"/>
        </w:rPr>
        <w:t>5,2</w:t>
      </w:r>
      <w:r>
        <w:rPr>
          <w:rFonts w:ascii="Arial" w:eastAsia="Arial" w:hAnsi="Arial" w:cs="Arial"/>
          <w:color w:val="000000"/>
          <w:sz w:val="20"/>
          <w:szCs w:val="20"/>
        </w:rPr>
        <w:t>, Mary S. Lipton</w:t>
      </w:r>
      <w:r>
        <w:rPr>
          <w:rFonts w:ascii="Arial" w:eastAsia="Arial" w:hAnsi="Arial" w:cs="Arial"/>
          <w:color w:val="000000"/>
          <w:vertAlign w:val="superscript"/>
        </w:rPr>
        <w:t>3</w:t>
      </w:r>
      <w:r>
        <w:rPr>
          <w:rFonts w:ascii="Arial" w:eastAsia="Arial" w:hAnsi="Arial" w:cs="Arial"/>
          <w:color w:val="000000"/>
          <w:sz w:val="20"/>
          <w:szCs w:val="20"/>
        </w:rPr>
        <w:t>, Trent R. Northen</w:t>
      </w:r>
      <w:r>
        <w:rPr>
          <w:rFonts w:ascii="Arial" w:eastAsia="Arial" w:hAnsi="Arial" w:cs="Arial"/>
          <w:color w:val="000000"/>
          <w:vertAlign w:val="superscript"/>
        </w:rPr>
        <w:t>2</w:t>
      </w:r>
      <w:r>
        <w:rPr>
          <w:rFonts w:ascii="Arial" w:eastAsia="Arial" w:hAnsi="Arial" w:cs="Arial"/>
          <w:color w:val="000000"/>
          <w:sz w:val="20"/>
          <w:szCs w:val="20"/>
        </w:rPr>
        <w:t>, Krishna K. Niyogi</w:t>
      </w:r>
      <w:r>
        <w:rPr>
          <w:rFonts w:ascii="Arial" w:eastAsia="Arial" w:hAnsi="Arial" w:cs="Arial"/>
          <w:color w:val="000000"/>
          <w:vertAlign w:val="superscript"/>
        </w:rPr>
        <w:t>1,7,8</w:t>
      </w:r>
      <w:r>
        <w:rPr>
          <w:rFonts w:ascii="Arial" w:eastAsia="Arial" w:hAnsi="Arial" w:cs="Arial"/>
          <w:color w:val="000000"/>
          <w:sz w:val="20"/>
          <w:szCs w:val="20"/>
        </w:rPr>
        <w:t>, Melissa S. Roth*</w:t>
      </w:r>
      <w:r>
        <w:rPr>
          <w:rFonts w:ascii="Arial" w:eastAsia="Arial" w:hAnsi="Arial" w:cs="Arial"/>
          <w:color w:val="000000"/>
          <w:vertAlign w:val="superscript"/>
        </w:rPr>
        <w:t>1</w:t>
      </w:r>
    </w:p>
    <w:p w14:paraId="387B7E91" w14:textId="77777777" w:rsidR="0041404E" w:rsidRDefault="0041404E">
      <w:pPr>
        <w:spacing w:after="0" w:line="240" w:lineRule="auto"/>
        <w:rPr>
          <w:rFonts w:ascii="Times New Roman" w:eastAsia="Times New Roman" w:hAnsi="Times New Roman" w:cs="Times New Roman"/>
          <w:color w:val="000000"/>
        </w:rPr>
      </w:pPr>
    </w:p>
    <w:p w14:paraId="74B356C4" w14:textId="77777777" w:rsidR="0041404E" w:rsidRDefault="00000000">
      <w:pPr>
        <w:spacing w:after="0" w:line="240" w:lineRule="auto"/>
        <w:jc w:val="both"/>
        <w:rPr>
          <w:rFonts w:ascii="Times New Roman" w:eastAsia="Times New Roman" w:hAnsi="Times New Roman" w:cs="Times New Roman"/>
          <w:color w:val="000000"/>
        </w:rPr>
      </w:pPr>
      <w:r>
        <w:rPr>
          <w:rFonts w:ascii="Arial" w:eastAsia="Arial" w:hAnsi="Arial" w:cs="Arial"/>
          <w:color w:val="000000"/>
          <w:vertAlign w:val="superscript"/>
        </w:rPr>
        <w:t xml:space="preserve">1 </w:t>
      </w:r>
      <w:r>
        <w:rPr>
          <w:rFonts w:ascii="Arial" w:eastAsia="Arial" w:hAnsi="Arial" w:cs="Arial"/>
          <w:color w:val="000000"/>
          <w:sz w:val="20"/>
          <w:szCs w:val="20"/>
        </w:rPr>
        <w:t>Department of Plant and Microbial Biology, University of California, Berkeley, CA 94720</w:t>
      </w:r>
    </w:p>
    <w:p w14:paraId="1F149218" w14:textId="77777777" w:rsidR="0041404E" w:rsidRDefault="00000000">
      <w:pPr>
        <w:spacing w:after="0" w:line="240" w:lineRule="auto"/>
        <w:rPr>
          <w:rFonts w:ascii="Times New Roman" w:eastAsia="Times New Roman" w:hAnsi="Times New Roman" w:cs="Times New Roman"/>
          <w:color w:val="000000"/>
        </w:rPr>
      </w:pPr>
      <w:r>
        <w:rPr>
          <w:rFonts w:ascii="Arial" w:eastAsia="Arial" w:hAnsi="Arial" w:cs="Arial"/>
          <w:color w:val="000000"/>
          <w:vertAlign w:val="superscript"/>
        </w:rPr>
        <w:t xml:space="preserve">2 </w:t>
      </w:r>
      <w:r>
        <w:rPr>
          <w:rFonts w:ascii="Arial" w:eastAsia="Arial" w:hAnsi="Arial" w:cs="Arial"/>
          <w:color w:val="000000"/>
          <w:sz w:val="20"/>
          <w:szCs w:val="20"/>
        </w:rPr>
        <w:t>Environmental Genomics and Systems Biology Division, Lawrence Berkeley National Laboratory, Berkeley, CA 94720</w:t>
      </w:r>
    </w:p>
    <w:p w14:paraId="733563FA" w14:textId="77777777" w:rsidR="0041404E" w:rsidRDefault="00000000">
      <w:pPr>
        <w:spacing w:after="0" w:line="240" w:lineRule="auto"/>
        <w:jc w:val="both"/>
        <w:rPr>
          <w:rFonts w:ascii="Times New Roman" w:eastAsia="Times New Roman" w:hAnsi="Times New Roman" w:cs="Times New Roman"/>
          <w:color w:val="000000"/>
        </w:rPr>
      </w:pPr>
      <w:r>
        <w:rPr>
          <w:rFonts w:ascii="Arial" w:eastAsia="Arial" w:hAnsi="Arial" w:cs="Arial"/>
          <w:color w:val="000000"/>
          <w:vertAlign w:val="superscript"/>
        </w:rPr>
        <w:t>3</w:t>
      </w:r>
      <w:r>
        <w:rPr>
          <w:rFonts w:ascii="Arial" w:eastAsia="Arial" w:hAnsi="Arial" w:cs="Arial"/>
          <w:color w:val="000000"/>
          <w:sz w:val="20"/>
          <w:szCs w:val="20"/>
        </w:rPr>
        <w:t xml:space="preserve"> Earth and Biological Sciences Division, Pacific Northwest National Laboratory, Richland, WA 99352</w:t>
      </w:r>
    </w:p>
    <w:p w14:paraId="6249760A" w14:textId="77777777" w:rsidR="0041404E" w:rsidRDefault="00000000">
      <w:pPr>
        <w:spacing w:after="0" w:line="240" w:lineRule="auto"/>
        <w:jc w:val="both"/>
        <w:rPr>
          <w:rFonts w:ascii="Times New Roman" w:eastAsia="Times New Roman" w:hAnsi="Times New Roman" w:cs="Times New Roman"/>
          <w:color w:val="000000"/>
        </w:rPr>
      </w:pPr>
      <w:r>
        <w:rPr>
          <w:rFonts w:ascii="Arial" w:eastAsia="Arial" w:hAnsi="Arial" w:cs="Arial"/>
          <w:color w:val="000000"/>
          <w:vertAlign w:val="superscript"/>
        </w:rPr>
        <w:t>4</w:t>
      </w:r>
      <w:r>
        <w:rPr>
          <w:rFonts w:ascii="Arial" w:eastAsia="Arial" w:hAnsi="Arial" w:cs="Arial"/>
          <w:color w:val="000000"/>
          <w:sz w:val="20"/>
          <w:szCs w:val="20"/>
        </w:rPr>
        <w:t xml:space="preserve"> Institute of Biological Chemistry, Washington State University, Pullman, WA 99164</w:t>
      </w:r>
    </w:p>
    <w:p w14:paraId="37424004" w14:textId="77777777" w:rsidR="0041404E" w:rsidRDefault="00000000">
      <w:pPr>
        <w:spacing w:after="0" w:line="240" w:lineRule="auto"/>
        <w:jc w:val="both"/>
        <w:rPr>
          <w:rFonts w:ascii="Times New Roman" w:eastAsia="Times New Roman" w:hAnsi="Times New Roman" w:cs="Times New Roman"/>
          <w:color w:val="000000"/>
        </w:rPr>
      </w:pPr>
      <w:r>
        <w:rPr>
          <w:rFonts w:ascii="Arial" w:eastAsia="Arial" w:hAnsi="Arial" w:cs="Arial"/>
          <w:color w:val="000000"/>
          <w:vertAlign w:val="superscript"/>
        </w:rPr>
        <w:t>5</w:t>
      </w:r>
      <w:r>
        <w:rPr>
          <w:rFonts w:ascii="Arial" w:eastAsia="Arial" w:hAnsi="Arial" w:cs="Arial"/>
          <w:color w:val="000000"/>
          <w:sz w:val="20"/>
          <w:szCs w:val="20"/>
        </w:rPr>
        <w:t xml:space="preserve"> U.S. Department of Energy, Joint Genome Institute, Lawrence Berkeley National Laboratory, Berkeley, CA 94720</w:t>
      </w:r>
    </w:p>
    <w:p w14:paraId="039E9FE4" w14:textId="77777777" w:rsidR="0041404E" w:rsidRDefault="00000000">
      <w:pPr>
        <w:spacing w:after="0" w:line="240" w:lineRule="auto"/>
        <w:jc w:val="both"/>
        <w:rPr>
          <w:rFonts w:ascii="Times New Roman" w:eastAsia="Times New Roman" w:hAnsi="Times New Roman" w:cs="Times New Roman"/>
          <w:color w:val="000000"/>
        </w:rPr>
      </w:pPr>
      <w:r>
        <w:rPr>
          <w:rFonts w:ascii="Arial" w:eastAsia="Arial" w:hAnsi="Arial" w:cs="Arial"/>
          <w:color w:val="000000"/>
          <w:vertAlign w:val="superscript"/>
        </w:rPr>
        <w:t>6</w:t>
      </w:r>
      <w:r>
        <w:rPr>
          <w:rFonts w:ascii="Arial" w:eastAsia="Arial" w:hAnsi="Arial" w:cs="Arial"/>
          <w:color w:val="000000"/>
          <w:sz w:val="20"/>
          <w:szCs w:val="20"/>
        </w:rPr>
        <w:t xml:space="preserve"> Department of Human Genetics, University of Chicago, Chicago, IL 60637</w:t>
      </w:r>
    </w:p>
    <w:p w14:paraId="77689769" w14:textId="77777777" w:rsidR="0041404E" w:rsidRDefault="00000000">
      <w:pPr>
        <w:spacing w:after="0" w:line="240" w:lineRule="auto"/>
        <w:jc w:val="both"/>
        <w:rPr>
          <w:rFonts w:ascii="Times New Roman" w:eastAsia="Times New Roman" w:hAnsi="Times New Roman" w:cs="Times New Roman"/>
          <w:color w:val="000000"/>
        </w:rPr>
      </w:pPr>
      <w:r>
        <w:rPr>
          <w:rFonts w:ascii="Arial" w:eastAsia="Arial" w:hAnsi="Arial" w:cs="Arial"/>
          <w:color w:val="000000"/>
          <w:vertAlign w:val="superscript"/>
        </w:rPr>
        <w:t>7</w:t>
      </w:r>
      <w:r>
        <w:rPr>
          <w:rFonts w:ascii="Arial" w:eastAsia="Arial" w:hAnsi="Arial" w:cs="Arial"/>
          <w:color w:val="000000"/>
          <w:sz w:val="20"/>
          <w:szCs w:val="20"/>
        </w:rPr>
        <w:t xml:space="preserve"> Howard Hughes Medical Institute, University of California, Berkeley, CA 94720</w:t>
      </w:r>
    </w:p>
    <w:p w14:paraId="02859015" w14:textId="77777777" w:rsidR="0041404E" w:rsidRDefault="00000000">
      <w:pPr>
        <w:spacing w:after="0" w:line="240" w:lineRule="auto"/>
        <w:rPr>
          <w:rFonts w:ascii="Times New Roman" w:eastAsia="Times New Roman" w:hAnsi="Times New Roman" w:cs="Times New Roman"/>
          <w:color w:val="000000"/>
        </w:rPr>
      </w:pPr>
      <w:r>
        <w:rPr>
          <w:rFonts w:ascii="Arial" w:eastAsia="Arial" w:hAnsi="Arial" w:cs="Arial"/>
          <w:color w:val="000000"/>
          <w:vertAlign w:val="superscript"/>
        </w:rPr>
        <w:t>8</w:t>
      </w:r>
      <w:r>
        <w:rPr>
          <w:rFonts w:ascii="Arial" w:eastAsia="Arial" w:hAnsi="Arial" w:cs="Arial"/>
          <w:color w:val="000000"/>
          <w:sz w:val="20"/>
          <w:szCs w:val="20"/>
        </w:rPr>
        <w:t xml:space="preserve"> Molecular Biophysics and Integrated Bioimaging Division, Lawrence Berkeley National Laboratory, Berkeley, CA 94720</w:t>
      </w:r>
    </w:p>
    <w:p w14:paraId="58F52F8C" w14:textId="77777777" w:rsidR="0041404E" w:rsidRDefault="0041404E">
      <w:pPr>
        <w:spacing w:after="240" w:line="240" w:lineRule="auto"/>
        <w:rPr>
          <w:rFonts w:ascii="Times New Roman" w:eastAsia="Times New Roman" w:hAnsi="Times New Roman" w:cs="Times New Roman"/>
          <w:color w:val="000000"/>
        </w:rPr>
      </w:pPr>
    </w:p>
    <w:p w14:paraId="512DF75C" w14:textId="77777777" w:rsidR="0041404E" w:rsidRDefault="00000000">
      <w:pPr>
        <w:spacing w:after="0" w:line="240" w:lineRule="auto"/>
        <w:jc w:val="both"/>
        <w:rPr>
          <w:rFonts w:ascii="Times New Roman" w:eastAsia="Times New Roman" w:hAnsi="Times New Roman" w:cs="Times New Roman"/>
          <w:color w:val="000000"/>
        </w:rPr>
      </w:pPr>
      <w:r>
        <w:rPr>
          <w:rFonts w:ascii="Arial" w:eastAsia="Arial" w:hAnsi="Arial" w:cs="Arial"/>
          <w:color w:val="000000"/>
          <w:sz w:val="20"/>
          <w:szCs w:val="20"/>
        </w:rPr>
        <w:t>*Corresponding authors: Shivani Upadhyaya, Melissa S. Roth</w:t>
      </w:r>
    </w:p>
    <w:p w14:paraId="6B776BAC" w14:textId="77777777" w:rsidR="0041404E" w:rsidRDefault="0041404E">
      <w:pPr>
        <w:spacing w:after="0" w:line="240" w:lineRule="auto"/>
        <w:rPr>
          <w:rFonts w:ascii="Times New Roman" w:eastAsia="Times New Roman" w:hAnsi="Times New Roman" w:cs="Times New Roman"/>
          <w:color w:val="000000"/>
        </w:rPr>
      </w:pPr>
    </w:p>
    <w:p w14:paraId="5F6A8ADC" w14:textId="77777777" w:rsidR="0041404E" w:rsidRDefault="00000000">
      <w:pPr>
        <w:spacing w:after="0" w:line="240" w:lineRule="auto"/>
        <w:jc w:val="both"/>
        <w:rPr>
          <w:rFonts w:ascii="Times New Roman" w:eastAsia="Times New Roman" w:hAnsi="Times New Roman" w:cs="Times New Roman"/>
          <w:color w:val="000000"/>
        </w:rPr>
      </w:pPr>
      <w:r>
        <w:rPr>
          <w:rFonts w:ascii="Arial" w:eastAsia="Arial" w:hAnsi="Arial" w:cs="Arial"/>
          <w:b/>
          <w:bCs/>
          <w:color w:val="000000"/>
          <w:sz w:val="20"/>
          <w:szCs w:val="20"/>
        </w:rPr>
        <w:t xml:space="preserve">Email: </w:t>
      </w:r>
      <w:hyperlink r:id="rId4">
        <w:r>
          <w:rPr>
            <w:rFonts w:ascii="Arial" w:eastAsia="Arial" w:hAnsi="Arial" w:cs="Arial"/>
            <w:color w:val="0000FF"/>
            <w:sz w:val="20"/>
            <w:szCs w:val="20"/>
            <w:u w:val="single"/>
          </w:rPr>
          <w:t>shivani.u@berkeley.edu</w:t>
        </w:r>
      </w:hyperlink>
      <w:r>
        <w:rPr>
          <w:rFonts w:ascii="Arial" w:eastAsia="Arial" w:hAnsi="Arial" w:cs="Arial"/>
          <w:color w:val="0000FF"/>
          <w:sz w:val="20"/>
          <w:szCs w:val="20"/>
        </w:rPr>
        <w:t xml:space="preserve">,  </w:t>
      </w:r>
      <w:hyperlink r:id="rId5">
        <w:r>
          <w:rPr>
            <w:rFonts w:ascii="Arial" w:eastAsia="Arial" w:hAnsi="Arial" w:cs="Arial"/>
            <w:color w:val="0000FF"/>
            <w:sz w:val="20"/>
            <w:szCs w:val="20"/>
            <w:u w:val="single"/>
          </w:rPr>
          <w:t>mroth@berkeley.edu</w:t>
        </w:r>
      </w:hyperlink>
    </w:p>
    <w:p w14:paraId="155E10FC" w14:textId="77777777" w:rsidR="0041404E" w:rsidRDefault="0041404E">
      <w:pPr>
        <w:spacing w:after="0" w:line="240" w:lineRule="auto"/>
        <w:rPr>
          <w:rFonts w:ascii="Times New Roman" w:eastAsia="Times New Roman" w:hAnsi="Times New Roman" w:cs="Times New Roman"/>
          <w:color w:val="000000"/>
        </w:rPr>
      </w:pPr>
    </w:p>
    <w:p w14:paraId="54BE5F13" w14:textId="77777777" w:rsidR="0041404E" w:rsidRDefault="00000000">
      <w:pPr>
        <w:spacing w:after="0" w:line="240" w:lineRule="auto"/>
        <w:jc w:val="both"/>
        <w:rPr>
          <w:rFonts w:ascii="Times New Roman" w:eastAsia="Times New Roman" w:hAnsi="Times New Roman" w:cs="Times New Roman"/>
          <w:color w:val="000000"/>
        </w:rPr>
      </w:pPr>
      <w:r>
        <w:rPr>
          <w:rFonts w:ascii="Arial" w:eastAsia="Arial" w:hAnsi="Arial" w:cs="Arial"/>
          <w:b/>
          <w:bCs/>
          <w:color w:val="000000"/>
        </w:rPr>
        <w:t>This file includes:</w:t>
      </w:r>
    </w:p>
    <w:p w14:paraId="26523957" w14:textId="77777777" w:rsidR="0041404E" w:rsidRDefault="00000000">
      <w:pPr>
        <w:spacing w:after="0" w:line="240" w:lineRule="auto"/>
        <w:ind w:firstLine="720"/>
        <w:jc w:val="both"/>
        <w:rPr>
          <w:rFonts w:ascii="Times New Roman" w:eastAsia="Times New Roman" w:hAnsi="Times New Roman" w:cs="Times New Roman"/>
          <w:color w:val="000000"/>
        </w:rPr>
      </w:pPr>
      <w:r>
        <w:rPr>
          <w:rFonts w:ascii="Arial" w:eastAsia="Arial" w:hAnsi="Arial" w:cs="Arial"/>
          <w:color w:val="000000"/>
        </w:rPr>
        <w:t>Supplementary Figures 1 to 11</w:t>
      </w:r>
    </w:p>
    <w:p w14:paraId="3B6E857D" w14:textId="77777777" w:rsidR="0041404E" w:rsidRDefault="00000000">
      <w:pPr>
        <w:spacing w:after="0" w:line="240" w:lineRule="auto"/>
        <w:ind w:firstLine="720"/>
        <w:jc w:val="both"/>
        <w:rPr>
          <w:rFonts w:ascii="Times New Roman" w:eastAsia="Times New Roman" w:hAnsi="Times New Roman" w:cs="Times New Roman"/>
          <w:color w:val="000000"/>
        </w:rPr>
      </w:pPr>
      <w:r>
        <w:rPr>
          <w:rFonts w:ascii="Arial" w:eastAsia="Arial" w:hAnsi="Arial" w:cs="Arial"/>
          <w:color w:val="000000"/>
        </w:rPr>
        <w:t>Supplementary Methods</w:t>
      </w:r>
    </w:p>
    <w:p w14:paraId="1A03DFCF" w14:textId="77777777" w:rsidR="0041404E" w:rsidRDefault="00000000">
      <w:pPr>
        <w:spacing w:after="0" w:line="240" w:lineRule="auto"/>
        <w:ind w:firstLine="720"/>
        <w:jc w:val="both"/>
        <w:rPr>
          <w:rFonts w:ascii="Times New Roman" w:eastAsia="Times New Roman" w:hAnsi="Times New Roman" w:cs="Times New Roman"/>
          <w:color w:val="000000"/>
        </w:rPr>
      </w:pPr>
      <w:r>
        <w:rPr>
          <w:rFonts w:ascii="Arial" w:eastAsia="Arial" w:hAnsi="Arial" w:cs="Arial"/>
          <w:color w:val="000000"/>
        </w:rPr>
        <w:t>Supplementary References</w:t>
      </w:r>
    </w:p>
    <w:p w14:paraId="21ADC20C" w14:textId="77777777" w:rsidR="0041404E" w:rsidRDefault="00000000">
      <w:pPr>
        <w:spacing w:after="0" w:line="240" w:lineRule="auto"/>
        <w:ind w:left="720"/>
        <w:jc w:val="both"/>
        <w:rPr>
          <w:rFonts w:ascii="Arial" w:eastAsia="Arial" w:hAnsi="Arial" w:cs="Arial"/>
          <w:color w:val="000000"/>
        </w:rPr>
      </w:pPr>
      <w:r>
        <w:rPr>
          <w:rFonts w:ascii="Arial" w:eastAsia="Arial" w:hAnsi="Arial" w:cs="Arial"/>
          <w:color w:val="000000"/>
        </w:rPr>
        <w:t>Supplementary Data 1 to 22</w:t>
      </w:r>
    </w:p>
    <w:p w14:paraId="21FA0287" w14:textId="77777777" w:rsidR="0041404E" w:rsidRDefault="0041404E">
      <w:pPr>
        <w:spacing w:after="0" w:line="240" w:lineRule="auto"/>
        <w:ind w:left="720"/>
        <w:jc w:val="both"/>
        <w:rPr>
          <w:rFonts w:ascii="Arial" w:eastAsia="Arial" w:hAnsi="Arial" w:cs="Arial"/>
        </w:rPr>
      </w:pPr>
    </w:p>
    <w:p w14:paraId="0F3FC96A" w14:textId="77777777" w:rsidR="0041404E" w:rsidRDefault="0041404E">
      <w:pPr>
        <w:spacing w:after="0" w:line="240" w:lineRule="auto"/>
        <w:jc w:val="both"/>
        <w:rPr>
          <w:rFonts w:ascii="Arial" w:eastAsia="Arial" w:hAnsi="Arial" w:cs="Arial"/>
          <w:b/>
          <w:bCs/>
        </w:rPr>
      </w:pPr>
    </w:p>
    <w:p w14:paraId="1D1EAF37" w14:textId="77777777" w:rsidR="0041404E" w:rsidRDefault="00000000">
      <w:pPr>
        <w:spacing w:after="0" w:line="240" w:lineRule="auto"/>
        <w:jc w:val="both"/>
        <w:rPr>
          <w:rFonts w:ascii="Arial" w:eastAsia="Arial" w:hAnsi="Arial" w:cs="Arial"/>
        </w:rPr>
      </w:pPr>
      <w:r>
        <w:rPr>
          <w:rFonts w:ascii="Arial" w:eastAsia="Arial" w:hAnsi="Arial" w:cs="Arial"/>
          <w:b/>
          <w:bCs/>
        </w:rPr>
        <w:t>Supplementary Figures</w:t>
      </w:r>
      <w:r>
        <w:br w:type="page"/>
      </w:r>
    </w:p>
    <w:p w14:paraId="3D34A44D" w14:textId="77777777" w:rsidR="0041404E" w:rsidRDefault="00000000">
      <w:pPr>
        <w:spacing w:after="0" w:line="276" w:lineRule="auto"/>
        <w:rPr>
          <w:rFonts w:ascii="Arial" w:eastAsia="Arial" w:hAnsi="Arial" w:cs="Arial"/>
          <w:sz w:val="22"/>
          <w:szCs w:val="22"/>
        </w:rPr>
      </w:pPr>
      <w:r>
        <w:rPr>
          <w:rFonts w:ascii="Arial" w:eastAsia="Arial" w:hAnsi="Arial" w:cs="Arial"/>
          <w:noProof/>
          <w:sz w:val="22"/>
          <w:szCs w:val="22"/>
        </w:rPr>
        <w:lastRenderedPageBreak/>
        <w:drawing>
          <wp:inline distT="114300" distB="114300" distL="114300" distR="114300" wp14:anchorId="76C06223" wp14:editId="4D81C270">
            <wp:extent cx="5943600" cy="6718300"/>
            <wp:effectExtent l="0" t="0" r="0" b="0"/>
            <wp:docPr id="4"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6"/>
                    <a:srcRect/>
                    <a:stretch>
                      <a:fillRect/>
                    </a:stretch>
                  </pic:blipFill>
                  <pic:spPr>
                    <a:xfrm>
                      <a:off x="0" y="0"/>
                      <a:ext cx="5943600" cy="6718300"/>
                    </a:xfrm>
                    <a:prstGeom prst="rect">
                      <a:avLst/>
                    </a:prstGeom>
                    <a:ln/>
                  </pic:spPr>
                </pic:pic>
              </a:graphicData>
            </a:graphic>
          </wp:inline>
        </w:drawing>
      </w:r>
      <w:r>
        <w:rPr>
          <w:noProof/>
        </w:rPr>
        <w:drawing>
          <wp:anchor distT="114300" distB="114300" distL="114300" distR="114300" simplePos="0" relativeHeight="251658240" behindDoc="0" locked="0" layoutInCell="1" hidden="0" allowOverlap="1" wp14:anchorId="060D27EB" wp14:editId="41C1250F">
            <wp:simplePos x="0" y="0"/>
            <wp:positionH relativeFrom="column">
              <wp:posOffset>-57149</wp:posOffset>
            </wp:positionH>
            <wp:positionV relativeFrom="paragraph">
              <wp:posOffset>247650</wp:posOffset>
            </wp:positionV>
            <wp:extent cx="1219200" cy="367145"/>
            <wp:effectExtent l="0" t="0" r="0" b="0"/>
            <wp:wrapNone/>
            <wp:docPr id="1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7"/>
                    <a:srcRect/>
                    <a:stretch>
                      <a:fillRect/>
                    </a:stretch>
                  </pic:blipFill>
                  <pic:spPr>
                    <a:xfrm>
                      <a:off x="0" y="0"/>
                      <a:ext cx="1219200" cy="367145"/>
                    </a:xfrm>
                    <a:prstGeom prst="rect">
                      <a:avLst/>
                    </a:prstGeom>
                    <a:ln/>
                  </pic:spPr>
                </pic:pic>
              </a:graphicData>
            </a:graphic>
          </wp:anchor>
        </w:drawing>
      </w:r>
    </w:p>
    <w:p w14:paraId="278FF737" w14:textId="77777777" w:rsidR="0041404E" w:rsidRDefault="0041404E">
      <w:pPr>
        <w:spacing w:after="0" w:line="276" w:lineRule="auto"/>
        <w:jc w:val="both"/>
        <w:rPr>
          <w:rFonts w:ascii="Arial" w:eastAsia="Arial" w:hAnsi="Arial" w:cs="Arial"/>
          <w:b/>
          <w:bCs/>
          <w:sz w:val="20"/>
          <w:szCs w:val="20"/>
        </w:rPr>
      </w:pPr>
    </w:p>
    <w:p w14:paraId="590BB945" w14:textId="77777777" w:rsidR="0041404E" w:rsidRDefault="00000000">
      <w:pPr>
        <w:spacing w:after="0" w:line="276" w:lineRule="auto"/>
        <w:jc w:val="both"/>
        <w:rPr>
          <w:rFonts w:ascii="Arial" w:eastAsia="Arial" w:hAnsi="Arial" w:cs="Arial"/>
          <w:sz w:val="20"/>
          <w:szCs w:val="20"/>
        </w:rPr>
      </w:pPr>
      <w:r>
        <w:rPr>
          <w:rFonts w:ascii="Arial" w:eastAsia="Arial" w:hAnsi="Arial" w:cs="Arial"/>
          <w:b/>
          <w:bCs/>
          <w:sz w:val="20"/>
          <w:szCs w:val="20"/>
        </w:rPr>
        <w:t>Supplementary Fig. 1.</w:t>
      </w:r>
      <w:r>
        <w:rPr>
          <w:rFonts w:ascii="Arial" w:eastAsia="Arial" w:hAnsi="Arial" w:cs="Arial"/>
          <w:sz w:val="20"/>
          <w:szCs w:val="20"/>
        </w:rPr>
        <w:t xml:space="preserve"> TOR inhibition titration, pigments, biomass, and the multiomics experimental design. (a) Wild-type </w:t>
      </w:r>
      <w:r>
        <w:rPr>
          <w:rFonts w:ascii="Arial" w:eastAsia="Arial" w:hAnsi="Arial" w:cs="Arial"/>
          <w:i/>
          <w:iCs/>
          <w:sz w:val="20"/>
          <w:szCs w:val="20"/>
        </w:rPr>
        <w:t>C. zofingiensis</w:t>
      </w:r>
      <w:r>
        <w:rPr>
          <w:rFonts w:ascii="Arial" w:eastAsia="Arial" w:hAnsi="Arial" w:cs="Arial"/>
          <w:sz w:val="20"/>
          <w:szCs w:val="20"/>
        </w:rPr>
        <w:t xml:space="preserve"> cells were subjected to serial dilutions and spotted on CORE medium plates with AZD8055 (AZD). Plates were incubated at 25</w:t>
      </w:r>
      <w:r>
        <w:rPr>
          <w:rFonts w:ascii="Arial" w:eastAsia="Arial" w:hAnsi="Arial" w:cs="Arial"/>
          <w:sz w:val="20"/>
          <w:szCs w:val="20"/>
          <w:vertAlign w:val="superscript"/>
        </w:rPr>
        <w:t>o</w:t>
      </w:r>
      <w:r>
        <w:rPr>
          <w:rFonts w:ascii="Arial" w:eastAsia="Arial" w:hAnsi="Arial" w:cs="Arial"/>
          <w:sz w:val="20"/>
          <w:szCs w:val="20"/>
        </w:rPr>
        <w:t>C under continuous illumination (100 µmol photons m</w:t>
      </w:r>
      <w:r>
        <w:rPr>
          <w:rFonts w:ascii="Arial" w:eastAsia="Arial" w:hAnsi="Arial" w:cs="Arial"/>
          <w:sz w:val="20"/>
          <w:szCs w:val="20"/>
          <w:vertAlign w:val="superscript"/>
        </w:rPr>
        <w:t>-2</w:t>
      </w:r>
      <w:r>
        <w:rPr>
          <w:rFonts w:ascii="Arial" w:eastAsia="Arial" w:hAnsi="Arial" w:cs="Arial"/>
          <w:sz w:val="20"/>
          <w:szCs w:val="20"/>
        </w:rPr>
        <w:t xml:space="preserve"> s</w:t>
      </w:r>
      <w:r>
        <w:rPr>
          <w:rFonts w:ascii="Arial" w:eastAsia="Arial" w:hAnsi="Arial" w:cs="Arial"/>
          <w:sz w:val="20"/>
          <w:szCs w:val="20"/>
          <w:vertAlign w:val="superscript"/>
        </w:rPr>
        <w:t>-1</w:t>
      </w:r>
      <w:r>
        <w:rPr>
          <w:rFonts w:ascii="Arial" w:eastAsia="Arial" w:hAnsi="Arial" w:cs="Arial"/>
          <w:sz w:val="20"/>
          <w:szCs w:val="20"/>
        </w:rPr>
        <w:t xml:space="preserve">). (b) Total chlorophyll (chlorophyll </w:t>
      </w:r>
      <w:r>
        <w:rPr>
          <w:rFonts w:ascii="Arial" w:eastAsia="Arial" w:hAnsi="Arial" w:cs="Arial"/>
          <w:i/>
          <w:iCs/>
          <w:sz w:val="20"/>
          <w:szCs w:val="20"/>
        </w:rPr>
        <w:t>a</w:t>
      </w:r>
      <w:r>
        <w:rPr>
          <w:rFonts w:ascii="Arial" w:eastAsia="Arial" w:hAnsi="Arial" w:cs="Arial"/>
          <w:sz w:val="20"/>
          <w:szCs w:val="20"/>
        </w:rPr>
        <w:t xml:space="preserve"> and chlorophyll </w:t>
      </w:r>
      <w:r>
        <w:rPr>
          <w:rFonts w:ascii="Arial" w:eastAsia="Arial" w:hAnsi="Arial" w:cs="Arial"/>
          <w:i/>
          <w:iCs/>
          <w:sz w:val="20"/>
          <w:szCs w:val="20"/>
        </w:rPr>
        <w:t>b</w:t>
      </w:r>
      <w:r>
        <w:rPr>
          <w:rFonts w:ascii="Arial" w:eastAsia="Arial" w:hAnsi="Arial" w:cs="Arial"/>
          <w:sz w:val="20"/>
          <w:szCs w:val="20"/>
        </w:rPr>
        <w:t>) under different treatment conditions of 1 µM AZD, 100 mM glucose and 100 mM glucose + 1 µM AZD after 96 h normalized to cell number (fmol/cell) and biomass (nmol/mm</w:t>
      </w:r>
      <w:r>
        <w:rPr>
          <w:rFonts w:ascii="Arial" w:eastAsia="Arial" w:hAnsi="Arial" w:cs="Arial"/>
          <w:sz w:val="20"/>
          <w:szCs w:val="20"/>
          <w:vertAlign w:val="superscript"/>
        </w:rPr>
        <w:t>3</w:t>
      </w:r>
      <w:r>
        <w:rPr>
          <w:rFonts w:ascii="Arial" w:eastAsia="Arial" w:hAnsi="Arial" w:cs="Arial"/>
          <w:sz w:val="20"/>
          <w:szCs w:val="20"/>
        </w:rPr>
        <w:t xml:space="preserve">). Data represent means ± SD; </w:t>
      </w:r>
      <w:r>
        <w:rPr>
          <w:rFonts w:ascii="Arial" w:eastAsia="Arial" w:hAnsi="Arial" w:cs="Arial"/>
          <w:i/>
          <w:iCs/>
          <w:sz w:val="20"/>
          <w:szCs w:val="20"/>
        </w:rPr>
        <w:t>n</w:t>
      </w:r>
      <w:r>
        <w:rPr>
          <w:rFonts w:ascii="Arial" w:eastAsia="Arial" w:hAnsi="Arial" w:cs="Arial"/>
          <w:sz w:val="20"/>
          <w:szCs w:val="20"/>
        </w:rPr>
        <w:t xml:space="preserve"> = 3 biological replicates. (c) Representative HPLC chromatograms from 2 mL of culture under treatments in (b). Peaks represent: vio, </w:t>
      </w:r>
      <w:r>
        <w:rPr>
          <w:rFonts w:ascii="Arial" w:eastAsia="Arial" w:hAnsi="Arial" w:cs="Arial"/>
          <w:sz w:val="20"/>
          <w:szCs w:val="20"/>
        </w:rPr>
        <w:lastRenderedPageBreak/>
        <w:t xml:space="preserve">violaxanthin; , neoxanthin; </w:t>
      </w:r>
      <w:proofErr w:type="spellStart"/>
      <w:r>
        <w:rPr>
          <w:rFonts w:ascii="Arial" w:eastAsia="Arial" w:hAnsi="Arial" w:cs="Arial"/>
          <w:sz w:val="20"/>
          <w:szCs w:val="20"/>
        </w:rPr>
        <w:t>anth</w:t>
      </w:r>
      <w:proofErr w:type="spellEnd"/>
      <w:r>
        <w:rPr>
          <w:rFonts w:ascii="Arial" w:eastAsia="Arial" w:hAnsi="Arial" w:cs="Arial"/>
          <w:sz w:val="20"/>
          <w:szCs w:val="20"/>
        </w:rPr>
        <w:t xml:space="preserve">, antheraxanthin; chl </w:t>
      </w:r>
      <w:r>
        <w:rPr>
          <w:rFonts w:ascii="Arial" w:eastAsia="Arial" w:hAnsi="Arial" w:cs="Arial"/>
          <w:i/>
          <w:iCs/>
          <w:sz w:val="20"/>
          <w:szCs w:val="20"/>
        </w:rPr>
        <w:t>b</w:t>
      </w:r>
      <w:r>
        <w:rPr>
          <w:rFonts w:ascii="Arial" w:eastAsia="Arial" w:hAnsi="Arial" w:cs="Arial"/>
          <w:sz w:val="20"/>
          <w:szCs w:val="20"/>
        </w:rPr>
        <w:t xml:space="preserve">, chlorophyll </w:t>
      </w:r>
      <w:r>
        <w:rPr>
          <w:rFonts w:ascii="Arial" w:eastAsia="Arial" w:hAnsi="Arial" w:cs="Arial"/>
          <w:i/>
          <w:iCs/>
          <w:sz w:val="20"/>
          <w:szCs w:val="20"/>
        </w:rPr>
        <w:t>b</w:t>
      </w:r>
      <w:r>
        <w:rPr>
          <w:rFonts w:ascii="Arial" w:eastAsia="Arial" w:hAnsi="Arial" w:cs="Arial"/>
          <w:sz w:val="20"/>
          <w:szCs w:val="20"/>
        </w:rPr>
        <w:t xml:space="preserve">; lut, lutein; zea, zeaxanthin; chl </w:t>
      </w:r>
      <w:r>
        <w:rPr>
          <w:rFonts w:ascii="Arial" w:eastAsia="Arial" w:hAnsi="Arial" w:cs="Arial"/>
          <w:i/>
          <w:iCs/>
          <w:sz w:val="20"/>
          <w:szCs w:val="20"/>
        </w:rPr>
        <w:t>a</w:t>
      </w:r>
      <w:r>
        <w:rPr>
          <w:rFonts w:ascii="Arial" w:eastAsia="Arial" w:hAnsi="Arial" w:cs="Arial"/>
          <w:sz w:val="20"/>
          <w:szCs w:val="20"/>
        </w:rPr>
        <w:t xml:space="preserve">, chlorophyll </w:t>
      </w:r>
      <w:r>
        <w:rPr>
          <w:rFonts w:ascii="Arial" w:eastAsia="Arial" w:hAnsi="Arial" w:cs="Arial"/>
          <w:i/>
          <w:iCs/>
          <w:sz w:val="20"/>
          <w:szCs w:val="20"/>
        </w:rPr>
        <w:t>a</w:t>
      </w:r>
      <w:r>
        <w:rPr>
          <w:rFonts w:ascii="Arial" w:eastAsia="Arial" w:hAnsi="Arial" w:cs="Arial"/>
          <w:sz w:val="20"/>
          <w:szCs w:val="20"/>
        </w:rPr>
        <w:t xml:space="preserve">; β-car, β-carotene; free Ast, free astaxanthin; Ast, esterified astaxanthin (d) Pigments are normalized to total biomass. Data represent means ± SD; </w:t>
      </w:r>
      <w:r>
        <w:rPr>
          <w:rFonts w:ascii="Arial" w:eastAsia="Arial" w:hAnsi="Arial" w:cs="Arial"/>
          <w:i/>
          <w:iCs/>
          <w:sz w:val="20"/>
          <w:szCs w:val="20"/>
        </w:rPr>
        <w:t>n</w:t>
      </w:r>
      <w:r>
        <w:rPr>
          <w:rFonts w:ascii="Arial" w:eastAsia="Arial" w:hAnsi="Arial" w:cs="Arial"/>
          <w:sz w:val="20"/>
          <w:szCs w:val="20"/>
        </w:rPr>
        <w:t xml:space="preserve"> = 3 biological replicates. (e) Time course of culture biomass. Data represent means; </w:t>
      </w:r>
      <w:r>
        <w:rPr>
          <w:rFonts w:ascii="Arial" w:eastAsia="Arial" w:hAnsi="Arial" w:cs="Arial"/>
          <w:i/>
          <w:iCs/>
          <w:sz w:val="20"/>
          <w:szCs w:val="20"/>
        </w:rPr>
        <w:t>n</w:t>
      </w:r>
      <w:r>
        <w:rPr>
          <w:rFonts w:ascii="Arial" w:eastAsia="Arial" w:hAnsi="Arial" w:cs="Arial"/>
          <w:sz w:val="20"/>
          <w:szCs w:val="20"/>
        </w:rPr>
        <w:t xml:space="preserve"> = 3-4 biological replicates. Cell density shown in Fig. 1B. (f) The multiomics experimental design includes the following treatments: control, 1 µM AZD, 15 mM glucose, 15 mM glucose + 1 µM AZD, and 15 mM sorbitol (as osmotic control). Samples were collected at 1 h and 24 h.</w:t>
      </w:r>
    </w:p>
    <w:p w14:paraId="31CF6010" w14:textId="77777777" w:rsidR="0041404E" w:rsidRDefault="0041404E">
      <w:pPr>
        <w:spacing w:after="0" w:line="276" w:lineRule="auto"/>
        <w:jc w:val="both"/>
        <w:rPr>
          <w:rFonts w:ascii="Arial" w:eastAsia="Arial" w:hAnsi="Arial" w:cs="Arial"/>
          <w:sz w:val="20"/>
          <w:szCs w:val="20"/>
        </w:rPr>
      </w:pPr>
    </w:p>
    <w:p w14:paraId="7BA5110A" w14:textId="77777777" w:rsidR="0041404E" w:rsidRDefault="0041404E">
      <w:pPr>
        <w:spacing w:after="0" w:line="276" w:lineRule="auto"/>
        <w:jc w:val="both"/>
        <w:rPr>
          <w:rFonts w:ascii="Arial" w:eastAsia="Arial" w:hAnsi="Arial" w:cs="Arial"/>
          <w:sz w:val="20"/>
          <w:szCs w:val="20"/>
        </w:rPr>
      </w:pPr>
    </w:p>
    <w:p w14:paraId="068B9490" w14:textId="77777777" w:rsidR="0041404E" w:rsidRDefault="00000000">
      <w:pPr>
        <w:spacing w:after="0" w:line="276" w:lineRule="auto"/>
        <w:rPr>
          <w:rFonts w:ascii="Arial" w:eastAsia="Arial" w:hAnsi="Arial" w:cs="Arial"/>
          <w:sz w:val="22"/>
          <w:szCs w:val="22"/>
        </w:rPr>
      </w:pPr>
      <w:r>
        <w:br w:type="page"/>
      </w:r>
    </w:p>
    <w:p w14:paraId="33CF0964" w14:textId="77777777" w:rsidR="0041404E" w:rsidRDefault="0041404E">
      <w:pPr>
        <w:spacing w:after="0" w:line="276" w:lineRule="auto"/>
        <w:rPr>
          <w:rFonts w:ascii="Arial" w:eastAsia="Arial" w:hAnsi="Arial" w:cs="Arial"/>
          <w:sz w:val="22"/>
          <w:szCs w:val="22"/>
        </w:rPr>
      </w:pPr>
    </w:p>
    <w:p w14:paraId="28A81A32" w14:textId="77777777" w:rsidR="0041404E" w:rsidRDefault="00000000">
      <w:pPr>
        <w:spacing w:after="0" w:line="276" w:lineRule="auto"/>
        <w:rPr>
          <w:rFonts w:ascii="Arial" w:eastAsia="Arial" w:hAnsi="Arial" w:cs="Arial"/>
          <w:sz w:val="22"/>
          <w:szCs w:val="22"/>
        </w:rPr>
      </w:pPr>
      <w:r>
        <w:rPr>
          <w:rFonts w:ascii="Arial" w:eastAsia="Arial" w:hAnsi="Arial" w:cs="Arial"/>
          <w:noProof/>
          <w:sz w:val="22"/>
          <w:szCs w:val="22"/>
        </w:rPr>
        <w:drawing>
          <wp:inline distT="114300" distB="114300" distL="114300" distR="114300" wp14:anchorId="29B77D41" wp14:editId="7F4CE10E">
            <wp:extent cx="5943600" cy="6515100"/>
            <wp:effectExtent l="0" t="0" r="0" b="0"/>
            <wp:docPr id="1"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8"/>
                    <a:srcRect/>
                    <a:stretch>
                      <a:fillRect/>
                    </a:stretch>
                  </pic:blipFill>
                  <pic:spPr>
                    <a:xfrm>
                      <a:off x="0" y="0"/>
                      <a:ext cx="5943600" cy="6515100"/>
                    </a:xfrm>
                    <a:prstGeom prst="rect">
                      <a:avLst/>
                    </a:prstGeom>
                    <a:ln/>
                  </pic:spPr>
                </pic:pic>
              </a:graphicData>
            </a:graphic>
          </wp:inline>
        </w:drawing>
      </w:r>
    </w:p>
    <w:p w14:paraId="5401B3F9" w14:textId="77777777" w:rsidR="0041404E" w:rsidRDefault="0041404E">
      <w:pPr>
        <w:spacing w:after="0" w:line="276" w:lineRule="auto"/>
        <w:jc w:val="both"/>
        <w:rPr>
          <w:rFonts w:ascii="Arial" w:eastAsia="Arial" w:hAnsi="Arial" w:cs="Arial"/>
          <w:b/>
          <w:bCs/>
          <w:sz w:val="20"/>
          <w:szCs w:val="20"/>
        </w:rPr>
      </w:pPr>
    </w:p>
    <w:p w14:paraId="6062400E" w14:textId="77777777" w:rsidR="0041404E" w:rsidRDefault="00000000">
      <w:pPr>
        <w:spacing w:after="0" w:line="276" w:lineRule="auto"/>
        <w:jc w:val="both"/>
        <w:rPr>
          <w:rFonts w:ascii="Arial" w:eastAsia="Arial" w:hAnsi="Arial" w:cs="Arial"/>
          <w:sz w:val="20"/>
          <w:szCs w:val="20"/>
        </w:rPr>
      </w:pPr>
      <w:r>
        <w:rPr>
          <w:rFonts w:ascii="Arial" w:eastAsia="Arial" w:hAnsi="Arial" w:cs="Arial"/>
          <w:b/>
          <w:bCs/>
          <w:sz w:val="20"/>
          <w:szCs w:val="20"/>
        </w:rPr>
        <w:t>Supplementary Fig. 2.</w:t>
      </w:r>
      <w:r>
        <w:rPr>
          <w:rFonts w:ascii="Arial" w:eastAsia="Arial" w:hAnsi="Arial" w:cs="Arial"/>
          <w:sz w:val="20"/>
          <w:szCs w:val="20"/>
        </w:rPr>
        <w:t xml:space="preserve"> </w:t>
      </w:r>
      <w:r>
        <w:rPr>
          <w:rFonts w:ascii="Arial" w:eastAsia="Arial" w:hAnsi="Arial" w:cs="Arial"/>
          <w:i/>
          <w:iCs/>
          <w:sz w:val="20"/>
          <w:szCs w:val="20"/>
        </w:rPr>
        <w:t xml:space="preserve">C. zofingiensis </w:t>
      </w:r>
      <w:r>
        <w:rPr>
          <w:rFonts w:ascii="Arial" w:eastAsia="Arial" w:hAnsi="Arial" w:cs="Arial"/>
          <w:sz w:val="20"/>
          <w:szCs w:val="20"/>
        </w:rPr>
        <w:t>benchmark set of TOR targets</w:t>
      </w:r>
      <w:r>
        <w:rPr>
          <w:rFonts w:ascii="Arial" w:eastAsia="Arial" w:hAnsi="Arial" w:cs="Arial"/>
          <w:i/>
          <w:iCs/>
          <w:sz w:val="20"/>
          <w:szCs w:val="20"/>
        </w:rPr>
        <w:t xml:space="preserve">. </w:t>
      </w:r>
      <w:r>
        <w:rPr>
          <w:rFonts w:ascii="Arial" w:eastAsia="Arial" w:hAnsi="Arial" w:cs="Arial"/>
          <w:sz w:val="20"/>
          <w:szCs w:val="20"/>
        </w:rPr>
        <w:t>(a) Conservation of the detected phosphosite in four species for conserved targets. Red amino acid indicates phosphorylation detected at that site. (b) Log</w:t>
      </w:r>
      <w:r>
        <w:rPr>
          <w:rFonts w:ascii="Arial" w:eastAsia="Arial" w:hAnsi="Arial" w:cs="Arial"/>
          <w:sz w:val="20"/>
          <w:szCs w:val="20"/>
          <w:vertAlign w:val="subscript"/>
        </w:rPr>
        <w:t>2</w:t>
      </w:r>
      <w:r>
        <w:rPr>
          <w:rFonts w:ascii="Arial" w:eastAsia="Arial" w:hAnsi="Arial" w:cs="Arial"/>
          <w:sz w:val="20"/>
          <w:szCs w:val="20"/>
        </w:rPr>
        <w:t xml:space="preserve"> intensities of phosphosites for conserved TOR targets RAPTOR, E2F3, EIF4G, YAK1, and S6K during TOR inhibition by 1 µM AZD treatment, 15 mM glucose addition, combined 15 mM glucose + 1 µM AZD treatment and sorbitol for WT. Data represent means</w:t>
      </w:r>
      <w:r>
        <w:rPr>
          <w:rFonts w:ascii="Arial" w:eastAsia="Arial" w:hAnsi="Arial" w:cs="Arial"/>
          <w:sz w:val="22"/>
          <w:szCs w:val="22"/>
        </w:rPr>
        <w:t xml:space="preserve"> </w:t>
      </w:r>
      <w:r>
        <w:rPr>
          <w:rFonts w:ascii="Arial" w:eastAsia="Arial" w:hAnsi="Arial" w:cs="Arial"/>
          <w:sz w:val="20"/>
          <w:szCs w:val="20"/>
        </w:rPr>
        <w:t xml:space="preserve">± SD; </w:t>
      </w:r>
      <w:r>
        <w:rPr>
          <w:rFonts w:ascii="Arial" w:eastAsia="Arial" w:hAnsi="Arial" w:cs="Arial"/>
          <w:i/>
          <w:iCs/>
          <w:sz w:val="20"/>
          <w:szCs w:val="20"/>
        </w:rPr>
        <w:t>n</w:t>
      </w:r>
      <w:r>
        <w:rPr>
          <w:rFonts w:ascii="Arial" w:eastAsia="Arial" w:hAnsi="Arial" w:cs="Arial"/>
          <w:sz w:val="20"/>
          <w:szCs w:val="20"/>
        </w:rPr>
        <w:t xml:space="preserve"> = 2-4 biological replicates. See Fig. 2B for phosphosites with significant changes in ATG13, EIF4G, and LARP1. </w:t>
      </w:r>
    </w:p>
    <w:p w14:paraId="344048CE" w14:textId="77777777" w:rsidR="0041404E" w:rsidRDefault="00000000">
      <w:pPr>
        <w:spacing w:after="0" w:line="276" w:lineRule="auto"/>
        <w:jc w:val="both"/>
        <w:rPr>
          <w:rFonts w:ascii="Arial" w:eastAsia="Arial" w:hAnsi="Arial" w:cs="Arial"/>
          <w:sz w:val="20"/>
          <w:szCs w:val="20"/>
        </w:rPr>
      </w:pPr>
      <w:r>
        <w:br w:type="page"/>
      </w:r>
    </w:p>
    <w:p w14:paraId="2135DA02" w14:textId="77777777" w:rsidR="0041404E" w:rsidRDefault="00000000">
      <w:pPr>
        <w:spacing w:after="0" w:line="276" w:lineRule="auto"/>
        <w:jc w:val="both"/>
        <w:rPr>
          <w:rFonts w:ascii="Arial" w:eastAsia="Arial" w:hAnsi="Arial" w:cs="Arial"/>
          <w:sz w:val="20"/>
          <w:szCs w:val="20"/>
        </w:rPr>
      </w:pPr>
      <w:r>
        <w:rPr>
          <w:rFonts w:ascii="Arial" w:eastAsia="Arial" w:hAnsi="Arial" w:cs="Arial"/>
          <w:noProof/>
          <w:sz w:val="20"/>
          <w:szCs w:val="20"/>
        </w:rPr>
        <w:lastRenderedPageBreak/>
        <w:drawing>
          <wp:inline distT="114300" distB="114300" distL="114300" distR="114300" wp14:anchorId="4362CA00" wp14:editId="3FEC3BD7">
            <wp:extent cx="5943600" cy="5848350"/>
            <wp:effectExtent l="0" t="0" r="0" b="0"/>
            <wp:docPr id="1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t="3912"/>
                    <a:stretch>
                      <a:fillRect/>
                    </a:stretch>
                  </pic:blipFill>
                  <pic:spPr>
                    <a:xfrm>
                      <a:off x="0" y="0"/>
                      <a:ext cx="5943600" cy="5848350"/>
                    </a:xfrm>
                    <a:prstGeom prst="rect">
                      <a:avLst/>
                    </a:prstGeom>
                    <a:ln/>
                  </pic:spPr>
                </pic:pic>
              </a:graphicData>
            </a:graphic>
          </wp:inline>
        </w:drawing>
      </w:r>
    </w:p>
    <w:p w14:paraId="29F94A08" w14:textId="77777777" w:rsidR="0041404E" w:rsidRDefault="00000000">
      <w:pPr>
        <w:spacing w:after="0" w:line="276" w:lineRule="auto"/>
        <w:jc w:val="both"/>
        <w:rPr>
          <w:rFonts w:ascii="Arial" w:eastAsia="Arial" w:hAnsi="Arial" w:cs="Arial"/>
          <w:sz w:val="20"/>
          <w:szCs w:val="20"/>
        </w:rPr>
      </w:pPr>
      <w:r>
        <w:rPr>
          <w:rFonts w:ascii="Arial" w:eastAsia="Arial" w:hAnsi="Arial" w:cs="Arial"/>
          <w:sz w:val="20"/>
          <w:szCs w:val="20"/>
        </w:rPr>
        <w:t xml:space="preserve"> </w:t>
      </w:r>
    </w:p>
    <w:p w14:paraId="5B99DD6F" w14:textId="77777777" w:rsidR="0041404E" w:rsidRDefault="00000000">
      <w:pPr>
        <w:spacing w:after="0" w:line="276" w:lineRule="auto"/>
        <w:jc w:val="both"/>
        <w:rPr>
          <w:rFonts w:ascii="Arial" w:eastAsia="Arial" w:hAnsi="Arial" w:cs="Arial"/>
          <w:sz w:val="20"/>
          <w:szCs w:val="20"/>
        </w:rPr>
      </w:pPr>
      <w:r>
        <w:rPr>
          <w:rFonts w:ascii="Arial" w:eastAsia="Arial" w:hAnsi="Arial" w:cs="Arial"/>
          <w:b/>
          <w:bCs/>
          <w:sz w:val="20"/>
          <w:szCs w:val="20"/>
        </w:rPr>
        <w:t>Supplementary Fig. 3.</w:t>
      </w:r>
      <w:r>
        <w:rPr>
          <w:rFonts w:ascii="Arial" w:eastAsia="Arial" w:hAnsi="Arial" w:cs="Arial"/>
          <w:sz w:val="20"/>
          <w:szCs w:val="20"/>
        </w:rPr>
        <w:t xml:space="preserve"> </w:t>
      </w:r>
      <w:r>
        <w:rPr>
          <w:rFonts w:ascii="Arial" w:eastAsia="Arial" w:hAnsi="Arial" w:cs="Arial"/>
          <w:i/>
          <w:iCs/>
          <w:sz w:val="20"/>
          <w:szCs w:val="20"/>
        </w:rPr>
        <w:t>hxk1-1</w:t>
      </w:r>
      <w:r>
        <w:rPr>
          <w:rFonts w:ascii="Arial" w:eastAsia="Arial" w:hAnsi="Arial" w:cs="Arial"/>
          <w:sz w:val="20"/>
          <w:szCs w:val="20"/>
        </w:rPr>
        <w:t xml:space="preserve"> benchmark set of TOR targets</w:t>
      </w:r>
      <w:r>
        <w:rPr>
          <w:rFonts w:ascii="Arial" w:eastAsia="Arial" w:hAnsi="Arial" w:cs="Arial"/>
          <w:i/>
          <w:iCs/>
          <w:sz w:val="20"/>
          <w:szCs w:val="20"/>
        </w:rPr>
        <w:t xml:space="preserve">. </w:t>
      </w:r>
      <w:r>
        <w:rPr>
          <w:rFonts w:ascii="Arial" w:eastAsia="Arial" w:hAnsi="Arial" w:cs="Arial"/>
          <w:sz w:val="20"/>
          <w:szCs w:val="20"/>
        </w:rPr>
        <w:t>Log</w:t>
      </w:r>
      <w:r>
        <w:rPr>
          <w:rFonts w:ascii="Arial" w:eastAsia="Arial" w:hAnsi="Arial" w:cs="Arial"/>
          <w:sz w:val="20"/>
          <w:szCs w:val="20"/>
          <w:vertAlign w:val="subscript"/>
        </w:rPr>
        <w:t>2</w:t>
      </w:r>
      <w:r>
        <w:rPr>
          <w:rFonts w:ascii="Arial" w:eastAsia="Arial" w:hAnsi="Arial" w:cs="Arial"/>
          <w:sz w:val="20"/>
          <w:szCs w:val="20"/>
        </w:rPr>
        <w:t xml:space="preserve"> intensities of phosphosites for conserved TOR targets RAPTOR, E2F3, EIF4G, YAK1, and S6K during TOR inhibition by 1 µM AZD treatment, 15 mM glucose addition, combined 15 mM glucose + 1 µM AZD treatment and sorbitol for </w:t>
      </w:r>
      <w:r>
        <w:rPr>
          <w:rFonts w:ascii="Arial" w:eastAsia="Arial" w:hAnsi="Arial" w:cs="Arial"/>
          <w:i/>
          <w:iCs/>
          <w:sz w:val="20"/>
          <w:szCs w:val="20"/>
        </w:rPr>
        <w:t>hxk1-1</w:t>
      </w:r>
      <w:r>
        <w:rPr>
          <w:rFonts w:ascii="Arial" w:eastAsia="Arial" w:hAnsi="Arial" w:cs="Arial"/>
          <w:sz w:val="20"/>
          <w:szCs w:val="20"/>
        </w:rPr>
        <w:t>. Data represent means</w:t>
      </w:r>
      <w:r>
        <w:rPr>
          <w:rFonts w:ascii="Arial" w:eastAsia="Arial" w:hAnsi="Arial" w:cs="Arial"/>
          <w:sz w:val="22"/>
          <w:szCs w:val="22"/>
        </w:rPr>
        <w:t xml:space="preserve"> </w:t>
      </w:r>
      <w:r>
        <w:rPr>
          <w:rFonts w:ascii="Arial" w:eastAsia="Arial" w:hAnsi="Arial" w:cs="Arial"/>
          <w:sz w:val="20"/>
          <w:szCs w:val="20"/>
        </w:rPr>
        <w:t xml:space="preserve">± SD; </w:t>
      </w:r>
      <w:r>
        <w:rPr>
          <w:rFonts w:ascii="Arial" w:eastAsia="Arial" w:hAnsi="Arial" w:cs="Arial"/>
          <w:i/>
          <w:iCs/>
          <w:sz w:val="20"/>
          <w:szCs w:val="20"/>
        </w:rPr>
        <w:t>n</w:t>
      </w:r>
      <w:r>
        <w:rPr>
          <w:rFonts w:ascii="Arial" w:eastAsia="Arial" w:hAnsi="Arial" w:cs="Arial"/>
          <w:sz w:val="20"/>
          <w:szCs w:val="20"/>
        </w:rPr>
        <w:t xml:space="preserve"> = 2-4 biological replicates; DNFC; Did Not Pass Filtering Criteria; **</w:t>
      </w:r>
      <w:r>
        <w:rPr>
          <w:rFonts w:ascii="Arial Unicode MS" w:eastAsia="Arial Unicode MS" w:hAnsi="Arial Unicode MS" w:cs="Arial Unicode MS"/>
          <w:i/>
          <w:iCs/>
          <w:sz w:val="20"/>
          <w:szCs w:val="20"/>
        </w:rPr>
        <w:t>P ≤</w:t>
      </w:r>
      <w:r>
        <w:rPr>
          <w:rFonts w:ascii="Arial" w:eastAsia="Arial" w:hAnsi="Arial" w:cs="Arial"/>
          <w:sz w:val="20"/>
          <w:szCs w:val="20"/>
        </w:rPr>
        <w:t xml:space="preserve"> 0.01 (moderated </w:t>
      </w:r>
      <w:r>
        <w:rPr>
          <w:rFonts w:ascii="Arial" w:eastAsia="Arial" w:hAnsi="Arial" w:cs="Arial"/>
          <w:i/>
          <w:iCs/>
          <w:sz w:val="20"/>
          <w:szCs w:val="20"/>
        </w:rPr>
        <w:t>t</w:t>
      </w:r>
      <w:r>
        <w:rPr>
          <w:rFonts w:ascii="Arial" w:eastAsia="Arial" w:hAnsi="Arial" w:cs="Arial"/>
          <w:sz w:val="20"/>
          <w:szCs w:val="20"/>
        </w:rPr>
        <w:t xml:space="preserve">-statistics).  See Fig. 2B for phosphosites with significant changes in ATG13, EIF4G, and LARP1. </w:t>
      </w:r>
    </w:p>
    <w:p w14:paraId="38D0E4EF" w14:textId="77777777" w:rsidR="0041404E" w:rsidRDefault="0041404E">
      <w:pPr>
        <w:spacing w:after="0" w:line="276" w:lineRule="auto"/>
        <w:rPr>
          <w:rFonts w:ascii="Arial" w:eastAsia="Arial" w:hAnsi="Arial" w:cs="Arial"/>
          <w:sz w:val="22"/>
          <w:szCs w:val="22"/>
        </w:rPr>
      </w:pPr>
    </w:p>
    <w:p w14:paraId="40EB7719" w14:textId="77777777" w:rsidR="0041404E" w:rsidRDefault="0041404E">
      <w:pPr>
        <w:spacing w:after="0" w:line="276" w:lineRule="auto"/>
        <w:rPr>
          <w:rFonts w:ascii="Arial" w:eastAsia="Arial" w:hAnsi="Arial" w:cs="Arial"/>
          <w:sz w:val="22"/>
          <w:szCs w:val="22"/>
        </w:rPr>
      </w:pPr>
    </w:p>
    <w:p w14:paraId="2444BE7E" w14:textId="77777777" w:rsidR="0041404E" w:rsidRDefault="0041404E">
      <w:pPr>
        <w:spacing w:after="0" w:line="276" w:lineRule="auto"/>
        <w:rPr>
          <w:rFonts w:ascii="Arial" w:eastAsia="Arial" w:hAnsi="Arial" w:cs="Arial"/>
          <w:sz w:val="22"/>
          <w:szCs w:val="22"/>
        </w:rPr>
      </w:pPr>
    </w:p>
    <w:p w14:paraId="7C4CBB64" w14:textId="77777777" w:rsidR="0041404E" w:rsidRDefault="0041404E">
      <w:pPr>
        <w:spacing w:after="0" w:line="276" w:lineRule="auto"/>
        <w:rPr>
          <w:rFonts w:ascii="Arial" w:eastAsia="Arial" w:hAnsi="Arial" w:cs="Arial"/>
          <w:sz w:val="22"/>
          <w:szCs w:val="22"/>
        </w:rPr>
      </w:pPr>
    </w:p>
    <w:p w14:paraId="26BDE071" w14:textId="77777777" w:rsidR="0041404E" w:rsidRDefault="0041404E">
      <w:pPr>
        <w:spacing w:after="0" w:line="276" w:lineRule="auto"/>
        <w:rPr>
          <w:rFonts w:ascii="Arial" w:eastAsia="Arial" w:hAnsi="Arial" w:cs="Arial"/>
          <w:sz w:val="22"/>
          <w:szCs w:val="22"/>
        </w:rPr>
      </w:pPr>
    </w:p>
    <w:p w14:paraId="5D58254B" w14:textId="77777777" w:rsidR="0041404E" w:rsidRDefault="0041404E">
      <w:pPr>
        <w:spacing w:after="0" w:line="276" w:lineRule="auto"/>
        <w:rPr>
          <w:rFonts w:ascii="Arial" w:eastAsia="Arial" w:hAnsi="Arial" w:cs="Arial"/>
          <w:sz w:val="22"/>
          <w:szCs w:val="22"/>
        </w:rPr>
      </w:pPr>
    </w:p>
    <w:p w14:paraId="199B8AB6" w14:textId="77777777" w:rsidR="0041404E" w:rsidRDefault="0041404E">
      <w:pPr>
        <w:spacing w:after="0" w:line="276" w:lineRule="auto"/>
        <w:rPr>
          <w:rFonts w:ascii="Arial" w:eastAsia="Arial" w:hAnsi="Arial" w:cs="Arial"/>
          <w:sz w:val="22"/>
          <w:szCs w:val="22"/>
        </w:rPr>
      </w:pPr>
    </w:p>
    <w:p w14:paraId="7F252122" w14:textId="77777777" w:rsidR="0041404E" w:rsidRDefault="00000000">
      <w:pPr>
        <w:spacing w:after="0" w:line="276" w:lineRule="auto"/>
        <w:rPr>
          <w:rFonts w:ascii="Arial" w:eastAsia="Arial" w:hAnsi="Arial" w:cs="Arial"/>
          <w:sz w:val="22"/>
          <w:szCs w:val="22"/>
        </w:rPr>
      </w:pPr>
      <w:r>
        <w:rPr>
          <w:noProof/>
        </w:rPr>
        <w:drawing>
          <wp:anchor distT="114300" distB="114300" distL="114300" distR="114300" simplePos="0" relativeHeight="251659264" behindDoc="0" locked="0" layoutInCell="1" hidden="0" allowOverlap="1" wp14:anchorId="64C078C6" wp14:editId="46E643AF">
            <wp:simplePos x="0" y="0"/>
            <wp:positionH relativeFrom="column">
              <wp:posOffset>19051</wp:posOffset>
            </wp:positionH>
            <wp:positionV relativeFrom="paragraph">
              <wp:posOffset>120062</wp:posOffset>
            </wp:positionV>
            <wp:extent cx="4105275" cy="4733925"/>
            <wp:effectExtent l="0" t="0" r="0" b="0"/>
            <wp:wrapSquare wrapText="bothSides" distT="114300" distB="114300" distL="114300" distR="114300"/>
            <wp:docPr id="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t="3868"/>
                    <a:stretch>
                      <a:fillRect/>
                    </a:stretch>
                  </pic:blipFill>
                  <pic:spPr>
                    <a:xfrm>
                      <a:off x="0" y="0"/>
                      <a:ext cx="4105275" cy="4733925"/>
                    </a:xfrm>
                    <a:prstGeom prst="rect">
                      <a:avLst/>
                    </a:prstGeom>
                    <a:ln/>
                  </pic:spPr>
                </pic:pic>
              </a:graphicData>
            </a:graphic>
          </wp:anchor>
        </w:drawing>
      </w:r>
    </w:p>
    <w:p w14:paraId="4E751E52" w14:textId="77777777" w:rsidR="0041404E" w:rsidRDefault="0041404E">
      <w:pPr>
        <w:spacing w:after="0" w:line="276" w:lineRule="auto"/>
        <w:rPr>
          <w:rFonts w:ascii="Arial" w:eastAsia="Arial" w:hAnsi="Arial" w:cs="Arial"/>
          <w:sz w:val="22"/>
          <w:szCs w:val="22"/>
        </w:rPr>
      </w:pPr>
    </w:p>
    <w:p w14:paraId="7E190B20" w14:textId="77777777" w:rsidR="0041404E" w:rsidRDefault="0041404E">
      <w:pPr>
        <w:spacing w:after="0" w:line="276" w:lineRule="auto"/>
        <w:rPr>
          <w:rFonts w:ascii="Arial" w:eastAsia="Arial" w:hAnsi="Arial" w:cs="Arial"/>
          <w:sz w:val="22"/>
          <w:szCs w:val="22"/>
        </w:rPr>
      </w:pPr>
    </w:p>
    <w:p w14:paraId="21CCB493" w14:textId="77777777" w:rsidR="0041404E" w:rsidRDefault="0041404E">
      <w:pPr>
        <w:spacing w:after="0" w:line="276" w:lineRule="auto"/>
        <w:rPr>
          <w:rFonts w:ascii="Arial" w:eastAsia="Arial" w:hAnsi="Arial" w:cs="Arial"/>
          <w:sz w:val="22"/>
          <w:szCs w:val="22"/>
        </w:rPr>
      </w:pPr>
    </w:p>
    <w:p w14:paraId="45383F19" w14:textId="77777777" w:rsidR="0041404E" w:rsidRDefault="0041404E">
      <w:pPr>
        <w:spacing w:after="0" w:line="276" w:lineRule="auto"/>
        <w:rPr>
          <w:rFonts w:ascii="Arial" w:eastAsia="Arial" w:hAnsi="Arial" w:cs="Arial"/>
          <w:sz w:val="22"/>
          <w:szCs w:val="22"/>
        </w:rPr>
      </w:pPr>
    </w:p>
    <w:p w14:paraId="19D977CD" w14:textId="77777777" w:rsidR="0041404E" w:rsidRDefault="0041404E">
      <w:pPr>
        <w:spacing w:after="0" w:line="276" w:lineRule="auto"/>
        <w:rPr>
          <w:rFonts w:ascii="Arial" w:eastAsia="Arial" w:hAnsi="Arial" w:cs="Arial"/>
          <w:sz w:val="22"/>
          <w:szCs w:val="22"/>
        </w:rPr>
      </w:pPr>
    </w:p>
    <w:p w14:paraId="46D5C585" w14:textId="77777777" w:rsidR="0041404E" w:rsidRDefault="0041404E">
      <w:pPr>
        <w:spacing w:after="0" w:line="276" w:lineRule="auto"/>
        <w:rPr>
          <w:rFonts w:ascii="Arial" w:eastAsia="Arial" w:hAnsi="Arial" w:cs="Arial"/>
          <w:sz w:val="22"/>
          <w:szCs w:val="22"/>
        </w:rPr>
      </w:pPr>
    </w:p>
    <w:p w14:paraId="12075530" w14:textId="77777777" w:rsidR="0041404E" w:rsidRDefault="0041404E">
      <w:pPr>
        <w:spacing w:after="0" w:line="276" w:lineRule="auto"/>
        <w:rPr>
          <w:rFonts w:ascii="Arial" w:eastAsia="Arial" w:hAnsi="Arial" w:cs="Arial"/>
          <w:sz w:val="22"/>
          <w:szCs w:val="22"/>
        </w:rPr>
      </w:pPr>
    </w:p>
    <w:p w14:paraId="3E5BCC0F" w14:textId="77777777" w:rsidR="0041404E" w:rsidRDefault="0041404E">
      <w:pPr>
        <w:spacing w:after="0" w:line="276" w:lineRule="auto"/>
        <w:rPr>
          <w:rFonts w:ascii="Arial" w:eastAsia="Arial" w:hAnsi="Arial" w:cs="Arial"/>
          <w:sz w:val="22"/>
          <w:szCs w:val="22"/>
        </w:rPr>
      </w:pPr>
    </w:p>
    <w:p w14:paraId="62B02913" w14:textId="77777777" w:rsidR="0041404E" w:rsidRDefault="0041404E">
      <w:pPr>
        <w:spacing w:after="0" w:line="276" w:lineRule="auto"/>
        <w:rPr>
          <w:rFonts w:ascii="Arial" w:eastAsia="Arial" w:hAnsi="Arial" w:cs="Arial"/>
          <w:sz w:val="22"/>
          <w:szCs w:val="22"/>
        </w:rPr>
      </w:pPr>
    </w:p>
    <w:p w14:paraId="1B249EA3" w14:textId="77777777" w:rsidR="0041404E" w:rsidRDefault="0041404E">
      <w:pPr>
        <w:spacing w:after="0" w:line="276" w:lineRule="auto"/>
        <w:rPr>
          <w:rFonts w:ascii="Arial" w:eastAsia="Arial" w:hAnsi="Arial" w:cs="Arial"/>
          <w:sz w:val="22"/>
          <w:szCs w:val="22"/>
        </w:rPr>
      </w:pPr>
    </w:p>
    <w:p w14:paraId="66E699CC" w14:textId="77777777" w:rsidR="0041404E" w:rsidRDefault="0041404E">
      <w:pPr>
        <w:spacing w:after="0" w:line="276" w:lineRule="auto"/>
        <w:rPr>
          <w:rFonts w:ascii="Arial" w:eastAsia="Arial" w:hAnsi="Arial" w:cs="Arial"/>
          <w:sz w:val="22"/>
          <w:szCs w:val="22"/>
        </w:rPr>
      </w:pPr>
    </w:p>
    <w:p w14:paraId="37A704FF" w14:textId="77777777" w:rsidR="0041404E" w:rsidRDefault="0041404E">
      <w:pPr>
        <w:spacing w:after="0" w:line="276" w:lineRule="auto"/>
        <w:rPr>
          <w:rFonts w:ascii="Arial" w:eastAsia="Arial" w:hAnsi="Arial" w:cs="Arial"/>
          <w:sz w:val="22"/>
          <w:szCs w:val="22"/>
        </w:rPr>
      </w:pPr>
    </w:p>
    <w:p w14:paraId="1D7774F8" w14:textId="77777777" w:rsidR="0041404E" w:rsidRDefault="0041404E">
      <w:pPr>
        <w:spacing w:after="0" w:line="276" w:lineRule="auto"/>
        <w:rPr>
          <w:rFonts w:ascii="Arial" w:eastAsia="Arial" w:hAnsi="Arial" w:cs="Arial"/>
          <w:sz w:val="22"/>
          <w:szCs w:val="22"/>
        </w:rPr>
      </w:pPr>
    </w:p>
    <w:p w14:paraId="0ACF08C4" w14:textId="77777777" w:rsidR="0041404E" w:rsidRDefault="0041404E">
      <w:pPr>
        <w:spacing w:after="0" w:line="276" w:lineRule="auto"/>
        <w:rPr>
          <w:rFonts w:ascii="Arial" w:eastAsia="Arial" w:hAnsi="Arial" w:cs="Arial"/>
          <w:sz w:val="22"/>
          <w:szCs w:val="22"/>
        </w:rPr>
      </w:pPr>
    </w:p>
    <w:p w14:paraId="4390034C" w14:textId="77777777" w:rsidR="0041404E" w:rsidRDefault="0041404E">
      <w:pPr>
        <w:spacing w:after="0" w:line="276" w:lineRule="auto"/>
        <w:rPr>
          <w:rFonts w:ascii="Arial" w:eastAsia="Arial" w:hAnsi="Arial" w:cs="Arial"/>
          <w:sz w:val="22"/>
          <w:szCs w:val="22"/>
        </w:rPr>
      </w:pPr>
    </w:p>
    <w:p w14:paraId="06DB4804" w14:textId="77777777" w:rsidR="0041404E" w:rsidRDefault="0041404E">
      <w:pPr>
        <w:spacing w:after="0" w:line="276" w:lineRule="auto"/>
        <w:rPr>
          <w:rFonts w:ascii="Arial" w:eastAsia="Arial" w:hAnsi="Arial" w:cs="Arial"/>
          <w:sz w:val="22"/>
          <w:szCs w:val="22"/>
        </w:rPr>
      </w:pPr>
    </w:p>
    <w:p w14:paraId="256666EB" w14:textId="77777777" w:rsidR="0041404E" w:rsidRDefault="0041404E">
      <w:pPr>
        <w:spacing w:after="0" w:line="276" w:lineRule="auto"/>
        <w:rPr>
          <w:rFonts w:ascii="Arial" w:eastAsia="Arial" w:hAnsi="Arial" w:cs="Arial"/>
          <w:sz w:val="22"/>
          <w:szCs w:val="22"/>
        </w:rPr>
      </w:pPr>
    </w:p>
    <w:p w14:paraId="64871851" w14:textId="77777777" w:rsidR="0041404E" w:rsidRDefault="0041404E">
      <w:pPr>
        <w:spacing w:after="0" w:line="276" w:lineRule="auto"/>
        <w:rPr>
          <w:rFonts w:ascii="Arial" w:eastAsia="Arial" w:hAnsi="Arial" w:cs="Arial"/>
          <w:sz w:val="22"/>
          <w:szCs w:val="22"/>
        </w:rPr>
      </w:pPr>
    </w:p>
    <w:p w14:paraId="2DBCB830" w14:textId="77777777" w:rsidR="0041404E" w:rsidRDefault="0041404E">
      <w:pPr>
        <w:spacing w:after="0" w:line="276" w:lineRule="auto"/>
        <w:rPr>
          <w:rFonts w:ascii="Arial" w:eastAsia="Arial" w:hAnsi="Arial" w:cs="Arial"/>
          <w:sz w:val="22"/>
          <w:szCs w:val="22"/>
        </w:rPr>
      </w:pPr>
    </w:p>
    <w:p w14:paraId="3BF2DE55" w14:textId="77777777" w:rsidR="0041404E" w:rsidRDefault="0041404E">
      <w:pPr>
        <w:spacing w:after="0" w:line="276" w:lineRule="auto"/>
        <w:rPr>
          <w:rFonts w:ascii="Arial" w:eastAsia="Arial" w:hAnsi="Arial" w:cs="Arial"/>
          <w:sz w:val="22"/>
          <w:szCs w:val="22"/>
        </w:rPr>
      </w:pPr>
    </w:p>
    <w:p w14:paraId="6F4834FF" w14:textId="77777777" w:rsidR="0041404E" w:rsidRDefault="0041404E">
      <w:pPr>
        <w:spacing w:after="0" w:line="276" w:lineRule="auto"/>
        <w:rPr>
          <w:rFonts w:ascii="Arial" w:eastAsia="Arial" w:hAnsi="Arial" w:cs="Arial"/>
          <w:sz w:val="22"/>
          <w:szCs w:val="22"/>
        </w:rPr>
      </w:pPr>
    </w:p>
    <w:p w14:paraId="40261DD6" w14:textId="77777777" w:rsidR="0041404E" w:rsidRDefault="0041404E">
      <w:pPr>
        <w:spacing w:after="0" w:line="276" w:lineRule="auto"/>
        <w:rPr>
          <w:rFonts w:ascii="Arial" w:eastAsia="Arial" w:hAnsi="Arial" w:cs="Arial"/>
          <w:sz w:val="22"/>
          <w:szCs w:val="22"/>
        </w:rPr>
      </w:pPr>
    </w:p>
    <w:p w14:paraId="115376AF" w14:textId="77777777" w:rsidR="0041404E" w:rsidRDefault="0041404E">
      <w:pPr>
        <w:spacing w:after="0" w:line="276" w:lineRule="auto"/>
        <w:rPr>
          <w:rFonts w:ascii="Arial" w:eastAsia="Arial" w:hAnsi="Arial" w:cs="Arial"/>
          <w:sz w:val="22"/>
          <w:szCs w:val="22"/>
        </w:rPr>
      </w:pPr>
    </w:p>
    <w:p w14:paraId="49FCC62E" w14:textId="77777777" w:rsidR="0041404E" w:rsidRDefault="0041404E">
      <w:pPr>
        <w:spacing w:after="0" w:line="276" w:lineRule="auto"/>
        <w:rPr>
          <w:rFonts w:ascii="Arial" w:eastAsia="Arial" w:hAnsi="Arial" w:cs="Arial"/>
          <w:sz w:val="22"/>
          <w:szCs w:val="22"/>
        </w:rPr>
      </w:pPr>
    </w:p>
    <w:p w14:paraId="014BABCE" w14:textId="77777777" w:rsidR="0041404E" w:rsidRDefault="0041404E">
      <w:pPr>
        <w:spacing w:after="0" w:line="276" w:lineRule="auto"/>
        <w:rPr>
          <w:rFonts w:ascii="Arial" w:eastAsia="Arial" w:hAnsi="Arial" w:cs="Arial"/>
          <w:sz w:val="22"/>
          <w:szCs w:val="22"/>
        </w:rPr>
      </w:pPr>
    </w:p>
    <w:p w14:paraId="4F0AB030" w14:textId="77777777" w:rsidR="0041404E" w:rsidRDefault="0041404E">
      <w:pPr>
        <w:spacing w:after="0" w:line="276" w:lineRule="auto"/>
        <w:rPr>
          <w:rFonts w:ascii="Arial" w:eastAsia="Arial" w:hAnsi="Arial" w:cs="Arial"/>
          <w:sz w:val="22"/>
          <w:szCs w:val="22"/>
        </w:rPr>
      </w:pPr>
    </w:p>
    <w:p w14:paraId="6815FDAC" w14:textId="77777777" w:rsidR="0041404E" w:rsidRDefault="0041404E">
      <w:pPr>
        <w:spacing w:after="0" w:line="276" w:lineRule="auto"/>
        <w:rPr>
          <w:rFonts w:ascii="Arial" w:eastAsia="Arial" w:hAnsi="Arial" w:cs="Arial"/>
          <w:sz w:val="22"/>
          <w:szCs w:val="22"/>
        </w:rPr>
      </w:pPr>
    </w:p>
    <w:p w14:paraId="2EB1ABCB" w14:textId="77777777" w:rsidR="0041404E" w:rsidRDefault="0041404E">
      <w:pPr>
        <w:spacing w:after="0" w:line="276" w:lineRule="auto"/>
        <w:rPr>
          <w:rFonts w:ascii="Arial" w:eastAsia="Arial" w:hAnsi="Arial" w:cs="Arial"/>
          <w:sz w:val="22"/>
          <w:szCs w:val="22"/>
        </w:rPr>
      </w:pPr>
    </w:p>
    <w:p w14:paraId="71184B55" w14:textId="77777777" w:rsidR="0041404E" w:rsidRDefault="0041404E">
      <w:pPr>
        <w:spacing w:after="0" w:line="276" w:lineRule="auto"/>
        <w:rPr>
          <w:rFonts w:ascii="Arial" w:eastAsia="Arial" w:hAnsi="Arial" w:cs="Arial"/>
          <w:sz w:val="22"/>
          <w:szCs w:val="22"/>
        </w:rPr>
      </w:pPr>
    </w:p>
    <w:p w14:paraId="4C0EEBBF" w14:textId="77777777" w:rsidR="0041404E" w:rsidRDefault="0041404E">
      <w:pPr>
        <w:spacing w:after="0" w:line="276" w:lineRule="auto"/>
        <w:rPr>
          <w:rFonts w:ascii="Arial" w:eastAsia="Arial" w:hAnsi="Arial" w:cs="Arial"/>
          <w:sz w:val="22"/>
          <w:szCs w:val="22"/>
        </w:rPr>
      </w:pPr>
    </w:p>
    <w:p w14:paraId="7376DF91" w14:textId="77777777" w:rsidR="0041404E" w:rsidRDefault="00000000">
      <w:pPr>
        <w:spacing w:after="0" w:line="276" w:lineRule="auto"/>
        <w:jc w:val="both"/>
        <w:rPr>
          <w:rFonts w:ascii="Arial" w:eastAsia="Arial" w:hAnsi="Arial" w:cs="Arial"/>
          <w:sz w:val="20"/>
          <w:szCs w:val="20"/>
        </w:rPr>
      </w:pPr>
      <w:r>
        <w:rPr>
          <w:rFonts w:ascii="Arial" w:eastAsia="Arial" w:hAnsi="Arial" w:cs="Arial"/>
          <w:b/>
          <w:bCs/>
          <w:sz w:val="20"/>
          <w:szCs w:val="20"/>
        </w:rPr>
        <w:t>Supplementary Fig. 4.</w:t>
      </w:r>
      <w:r>
        <w:rPr>
          <w:rFonts w:ascii="Arial" w:eastAsia="Arial" w:hAnsi="Arial" w:cs="Arial"/>
          <w:sz w:val="20"/>
          <w:szCs w:val="20"/>
        </w:rPr>
        <w:t xml:space="preserve"> WT upregulation of de novo amino acid biosynthesis pathways during TOR inhibition. Heatmap of Z-scores of transcript and protein abundances of nitrogen assimilation and de novo amino acid biosynthesis genes during TOR inhibition by 1 µM AZD treatment, 15 mM glucose addition, and combined 15 mM glucose + 1 µM AZD treatment. The annotations for amino acid genes were obtained from previously published literature (19). Data represent means; </w:t>
      </w:r>
      <w:r>
        <w:rPr>
          <w:rFonts w:ascii="Arial" w:eastAsia="Arial" w:hAnsi="Arial" w:cs="Arial"/>
          <w:i/>
          <w:iCs/>
          <w:sz w:val="20"/>
          <w:szCs w:val="20"/>
        </w:rPr>
        <w:t>n</w:t>
      </w:r>
      <w:r>
        <w:rPr>
          <w:rFonts w:ascii="Arial" w:eastAsia="Arial" w:hAnsi="Arial" w:cs="Arial"/>
          <w:sz w:val="20"/>
          <w:szCs w:val="20"/>
        </w:rPr>
        <w:t xml:space="preserve"> = 2-4 biological replicates (Supplementary Data 7).</w:t>
      </w:r>
    </w:p>
    <w:p w14:paraId="326BAE12" w14:textId="77777777" w:rsidR="0041404E" w:rsidRDefault="00000000">
      <w:pPr>
        <w:spacing w:after="0" w:line="276" w:lineRule="auto"/>
        <w:rPr>
          <w:rFonts w:ascii="Arial" w:eastAsia="Arial" w:hAnsi="Arial" w:cs="Arial"/>
          <w:sz w:val="22"/>
          <w:szCs w:val="22"/>
        </w:rPr>
      </w:pPr>
      <w:r>
        <w:br w:type="page"/>
      </w:r>
    </w:p>
    <w:p w14:paraId="6801ADB2" w14:textId="77777777" w:rsidR="0041404E" w:rsidRDefault="00000000">
      <w:pPr>
        <w:spacing w:after="0" w:line="276" w:lineRule="auto"/>
        <w:rPr>
          <w:rFonts w:ascii="Arial" w:eastAsia="Arial" w:hAnsi="Arial" w:cs="Arial"/>
          <w:sz w:val="22"/>
          <w:szCs w:val="22"/>
        </w:rPr>
      </w:pPr>
      <w:r>
        <w:rPr>
          <w:rFonts w:ascii="Arial" w:eastAsia="Arial" w:hAnsi="Arial" w:cs="Arial"/>
          <w:noProof/>
          <w:sz w:val="20"/>
          <w:szCs w:val="20"/>
        </w:rPr>
        <w:lastRenderedPageBreak/>
        <w:drawing>
          <wp:inline distT="114300" distB="114300" distL="114300" distR="114300" wp14:anchorId="0ABF5ECE" wp14:editId="6AA4AA39">
            <wp:extent cx="4105275" cy="4724400"/>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t="4432"/>
                    <a:stretch>
                      <a:fillRect/>
                    </a:stretch>
                  </pic:blipFill>
                  <pic:spPr>
                    <a:xfrm>
                      <a:off x="0" y="0"/>
                      <a:ext cx="4105275" cy="4724400"/>
                    </a:xfrm>
                    <a:prstGeom prst="rect">
                      <a:avLst/>
                    </a:prstGeom>
                    <a:ln/>
                  </pic:spPr>
                </pic:pic>
              </a:graphicData>
            </a:graphic>
          </wp:inline>
        </w:drawing>
      </w:r>
    </w:p>
    <w:p w14:paraId="2371789B" w14:textId="77777777" w:rsidR="0041404E" w:rsidRDefault="0041404E">
      <w:pPr>
        <w:spacing w:after="0" w:line="276" w:lineRule="auto"/>
        <w:jc w:val="both"/>
        <w:rPr>
          <w:rFonts w:ascii="Arial" w:eastAsia="Arial" w:hAnsi="Arial" w:cs="Arial"/>
          <w:b/>
          <w:bCs/>
          <w:sz w:val="20"/>
          <w:szCs w:val="20"/>
        </w:rPr>
      </w:pPr>
    </w:p>
    <w:p w14:paraId="532C9E36" w14:textId="77777777" w:rsidR="0041404E" w:rsidRDefault="00000000">
      <w:pPr>
        <w:spacing w:after="0" w:line="276" w:lineRule="auto"/>
        <w:jc w:val="both"/>
        <w:rPr>
          <w:rFonts w:ascii="Arial" w:eastAsia="Arial" w:hAnsi="Arial" w:cs="Arial"/>
          <w:sz w:val="20"/>
          <w:szCs w:val="20"/>
        </w:rPr>
      </w:pPr>
      <w:r>
        <w:rPr>
          <w:rFonts w:ascii="Arial" w:eastAsia="Arial" w:hAnsi="Arial" w:cs="Arial"/>
          <w:b/>
          <w:bCs/>
          <w:sz w:val="20"/>
          <w:szCs w:val="20"/>
        </w:rPr>
        <w:t>Supplementary Fig. 5.</w:t>
      </w:r>
      <w:r>
        <w:rPr>
          <w:rFonts w:ascii="Arial" w:eastAsia="Arial" w:hAnsi="Arial" w:cs="Arial"/>
          <w:sz w:val="20"/>
          <w:szCs w:val="20"/>
        </w:rPr>
        <w:t xml:space="preserve"> </w:t>
      </w:r>
      <w:r>
        <w:rPr>
          <w:rFonts w:ascii="Arial" w:eastAsia="Arial" w:hAnsi="Arial" w:cs="Arial"/>
          <w:i/>
          <w:iCs/>
          <w:sz w:val="20"/>
          <w:szCs w:val="20"/>
        </w:rPr>
        <w:t>hxk1-1</w:t>
      </w:r>
      <w:r>
        <w:rPr>
          <w:rFonts w:ascii="Arial" w:eastAsia="Arial" w:hAnsi="Arial" w:cs="Arial"/>
          <w:sz w:val="20"/>
          <w:szCs w:val="20"/>
        </w:rPr>
        <w:t xml:space="preserve"> upregulation of de novo amino acid biosynthesis pathways during TOR inhibition. Heatmap of Z-scores of transcript abundances and protein abundances of nitrogen assimilation and de novo amino acid biosynthesis genes during TOR inhibition by 1 µM AZD treatment, 15 mM glucose addition, and combined 15 mM glucose + 1 µM AZD treatment. The annotations for amino acid genes were obtained from previously published literature (16). Data represent means; </w:t>
      </w:r>
      <w:r>
        <w:rPr>
          <w:rFonts w:ascii="Arial" w:eastAsia="Arial" w:hAnsi="Arial" w:cs="Arial"/>
          <w:i/>
          <w:iCs/>
          <w:sz w:val="20"/>
          <w:szCs w:val="20"/>
        </w:rPr>
        <w:t>n</w:t>
      </w:r>
      <w:r>
        <w:rPr>
          <w:rFonts w:ascii="Arial" w:eastAsia="Arial" w:hAnsi="Arial" w:cs="Arial"/>
          <w:sz w:val="20"/>
          <w:szCs w:val="20"/>
        </w:rPr>
        <w:t xml:space="preserve"> = 2-4 biological replicates (Supplementary Data 8).</w:t>
      </w:r>
    </w:p>
    <w:p w14:paraId="71BE5787" w14:textId="77777777" w:rsidR="0041404E" w:rsidRDefault="00000000">
      <w:pPr>
        <w:spacing w:after="0" w:line="276" w:lineRule="auto"/>
        <w:jc w:val="both"/>
        <w:rPr>
          <w:rFonts w:ascii="Arial" w:eastAsia="Arial" w:hAnsi="Arial" w:cs="Arial"/>
          <w:sz w:val="22"/>
          <w:szCs w:val="22"/>
        </w:rPr>
      </w:pPr>
      <w:r>
        <w:br w:type="page"/>
      </w:r>
    </w:p>
    <w:p w14:paraId="2E30D50C" w14:textId="77777777" w:rsidR="0041404E" w:rsidRDefault="0041404E">
      <w:pPr>
        <w:spacing w:after="0" w:line="276" w:lineRule="auto"/>
        <w:jc w:val="both"/>
        <w:rPr>
          <w:rFonts w:ascii="Arial" w:eastAsia="Arial" w:hAnsi="Arial" w:cs="Arial"/>
          <w:sz w:val="16"/>
          <w:szCs w:val="16"/>
        </w:rPr>
      </w:pPr>
    </w:p>
    <w:p w14:paraId="226A02B4" w14:textId="77777777" w:rsidR="0041404E" w:rsidRDefault="00000000">
      <w:pPr>
        <w:spacing w:before="240" w:after="240" w:line="276" w:lineRule="auto"/>
        <w:jc w:val="both"/>
        <w:rPr>
          <w:rFonts w:ascii="Arial" w:eastAsia="Arial" w:hAnsi="Arial" w:cs="Arial"/>
          <w:b/>
          <w:bCs/>
          <w:sz w:val="20"/>
          <w:szCs w:val="20"/>
        </w:rPr>
      </w:pPr>
      <w:r>
        <w:rPr>
          <w:noProof/>
        </w:rPr>
        <w:drawing>
          <wp:anchor distT="114300" distB="114300" distL="114300" distR="114300" simplePos="0" relativeHeight="251660288" behindDoc="0" locked="0" layoutInCell="1" hidden="0" allowOverlap="1" wp14:anchorId="4A233F0C" wp14:editId="4536903E">
            <wp:simplePos x="0" y="0"/>
            <wp:positionH relativeFrom="column">
              <wp:posOffset>1</wp:posOffset>
            </wp:positionH>
            <wp:positionV relativeFrom="paragraph">
              <wp:posOffset>180975</wp:posOffset>
            </wp:positionV>
            <wp:extent cx="4105656" cy="3732415"/>
            <wp:effectExtent l="0" t="0" r="0" b="0"/>
            <wp:wrapTopAndBottom distT="114300" distB="114300"/>
            <wp:docPr id="2"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2"/>
                    <a:srcRect l="28365" t="7710"/>
                    <a:stretch>
                      <a:fillRect/>
                    </a:stretch>
                  </pic:blipFill>
                  <pic:spPr>
                    <a:xfrm>
                      <a:off x="0" y="0"/>
                      <a:ext cx="4105656" cy="3732415"/>
                    </a:xfrm>
                    <a:prstGeom prst="rect">
                      <a:avLst/>
                    </a:prstGeom>
                    <a:ln/>
                  </pic:spPr>
                </pic:pic>
              </a:graphicData>
            </a:graphic>
          </wp:anchor>
        </w:drawing>
      </w:r>
    </w:p>
    <w:p w14:paraId="57F688F5" w14:textId="77777777" w:rsidR="0041404E" w:rsidRDefault="00000000">
      <w:pPr>
        <w:spacing w:before="240" w:after="240" w:line="276" w:lineRule="auto"/>
        <w:jc w:val="both"/>
        <w:rPr>
          <w:rFonts w:ascii="Arial" w:eastAsia="Arial" w:hAnsi="Arial" w:cs="Arial"/>
          <w:sz w:val="20"/>
          <w:szCs w:val="20"/>
        </w:rPr>
      </w:pPr>
      <w:r>
        <w:rPr>
          <w:rFonts w:ascii="Arial" w:eastAsia="Arial" w:hAnsi="Arial" w:cs="Arial"/>
          <w:b/>
          <w:bCs/>
          <w:sz w:val="20"/>
          <w:szCs w:val="20"/>
        </w:rPr>
        <w:t>Supplementary Fig. 6.</w:t>
      </w:r>
      <w:r>
        <w:rPr>
          <w:rFonts w:ascii="Arial" w:eastAsia="Arial" w:hAnsi="Arial" w:cs="Arial"/>
          <w:sz w:val="20"/>
          <w:szCs w:val="20"/>
        </w:rPr>
        <w:t xml:space="preserve"> WT TOR inhibition leads to an increase in amino acids independent of glucose. Heatmap of log</w:t>
      </w:r>
      <w:r>
        <w:rPr>
          <w:rFonts w:ascii="Arial" w:eastAsia="Arial" w:hAnsi="Arial" w:cs="Arial"/>
          <w:sz w:val="20"/>
          <w:szCs w:val="20"/>
          <w:vertAlign w:val="subscript"/>
        </w:rPr>
        <w:t>2</w:t>
      </w:r>
      <w:r>
        <w:rPr>
          <w:rFonts w:ascii="Arial" w:eastAsia="Arial" w:hAnsi="Arial" w:cs="Arial"/>
          <w:sz w:val="20"/>
          <w:szCs w:val="20"/>
        </w:rPr>
        <w:t xml:space="preserve"> fold change (FC) of metabolite intensities during TOR inhibition by 1 µM AZD treatment, 15 mM glucose addition, and combined 15 mM glucose + 1 µM AZD treatment. Samples clustered using </w:t>
      </w:r>
      <w:r>
        <w:rPr>
          <w:rFonts w:ascii="Arial" w:eastAsia="Arial" w:hAnsi="Arial" w:cs="Arial"/>
          <w:i/>
          <w:iCs/>
          <w:sz w:val="20"/>
          <w:szCs w:val="20"/>
        </w:rPr>
        <w:t>k</w:t>
      </w:r>
      <w:r>
        <w:rPr>
          <w:rFonts w:ascii="Arial" w:eastAsia="Arial" w:hAnsi="Arial" w:cs="Arial"/>
          <w:sz w:val="20"/>
          <w:szCs w:val="20"/>
        </w:rPr>
        <w:t xml:space="preserve">-means clustering. Clusters were annotated based on the metabolite classifications from GNPS (Supplementary Methods). Data represent means; </w:t>
      </w:r>
      <w:r>
        <w:rPr>
          <w:rFonts w:ascii="Arial" w:eastAsia="Arial" w:hAnsi="Arial" w:cs="Arial"/>
          <w:i/>
          <w:iCs/>
          <w:sz w:val="20"/>
          <w:szCs w:val="20"/>
        </w:rPr>
        <w:t>n</w:t>
      </w:r>
      <w:r>
        <w:rPr>
          <w:rFonts w:ascii="Arial" w:eastAsia="Arial" w:hAnsi="Arial" w:cs="Arial"/>
          <w:sz w:val="20"/>
          <w:szCs w:val="20"/>
        </w:rPr>
        <w:t xml:space="preserve"> = 3-4 biological replicates (Supplementary Data 10).</w:t>
      </w:r>
    </w:p>
    <w:p w14:paraId="27F1097B" w14:textId="77777777" w:rsidR="0041404E" w:rsidRDefault="00000000">
      <w:pPr>
        <w:spacing w:before="240" w:after="240" w:line="276" w:lineRule="auto"/>
        <w:jc w:val="both"/>
        <w:rPr>
          <w:rFonts w:ascii="Arial" w:eastAsia="Arial" w:hAnsi="Arial" w:cs="Arial"/>
          <w:sz w:val="20"/>
          <w:szCs w:val="20"/>
        </w:rPr>
      </w:pPr>
      <w:r>
        <w:br w:type="page"/>
      </w:r>
    </w:p>
    <w:p w14:paraId="65056B6E" w14:textId="77777777" w:rsidR="0041404E" w:rsidRDefault="0041404E">
      <w:pPr>
        <w:spacing w:before="240" w:after="240" w:line="276" w:lineRule="auto"/>
        <w:jc w:val="both"/>
        <w:rPr>
          <w:rFonts w:ascii="Arial" w:eastAsia="Arial" w:hAnsi="Arial" w:cs="Arial"/>
          <w:sz w:val="20"/>
          <w:szCs w:val="20"/>
        </w:rPr>
      </w:pPr>
    </w:p>
    <w:p w14:paraId="1BF73A33" w14:textId="77777777" w:rsidR="0041404E" w:rsidRDefault="00000000">
      <w:pPr>
        <w:spacing w:before="240" w:after="240" w:line="276" w:lineRule="auto"/>
        <w:jc w:val="both"/>
        <w:rPr>
          <w:rFonts w:ascii="Arial" w:eastAsia="Arial" w:hAnsi="Arial" w:cs="Arial"/>
          <w:sz w:val="20"/>
          <w:szCs w:val="20"/>
        </w:rPr>
      </w:pPr>
      <w:r>
        <w:rPr>
          <w:rFonts w:ascii="Arial" w:eastAsia="Arial" w:hAnsi="Arial" w:cs="Arial"/>
          <w:noProof/>
          <w:sz w:val="20"/>
          <w:szCs w:val="20"/>
        </w:rPr>
        <w:drawing>
          <wp:inline distT="114300" distB="114300" distL="114300" distR="114300" wp14:anchorId="59486F0B" wp14:editId="4AD8CEA4">
            <wp:extent cx="5943600" cy="3657600"/>
            <wp:effectExtent l="0" t="0" r="0" b="0"/>
            <wp:docPr id="6"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3"/>
                    <a:srcRect/>
                    <a:stretch>
                      <a:fillRect/>
                    </a:stretch>
                  </pic:blipFill>
                  <pic:spPr>
                    <a:xfrm>
                      <a:off x="0" y="0"/>
                      <a:ext cx="5943600" cy="3657600"/>
                    </a:xfrm>
                    <a:prstGeom prst="rect">
                      <a:avLst/>
                    </a:prstGeom>
                    <a:ln/>
                  </pic:spPr>
                </pic:pic>
              </a:graphicData>
            </a:graphic>
          </wp:inline>
        </w:drawing>
      </w:r>
    </w:p>
    <w:p w14:paraId="768064D4" w14:textId="77777777" w:rsidR="0041404E" w:rsidRDefault="00000000">
      <w:pPr>
        <w:spacing w:after="0" w:line="276" w:lineRule="auto"/>
        <w:jc w:val="both"/>
        <w:rPr>
          <w:rFonts w:ascii="Arial" w:eastAsia="Arial" w:hAnsi="Arial" w:cs="Arial"/>
          <w:sz w:val="20"/>
          <w:szCs w:val="20"/>
        </w:rPr>
      </w:pPr>
      <w:r>
        <w:rPr>
          <w:rFonts w:ascii="Arial" w:eastAsia="Arial" w:hAnsi="Arial" w:cs="Arial"/>
          <w:b/>
          <w:bCs/>
          <w:sz w:val="20"/>
          <w:szCs w:val="20"/>
        </w:rPr>
        <w:t>Supplementary Fig. 7.</w:t>
      </w:r>
      <w:r>
        <w:rPr>
          <w:rFonts w:ascii="Arial" w:eastAsia="Arial" w:hAnsi="Arial" w:cs="Arial"/>
          <w:sz w:val="20"/>
          <w:szCs w:val="20"/>
        </w:rPr>
        <w:t xml:space="preserve"> WT transcriptional clustering to identify transcription factors. (a) Heatmap of log</w:t>
      </w:r>
      <w:r>
        <w:rPr>
          <w:rFonts w:ascii="Arial" w:eastAsia="Arial" w:hAnsi="Arial" w:cs="Arial"/>
          <w:sz w:val="20"/>
          <w:szCs w:val="20"/>
          <w:vertAlign w:val="subscript"/>
        </w:rPr>
        <w:t>2</w:t>
      </w:r>
      <w:r>
        <w:rPr>
          <w:rFonts w:ascii="Arial" w:eastAsia="Arial" w:hAnsi="Arial" w:cs="Arial"/>
          <w:sz w:val="20"/>
          <w:szCs w:val="20"/>
        </w:rPr>
        <w:t xml:space="preserve"> fold change (FC) of transcript counts during TOR inhibition by 1 µM AZD treatment, 15 mM glucose addition, and combined 15 mM glucose + 1 µM AZD treatment. Samples were clustered using </w:t>
      </w:r>
      <w:r>
        <w:rPr>
          <w:rFonts w:ascii="Arial" w:eastAsia="Arial" w:hAnsi="Arial" w:cs="Arial"/>
          <w:i/>
          <w:iCs/>
          <w:sz w:val="20"/>
          <w:szCs w:val="20"/>
        </w:rPr>
        <w:t>k</w:t>
      </w:r>
      <w:r>
        <w:rPr>
          <w:rFonts w:ascii="Arial" w:eastAsia="Arial" w:hAnsi="Arial" w:cs="Arial"/>
          <w:sz w:val="20"/>
          <w:szCs w:val="20"/>
        </w:rPr>
        <w:t xml:space="preserve">-means clustering. (b) GO term enrichment was performed for the six transcriptome clusters. Cluster 4 represents TOR associated genes. Data represent means; </w:t>
      </w:r>
      <w:r>
        <w:rPr>
          <w:rFonts w:ascii="Arial" w:eastAsia="Arial" w:hAnsi="Arial" w:cs="Arial"/>
          <w:i/>
          <w:iCs/>
          <w:sz w:val="20"/>
          <w:szCs w:val="20"/>
        </w:rPr>
        <w:t>n</w:t>
      </w:r>
      <w:r>
        <w:rPr>
          <w:rFonts w:ascii="Arial" w:eastAsia="Arial" w:hAnsi="Arial" w:cs="Arial"/>
          <w:sz w:val="20"/>
          <w:szCs w:val="20"/>
        </w:rPr>
        <w:t xml:space="preserve"> = 3-4 biological replicates (Supplementary Data 16-18).</w:t>
      </w:r>
    </w:p>
    <w:p w14:paraId="36A922F6" w14:textId="77777777" w:rsidR="0041404E" w:rsidRDefault="00000000">
      <w:pPr>
        <w:spacing w:before="240" w:after="240" w:line="276" w:lineRule="auto"/>
        <w:jc w:val="both"/>
        <w:rPr>
          <w:rFonts w:ascii="Arial" w:eastAsia="Arial" w:hAnsi="Arial" w:cs="Arial"/>
          <w:sz w:val="20"/>
          <w:szCs w:val="20"/>
        </w:rPr>
      </w:pPr>
      <w:r>
        <w:br w:type="page"/>
      </w:r>
    </w:p>
    <w:p w14:paraId="11AEFA48" w14:textId="77777777" w:rsidR="0041404E" w:rsidRDefault="00000000">
      <w:pPr>
        <w:spacing w:before="240" w:after="240" w:line="276" w:lineRule="auto"/>
        <w:jc w:val="both"/>
        <w:rPr>
          <w:rFonts w:ascii="Arial" w:eastAsia="Arial" w:hAnsi="Arial" w:cs="Arial"/>
          <w:sz w:val="20"/>
          <w:szCs w:val="20"/>
        </w:rPr>
      </w:pPr>
      <w:r>
        <w:rPr>
          <w:noProof/>
        </w:rPr>
        <w:lastRenderedPageBreak/>
        <w:drawing>
          <wp:anchor distT="114300" distB="114300" distL="114300" distR="114300" simplePos="0" relativeHeight="251661312" behindDoc="0" locked="0" layoutInCell="1" hidden="0" allowOverlap="1" wp14:anchorId="7A7C34A7" wp14:editId="09FCEB06">
            <wp:simplePos x="0" y="0"/>
            <wp:positionH relativeFrom="column">
              <wp:posOffset>19051</wp:posOffset>
            </wp:positionH>
            <wp:positionV relativeFrom="paragraph">
              <wp:posOffset>314325</wp:posOffset>
            </wp:positionV>
            <wp:extent cx="4105275" cy="4648200"/>
            <wp:effectExtent l="0" t="0" r="0" b="0"/>
            <wp:wrapTopAndBottom distT="114300" distB="114300"/>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t="4126"/>
                    <a:stretch>
                      <a:fillRect/>
                    </a:stretch>
                  </pic:blipFill>
                  <pic:spPr>
                    <a:xfrm>
                      <a:off x="0" y="0"/>
                      <a:ext cx="4105275" cy="4648200"/>
                    </a:xfrm>
                    <a:prstGeom prst="rect">
                      <a:avLst/>
                    </a:prstGeom>
                    <a:ln/>
                  </pic:spPr>
                </pic:pic>
              </a:graphicData>
            </a:graphic>
          </wp:anchor>
        </w:drawing>
      </w:r>
    </w:p>
    <w:p w14:paraId="00C45781" w14:textId="77777777" w:rsidR="0041404E" w:rsidRDefault="00000000">
      <w:pPr>
        <w:spacing w:after="0" w:line="276" w:lineRule="auto"/>
        <w:jc w:val="both"/>
        <w:rPr>
          <w:rFonts w:ascii="Arial" w:eastAsia="Arial" w:hAnsi="Arial" w:cs="Arial"/>
          <w:sz w:val="20"/>
          <w:szCs w:val="20"/>
        </w:rPr>
      </w:pPr>
      <w:r>
        <w:rPr>
          <w:rFonts w:ascii="Arial" w:eastAsia="Arial" w:hAnsi="Arial" w:cs="Arial"/>
          <w:b/>
          <w:bCs/>
          <w:sz w:val="20"/>
          <w:szCs w:val="20"/>
        </w:rPr>
        <w:t>Supplementary Fig. 8.</w:t>
      </w:r>
      <w:r>
        <w:rPr>
          <w:rFonts w:ascii="Arial" w:eastAsia="Arial" w:hAnsi="Arial" w:cs="Arial"/>
          <w:sz w:val="20"/>
          <w:szCs w:val="20"/>
        </w:rPr>
        <w:t xml:space="preserve"> WT gene and protein expression changes for 48 transcription factors (TFs). Heatmap of Z-scores of transcript abundances and protein abundances of 48 TFs during TOR inhibition by 1 µM AZD treatment, 15 mM glucose addition, and combined 15 mM glucose + 1 µM AZD treatment. The annotations for the TF family (right) were obtained from previously published literature (16). Data represent means; </w:t>
      </w:r>
      <w:r>
        <w:rPr>
          <w:rFonts w:ascii="Arial" w:eastAsia="Arial" w:hAnsi="Arial" w:cs="Arial"/>
          <w:i/>
          <w:iCs/>
          <w:sz w:val="20"/>
          <w:szCs w:val="20"/>
        </w:rPr>
        <w:t>n</w:t>
      </w:r>
      <w:r>
        <w:rPr>
          <w:rFonts w:ascii="Arial" w:eastAsia="Arial" w:hAnsi="Arial" w:cs="Arial"/>
          <w:sz w:val="20"/>
          <w:szCs w:val="20"/>
        </w:rPr>
        <w:t xml:space="preserve"> = 2-4 biological replicates (Supplementary Data 19).</w:t>
      </w:r>
    </w:p>
    <w:p w14:paraId="075D9DF3" w14:textId="77777777" w:rsidR="0041404E" w:rsidRDefault="00000000">
      <w:pPr>
        <w:spacing w:after="0" w:line="276" w:lineRule="auto"/>
        <w:jc w:val="both"/>
        <w:rPr>
          <w:rFonts w:ascii="Arial" w:eastAsia="Arial" w:hAnsi="Arial" w:cs="Arial"/>
          <w:sz w:val="20"/>
          <w:szCs w:val="20"/>
        </w:rPr>
      </w:pPr>
      <w:r>
        <w:br w:type="page"/>
      </w:r>
    </w:p>
    <w:p w14:paraId="2D811B97" w14:textId="77777777" w:rsidR="0041404E" w:rsidRDefault="0041404E">
      <w:pPr>
        <w:spacing w:after="0" w:line="276" w:lineRule="auto"/>
        <w:jc w:val="both"/>
        <w:rPr>
          <w:rFonts w:ascii="Arial" w:eastAsia="Arial" w:hAnsi="Arial" w:cs="Arial"/>
          <w:sz w:val="20"/>
          <w:szCs w:val="20"/>
        </w:rPr>
      </w:pPr>
    </w:p>
    <w:p w14:paraId="4D0C4A8E" w14:textId="77777777" w:rsidR="0041404E" w:rsidRDefault="00000000">
      <w:pPr>
        <w:spacing w:after="0" w:line="276" w:lineRule="auto"/>
        <w:jc w:val="both"/>
        <w:rPr>
          <w:rFonts w:ascii="Arial" w:eastAsia="Arial" w:hAnsi="Arial" w:cs="Arial"/>
          <w:sz w:val="20"/>
          <w:szCs w:val="20"/>
        </w:rPr>
      </w:pPr>
      <w:r>
        <w:rPr>
          <w:rFonts w:ascii="Arial" w:eastAsia="Arial" w:hAnsi="Arial" w:cs="Arial"/>
          <w:b/>
          <w:bCs/>
          <w:sz w:val="20"/>
          <w:szCs w:val="20"/>
        </w:rPr>
        <w:t>Supplementary Fig. 9.</w:t>
      </w:r>
      <w:r>
        <w:rPr>
          <w:rFonts w:ascii="Arial" w:eastAsia="Arial" w:hAnsi="Arial" w:cs="Arial"/>
          <w:sz w:val="20"/>
          <w:szCs w:val="20"/>
        </w:rPr>
        <w:t xml:space="preserve"> </w:t>
      </w:r>
      <w:r>
        <w:rPr>
          <w:rFonts w:ascii="Arial" w:eastAsia="Arial" w:hAnsi="Arial" w:cs="Arial"/>
          <w:i/>
          <w:iCs/>
          <w:sz w:val="20"/>
          <w:szCs w:val="20"/>
        </w:rPr>
        <w:t>hxk1-1</w:t>
      </w:r>
      <w:r>
        <w:rPr>
          <w:rFonts w:ascii="Arial" w:eastAsia="Arial" w:hAnsi="Arial" w:cs="Arial"/>
          <w:sz w:val="20"/>
          <w:szCs w:val="20"/>
        </w:rPr>
        <w:t xml:space="preserve"> gene and protein expression changes for 48 transcription factors. Heatmap of Z-scores of transcript abundances and protein abundances of 48 TFs during TOR inhibition by 1 µM AZD treatment, 15 mM glucose addition, and combined 15 mM glucose + 1 µM AZD treatment. The annotations for the TF family (right) were obtained from previously published literature (16). Data represent means; </w:t>
      </w:r>
      <w:r>
        <w:rPr>
          <w:rFonts w:ascii="Arial" w:eastAsia="Arial" w:hAnsi="Arial" w:cs="Arial"/>
          <w:i/>
          <w:iCs/>
          <w:sz w:val="20"/>
          <w:szCs w:val="20"/>
        </w:rPr>
        <w:t>n</w:t>
      </w:r>
      <w:r>
        <w:rPr>
          <w:rFonts w:ascii="Arial" w:eastAsia="Arial" w:hAnsi="Arial" w:cs="Arial"/>
          <w:sz w:val="20"/>
          <w:szCs w:val="20"/>
        </w:rPr>
        <w:t xml:space="preserve"> = 3-4 biological replicates (Supplementary Data 19).</w:t>
      </w:r>
      <w:r>
        <w:rPr>
          <w:noProof/>
        </w:rPr>
        <w:drawing>
          <wp:anchor distT="114300" distB="114300" distL="114300" distR="114300" simplePos="0" relativeHeight="251662336" behindDoc="0" locked="0" layoutInCell="1" hidden="0" allowOverlap="1" wp14:anchorId="46D0FE80" wp14:editId="5AC04C9D">
            <wp:simplePos x="0" y="0"/>
            <wp:positionH relativeFrom="column">
              <wp:posOffset>19051</wp:posOffset>
            </wp:positionH>
            <wp:positionV relativeFrom="paragraph">
              <wp:posOffset>165432</wp:posOffset>
            </wp:positionV>
            <wp:extent cx="4105275" cy="4924425"/>
            <wp:effectExtent l="0" t="0" r="0" b="0"/>
            <wp:wrapTopAndBottom distT="114300" distB="114300"/>
            <wp:docPr id="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5"/>
                    <a:srcRect t="4259"/>
                    <a:stretch>
                      <a:fillRect/>
                    </a:stretch>
                  </pic:blipFill>
                  <pic:spPr>
                    <a:xfrm>
                      <a:off x="0" y="0"/>
                      <a:ext cx="4105275" cy="4924425"/>
                    </a:xfrm>
                    <a:prstGeom prst="rect">
                      <a:avLst/>
                    </a:prstGeom>
                    <a:ln/>
                  </pic:spPr>
                </pic:pic>
              </a:graphicData>
            </a:graphic>
          </wp:anchor>
        </w:drawing>
      </w:r>
    </w:p>
    <w:p w14:paraId="6B9511D9" w14:textId="77777777" w:rsidR="0041404E" w:rsidRDefault="00000000">
      <w:pPr>
        <w:spacing w:after="0" w:line="276" w:lineRule="auto"/>
        <w:jc w:val="both"/>
        <w:rPr>
          <w:rFonts w:ascii="Arial" w:eastAsia="Arial" w:hAnsi="Arial" w:cs="Arial"/>
          <w:sz w:val="20"/>
          <w:szCs w:val="20"/>
        </w:rPr>
      </w:pPr>
      <w:r>
        <w:br w:type="page"/>
      </w:r>
    </w:p>
    <w:p w14:paraId="50DA9569" w14:textId="77777777" w:rsidR="0041404E" w:rsidRDefault="00000000">
      <w:pPr>
        <w:spacing w:after="0" w:line="276" w:lineRule="auto"/>
        <w:jc w:val="both"/>
        <w:rPr>
          <w:rFonts w:ascii="Arial" w:eastAsia="Arial" w:hAnsi="Arial" w:cs="Arial"/>
          <w:sz w:val="20"/>
          <w:szCs w:val="20"/>
        </w:rPr>
      </w:pPr>
      <w:r>
        <w:rPr>
          <w:rFonts w:ascii="Arial" w:eastAsia="Arial" w:hAnsi="Arial" w:cs="Arial"/>
          <w:noProof/>
          <w:sz w:val="20"/>
          <w:szCs w:val="20"/>
        </w:rPr>
        <w:lastRenderedPageBreak/>
        <w:drawing>
          <wp:inline distT="114300" distB="114300" distL="114300" distR="114300" wp14:anchorId="1E481441" wp14:editId="4E3DC6B2">
            <wp:extent cx="4644471" cy="6691313"/>
            <wp:effectExtent l="0" t="0" r="0" b="0"/>
            <wp:docPr id="1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6"/>
                    <a:srcRect/>
                    <a:stretch>
                      <a:fillRect/>
                    </a:stretch>
                  </pic:blipFill>
                  <pic:spPr>
                    <a:xfrm>
                      <a:off x="0" y="0"/>
                      <a:ext cx="4644471" cy="6691313"/>
                    </a:xfrm>
                    <a:prstGeom prst="rect">
                      <a:avLst/>
                    </a:prstGeom>
                    <a:ln/>
                  </pic:spPr>
                </pic:pic>
              </a:graphicData>
            </a:graphic>
          </wp:inline>
        </w:drawing>
      </w:r>
    </w:p>
    <w:p w14:paraId="6CA2C66B" w14:textId="77777777" w:rsidR="0041404E" w:rsidRDefault="00000000">
      <w:pPr>
        <w:spacing w:after="0" w:line="276" w:lineRule="auto"/>
        <w:jc w:val="both"/>
        <w:rPr>
          <w:rFonts w:ascii="Arial" w:eastAsia="Arial" w:hAnsi="Arial" w:cs="Arial"/>
          <w:sz w:val="20"/>
          <w:szCs w:val="20"/>
        </w:rPr>
      </w:pPr>
      <w:r>
        <w:rPr>
          <w:rFonts w:ascii="Arial" w:eastAsia="Arial" w:hAnsi="Arial" w:cs="Arial"/>
          <w:b/>
          <w:bCs/>
          <w:sz w:val="20"/>
          <w:szCs w:val="20"/>
        </w:rPr>
        <w:t>Supplementary Fig. 10.</w:t>
      </w:r>
      <w:r>
        <w:rPr>
          <w:rFonts w:ascii="Arial" w:eastAsia="Arial" w:hAnsi="Arial" w:cs="Arial"/>
          <w:sz w:val="20"/>
          <w:szCs w:val="20"/>
        </w:rPr>
        <w:t xml:space="preserve"> Gene and protein expression changes of selected amino acid biosynthesis genes bound by bHLH</w:t>
      </w:r>
      <w:r>
        <w:rPr>
          <w:rFonts w:ascii="Arial" w:eastAsia="Arial" w:hAnsi="Arial" w:cs="Arial"/>
          <w:sz w:val="20"/>
          <w:szCs w:val="20"/>
          <w:vertAlign w:val="superscript"/>
        </w:rPr>
        <w:t>ACT+</w:t>
      </w:r>
      <w:r>
        <w:rPr>
          <w:rFonts w:ascii="Arial" w:eastAsia="Arial" w:hAnsi="Arial" w:cs="Arial"/>
          <w:sz w:val="20"/>
          <w:szCs w:val="20"/>
        </w:rPr>
        <w:t xml:space="preserve"> in </w:t>
      </w:r>
      <w:r>
        <w:rPr>
          <w:rFonts w:ascii="Arial" w:eastAsia="Arial" w:hAnsi="Arial" w:cs="Arial"/>
          <w:i/>
          <w:iCs/>
          <w:sz w:val="20"/>
          <w:szCs w:val="20"/>
        </w:rPr>
        <w:t xml:space="preserve">C. zofingiensis </w:t>
      </w:r>
      <w:r>
        <w:rPr>
          <w:rFonts w:ascii="Arial" w:eastAsia="Arial" w:hAnsi="Arial" w:cs="Arial"/>
          <w:sz w:val="20"/>
          <w:szCs w:val="20"/>
        </w:rPr>
        <w:t xml:space="preserve">WT. Heatmap of  Z-scores of transcript abundances and protein abundances of nitrogen assimilation and de novo amino acid biosynthesis genes during TOR inhibition by 1 µM AZD treatment, 15 mM glucose addition, and combined 15 mM glucose + 1 µM AZD treatment. Asterisk signifies genes selected in Fig. 6. Data represent means; </w:t>
      </w:r>
      <w:r>
        <w:rPr>
          <w:rFonts w:ascii="Arial" w:eastAsia="Arial" w:hAnsi="Arial" w:cs="Arial"/>
          <w:i/>
          <w:iCs/>
          <w:sz w:val="20"/>
          <w:szCs w:val="20"/>
        </w:rPr>
        <w:t>n</w:t>
      </w:r>
      <w:r>
        <w:rPr>
          <w:rFonts w:ascii="Arial" w:eastAsia="Arial" w:hAnsi="Arial" w:cs="Arial"/>
          <w:sz w:val="20"/>
          <w:szCs w:val="20"/>
        </w:rPr>
        <w:t xml:space="preserve"> = 3-4 biological replicates (Supplementary Data 20).</w:t>
      </w:r>
    </w:p>
    <w:p w14:paraId="3BA2D894" w14:textId="77777777" w:rsidR="0041404E" w:rsidRDefault="0041404E">
      <w:pPr>
        <w:spacing w:after="0" w:line="276" w:lineRule="auto"/>
        <w:jc w:val="both"/>
        <w:rPr>
          <w:rFonts w:ascii="Arial" w:eastAsia="Arial" w:hAnsi="Arial" w:cs="Arial"/>
          <w:sz w:val="20"/>
          <w:szCs w:val="20"/>
        </w:rPr>
      </w:pPr>
    </w:p>
    <w:p w14:paraId="715B7A35" w14:textId="77777777" w:rsidR="0041404E" w:rsidRDefault="0041404E">
      <w:pPr>
        <w:spacing w:after="0" w:line="276" w:lineRule="auto"/>
        <w:jc w:val="both"/>
        <w:rPr>
          <w:rFonts w:ascii="Arial" w:eastAsia="Arial" w:hAnsi="Arial" w:cs="Arial"/>
          <w:b/>
          <w:bCs/>
          <w:sz w:val="20"/>
          <w:szCs w:val="20"/>
        </w:rPr>
      </w:pPr>
    </w:p>
    <w:p w14:paraId="5D6C384A" w14:textId="77777777" w:rsidR="0041404E" w:rsidRDefault="00000000">
      <w:pPr>
        <w:spacing w:after="0" w:line="276" w:lineRule="auto"/>
        <w:jc w:val="both"/>
        <w:rPr>
          <w:rFonts w:ascii="Arial" w:eastAsia="Arial" w:hAnsi="Arial" w:cs="Arial"/>
          <w:b/>
          <w:bCs/>
          <w:sz w:val="20"/>
          <w:szCs w:val="20"/>
        </w:rPr>
      </w:pPr>
      <w:r>
        <w:rPr>
          <w:rFonts w:ascii="Arial" w:eastAsia="Arial" w:hAnsi="Arial" w:cs="Arial"/>
          <w:b/>
          <w:bCs/>
          <w:noProof/>
          <w:sz w:val="20"/>
          <w:szCs w:val="20"/>
        </w:rPr>
        <w:lastRenderedPageBreak/>
        <w:drawing>
          <wp:inline distT="114300" distB="114300" distL="114300" distR="114300" wp14:anchorId="32FC86A3" wp14:editId="1CC5EB3E">
            <wp:extent cx="4717610" cy="6872288"/>
            <wp:effectExtent l="0" t="0" r="0" b="0"/>
            <wp:docPr id="7"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7"/>
                    <a:srcRect/>
                    <a:stretch>
                      <a:fillRect/>
                    </a:stretch>
                  </pic:blipFill>
                  <pic:spPr>
                    <a:xfrm>
                      <a:off x="0" y="0"/>
                      <a:ext cx="4717610" cy="6872288"/>
                    </a:xfrm>
                    <a:prstGeom prst="rect">
                      <a:avLst/>
                    </a:prstGeom>
                    <a:ln/>
                  </pic:spPr>
                </pic:pic>
              </a:graphicData>
            </a:graphic>
          </wp:inline>
        </w:drawing>
      </w:r>
    </w:p>
    <w:p w14:paraId="1BB86473" w14:textId="77777777" w:rsidR="0041404E" w:rsidRDefault="00000000">
      <w:pPr>
        <w:spacing w:after="0" w:line="276" w:lineRule="auto"/>
        <w:jc w:val="both"/>
        <w:rPr>
          <w:rFonts w:ascii="Arial" w:eastAsia="Arial" w:hAnsi="Arial" w:cs="Arial"/>
          <w:sz w:val="20"/>
          <w:szCs w:val="20"/>
        </w:rPr>
      </w:pPr>
      <w:r>
        <w:rPr>
          <w:rFonts w:ascii="Arial" w:eastAsia="Arial" w:hAnsi="Arial" w:cs="Arial"/>
          <w:b/>
          <w:bCs/>
          <w:sz w:val="20"/>
          <w:szCs w:val="20"/>
        </w:rPr>
        <w:t>Supplementary Fig. 11.</w:t>
      </w:r>
      <w:r>
        <w:rPr>
          <w:rFonts w:ascii="Arial" w:eastAsia="Arial" w:hAnsi="Arial" w:cs="Arial"/>
          <w:sz w:val="20"/>
          <w:szCs w:val="20"/>
        </w:rPr>
        <w:t xml:space="preserve"> Gene and protein expression changes of selected amino acid biosynthesis genes bound by bHLH</w:t>
      </w:r>
      <w:r>
        <w:rPr>
          <w:rFonts w:ascii="Arial" w:eastAsia="Arial" w:hAnsi="Arial" w:cs="Arial"/>
          <w:sz w:val="20"/>
          <w:szCs w:val="20"/>
          <w:vertAlign w:val="superscript"/>
        </w:rPr>
        <w:t>ACT+</w:t>
      </w:r>
      <w:r>
        <w:rPr>
          <w:rFonts w:ascii="Arial" w:eastAsia="Arial" w:hAnsi="Arial" w:cs="Arial"/>
          <w:sz w:val="20"/>
          <w:szCs w:val="20"/>
        </w:rPr>
        <w:t xml:space="preserve"> in </w:t>
      </w:r>
      <w:r>
        <w:rPr>
          <w:rFonts w:ascii="Arial" w:eastAsia="Arial" w:hAnsi="Arial" w:cs="Arial"/>
          <w:i/>
          <w:iCs/>
          <w:sz w:val="20"/>
          <w:szCs w:val="20"/>
        </w:rPr>
        <w:t>C. zofingiensis hxk1-1</w:t>
      </w:r>
      <w:r>
        <w:rPr>
          <w:rFonts w:ascii="Arial" w:eastAsia="Arial" w:hAnsi="Arial" w:cs="Arial"/>
          <w:sz w:val="20"/>
          <w:szCs w:val="20"/>
        </w:rPr>
        <w:t xml:space="preserve">. Heatmap of Z-scores of transcript abundances and protein abundances of nitrogen assimilation and de novo amino acid biosynthesis genes during TOR inhibition by 1 µM AZD treatment, 15 mM glucose addition, and combined 15 mM glucose + 1 µM AZD treatment. Asterisk signifies genes selected in Fig. 6. Data represent means; </w:t>
      </w:r>
      <w:r>
        <w:rPr>
          <w:rFonts w:ascii="Arial" w:eastAsia="Arial" w:hAnsi="Arial" w:cs="Arial"/>
          <w:i/>
          <w:iCs/>
          <w:sz w:val="20"/>
          <w:szCs w:val="20"/>
        </w:rPr>
        <w:t>n</w:t>
      </w:r>
      <w:r>
        <w:rPr>
          <w:rFonts w:ascii="Arial" w:eastAsia="Arial" w:hAnsi="Arial" w:cs="Arial"/>
          <w:sz w:val="20"/>
          <w:szCs w:val="20"/>
        </w:rPr>
        <w:t xml:space="preserve"> = 3-4 biological replicates (Supplementary Data 20).</w:t>
      </w:r>
    </w:p>
    <w:p w14:paraId="0BF24308" w14:textId="77777777" w:rsidR="0041404E" w:rsidRDefault="00000000">
      <w:pPr>
        <w:spacing w:after="0" w:line="240" w:lineRule="auto"/>
        <w:jc w:val="both"/>
        <w:rPr>
          <w:rFonts w:ascii="Arial" w:eastAsia="Arial" w:hAnsi="Arial" w:cs="Arial"/>
        </w:rPr>
      </w:pPr>
      <w:r>
        <w:br w:type="page"/>
      </w:r>
    </w:p>
    <w:p w14:paraId="680246AC" w14:textId="77777777" w:rsidR="0041404E" w:rsidRDefault="00000000">
      <w:pPr>
        <w:spacing w:after="0" w:line="240" w:lineRule="auto"/>
        <w:jc w:val="both"/>
        <w:rPr>
          <w:rFonts w:ascii="Times New Roman" w:eastAsia="Times New Roman" w:hAnsi="Times New Roman" w:cs="Times New Roman"/>
          <w:color w:val="000000"/>
        </w:rPr>
      </w:pPr>
      <w:r>
        <w:rPr>
          <w:rFonts w:ascii="Arial" w:eastAsia="Arial" w:hAnsi="Arial" w:cs="Arial"/>
          <w:b/>
          <w:bCs/>
          <w:color w:val="000000"/>
        </w:rPr>
        <w:lastRenderedPageBreak/>
        <w:t>Supplementary Methods</w:t>
      </w:r>
    </w:p>
    <w:p w14:paraId="3A5E1A3D" w14:textId="77777777" w:rsidR="0041404E" w:rsidRDefault="0041404E">
      <w:pPr>
        <w:spacing w:after="0" w:line="240" w:lineRule="auto"/>
        <w:rPr>
          <w:rFonts w:ascii="Times New Roman" w:eastAsia="Times New Roman" w:hAnsi="Times New Roman" w:cs="Times New Roman"/>
          <w:color w:val="000000"/>
        </w:rPr>
      </w:pPr>
    </w:p>
    <w:p w14:paraId="47216343" w14:textId="77777777" w:rsidR="0041404E" w:rsidRDefault="00000000">
      <w:pPr>
        <w:spacing w:after="0" w:line="240" w:lineRule="auto"/>
        <w:jc w:val="both"/>
        <w:rPr>
          <w:rFonts w:ascii="Times New Roman" w:eastAsia="Times New Roman" w:hAnsi="Times New Roman" w:cs="Times New Roman"/>
          <w:color w:val="000000"/>
        </w:rPr>
      </w:pPr>
      <w:r>
        <w:rPr>
          <w:rFonts w:ascii="Arial" w:eastAsia="Arial" w:hAnsi="Arial" w:cs="Arial"/>
          <w:b/>
          <w:bCs/>
          <w:color w:val="000000"/>
        </w:rPr>
        <w:t>Strains, Growth Conditions, and sample collection for multiomics</w:t>
      </w:r>
      <w:r>
        <w:rPr>
          <w:rFonts w:ascii="Arial" w:eastAsia="Arial" w:hAnsi="Arial" w:cs="Arial"/>
          <w:i/>
          <w:iCs/>
          <w:color w:val="000000"/>
        </w:rPr>
        <w:t>. Chromochloris zofingiensis</w:t>
      </w:r>
      <w:r>
        <w:rPr>
          <w:rFonts w:ascii="Arial" w:eastAsia="Arial" w:hAnsi="Arial" w:cs="Arial"/>
          <w:color w:val="000000"/>
        </w:rPr>
        <w:t xml:space="preserve"> SAG211-14 cultures</w:t>
      </w:r>
      <w:r>
        <w:rPr>
          <w:rFonts w:ascii="Arial" w:eastAsia="Arial" w:hAnsi="Arial" w:cs="Arial"/>
          <w:color w:val="000000"/>
          <w:vertAlign w:val="superscript"/>
        </w:rPr>
        <w:t>1</w:t>
      </w:r>
      <w:r>
        <w:rPr>
          <w:rFonts w:ascii="Arial" w:eastAsia="Arial" w:hAnsi="Arial" w:cs="Arial"/>
          <w:color w:val="000000"/>
        </w:rPr>
        <w:t xml:space="preserve"> were grown on </w:t>
      </w:r>
      <w:r>
        <w:rPr>
          <w:rFonts w:ascii="Arial" w:eastAsia="Arial" w:hAnsi="Arial" w:cs="Arial"/>
          <w:i/>
          <w:iCs/>
          <w:color w:val="000000"/>
        </w:rPr>
        <w:t>Chromochloris</w:t>
      </w:r>
      <w:r>
        <w:rPr>
          <w:rFonts w:ascii="Arial" w:eastAsia="Arial" w:hAnsi="Arial" w:cs="Arial"/>
          <w:color w:val="000000"/>
        </w:rPr>
        <w:t xml:space="preserve"> Optimized Ratio of Elements (CORE) medium specific for optimum growth</w:t>
      </w:r>
      <w:r>
        <w:rPr>
          <w:rFonts w:ascii="Arial" w:eastAsia="Arial" w:hAnsi="Arial" w:cs="Arial"/>
          <w:color w:val="000000"/>
          <w:vertAlign w:val="superscript"/>
        </w:rPr>
        <w:t>2</w:t>
      </w:r>
      <w:r>
        <w:rPr>
          <w:rFonts w:ascii="Arial" w:eastAsia="Arial" w:hAnsi="Arial" w:cs="Arial"/>
          <w:color w:val="000000"/>
        </w:rPr>
        <w:t>. For all liquid cultures, 1 x 10</w:t>
      </w:r>
      <w:r>
        <w:rPr>
          <w:rFonts w:ascii="Arial" w:eastAsia="Arial" w:hAnsi="Arial" w:cs="Arial"/>
          <w:color w:val="000000"/>
          <w:vertAlign w:val="superscript"/>
        </w:rPr>
        <w:t>5</w:t>
      </w:r>
      <w:r>
        <w:rPr>
          <w:rFonts w:ascii="Arial" w:eastAsia="Arial" w:hAnsi="Arial" w:cs="Arial"/>
          <w:color w:val="000000"/>
        </w:rPr>
        <w:t xml:space="preserve"> cells mL</w:t>
      </w:r>
      <w:r>
        <w:rPr>
          <w:rFonts w:ascii="Arial" w:eastAsia="Arial" w:hAnsi="Arial" w:cs="Arial"/>
          <w:color w:val="000000"/>
          <w:vertAlign w:val="superscript"/>
        </w:rPr>
        <w:t>-1</w:t>
      </w:r>
      <w:r>
        <w:rPr>
          <w:rFonts w:ascii="Arial" w:eastAsia="Arial" w:hAnsi="Arial" w:cs="Arial"/>
          <w:color w:val="000000"/>
        </w:rPr>
        <w:t xml:space="preserve"> were inoculated in 1 L media containing 2 µM iron (Fe) in CORE media at 25</w:t>
      </w:r>
      <w:r>
        <w:rPr>
          <w:rFonts w:ascii="Arial" w:eastAsia="Arial" w:hAnsi="Arial" w:cs="Arial"/>
          <w:color w:val="000000"/>
          <w:vertAlign w:val="superscript"/>
        </w:rPr>
        <w:t>o</w:t>
      </w:r>
      <w:r>
        <w:rPr>
          <w:rFonts w:ascii="Arial" w:eastAsia="Arial" w:hAnsi="Arial" w:cs="Arial"/>
          <w:color w:val="000000"/>
        </w:rPr>
        <w:t>C, 100 µmol photons m</w:t>
      </w:r>
      <w:r>
        <w:rPr>
          <w:rFonts w:ascii="Arial" w:eastAsia="Arial" w:hAnsi="Arial" w:cs="Arial"/>
          <w:color w:val="000000"/>
          <w:vertAlign w:val="superscript"/>
        </w:rPr>
        <w:t>-2</w:t>
      </w:r>
      <w:r>
        <w:rPr>
          <w:rFonts w:ascii="Arial" w:eastAsia="Arial" w:hAnsi="Arial" w:cs="Arial"/>
          <w:color w:val="000000"/>
        </w:rPr>
        <w:t xml:space="preserve"> s</w:t>
      </w:r>
      <w:r>
        <w:rPr>
          <w:rFonts w:ascii="Arial" w:eastAsia="Arial" w:hAnsi="Arial" w:cs="Arial"/>
          <w:color w:val="000000"/>
          <w:vertAlign w:val="superscript"/>
        </w:rPr>
        <w:t>-1</w:t>
      </w:r>
      <w:r>
        <w:rPr>
          <w:rFonts w:ascii="Arial" w:eastAsia="Arial" w:hAnsi="Arial" w:cs="Arial"/>
          <w:color w:val="000000"/>
        </w:rPr>
        <w:t xml:space="preserve"> and grown until 1-2 X 10</w:t>
      </w:r>
      <w:r>
        <w:rPr>
          <w:rFonts w:ascii="Arial" w:eastAsia="Arial" w:hAnsi="Arial" w:cs="Arial"/>
          <w:color w:val="000000"/>
          <w:vertAlign w:val="superscript"/>
        </w:rPr>
        <w:t>6</w:t>
      </w:r>
      <w:r>
        <w:rPr>
          <w:rFonts w:ascii="Arial" w:eastAsia="Arial" w:hAnsi="Arial" w:cs="Arial"/>
          <w:color w:val="000000"/>
        </w:rPr>
        <w:t xml:space="preserve"> cells mL</w:t>
      </w:r>
      <w:r>
        <w:rPr>
          <w:rFonts w:ascii="Arial" w:eastAsia="Arial" w:hAnsi="Arial" w:cs="Arial"/>
          <w:color w:val="000000"/>
          <w:vertAlign w:val="superscript"/>
        </w:rPr>
        <w:t>-1</w:t>
      </w:r>
      <w:r>
        <w:rPr>
          <w:rFonts w:ascii="Arial" w:eastAsia="Arial" w:hAnsi="Arial" w:cs="Arial"/>
          <w:color w:val="000000"/>
        </w:rPr>
        <w:t xml:space="preserve"> density before splitting into beakers. After overnight acclimation to beakers, replicate samples were treated with either 1 µM AZD, 15 mM glucose, or 15 mM sorbitol. Sorbitol was used as a control to distinguish osmotic responses from glucose responses. Cultures were collected at 1 h or 24 h for transcriptomics, proteomics/</w:t>
      </w:r>
      <w:proofErr w:type="spellStart"/>
      <w:r>
        <w:rPr>
          <w:rFonts w:ascii="Arial" w:eastAsia="Arial" w:hAnsi="Arial" w:cs="Arial"/>
          <w:color w:val="000000"/>
        </w:rPr>
        <w:t>phosphoproteomics</w:t>
      </w:r>
      <w:proofErr w:type="spellEnd"/>
      <w:r>
        <w:rPr>
          <w:rFonts w:ascii="Arial" w:eastAsia="Arial" w:hAnsi="Arial" w:cs="Arial"/>
          <w:color w:val="000000"/>
        </w:rPr>
        <w:t>, and metabolomics. For 96 h experiments, cultures were treated with 100 mM glucose. </w:t>
      </w:r>
    </w:p>
    <w:p w14:paraId="66E9D7A8" w14:textId="77777777" w:rsidR="0041404E" w:rsidRDefault="0041404E">
      <w:pPr>
        <w:spacing w:after="0" w:line="240" w:lineRule="auto"/>
        <w:rPr>
          <w:rFonts w:ascii="Times New Roman" w:eastAsia="Times New Roman" w:hAnsi="Times New Roman" w:cs="Times New Roman"/>
          <w:color w:val="000000"/>
        </w:rPr>
      </w:pPr>
    </w:p>
    <w:p w14:paraId="34032B76" w14:textId="77777777" w:rsidR="0041404E" w:rsidRDefault="00000000">
      <w:pPr>
        <w:spacing w:after="0" w:line="240" w:lineRule="auto"/>
        <w:jc w:val="both"/>
        <w:rPr>
          <w:rFonts w:ascii="Times New Roman" w:eastAsia="Times New Roman" w:hAnsi="Times New Roman" w:cs="Times New Roman"/>
          <w:color w:val="000000"/>
        </w:rPr>
      </w:pPr>
      <w:r>
        <w:rPr>
          <w:rFonts w:ascii="Arial" w:eastAsia="Arial" w:hAnsi="Arial" w:cs="Arial"/>
          <w:b/>
          <w:bCs/>
          <w:color w:val="000000"/>
        </w:rPr>
        <w:t>Growth, biomass, and photosynthesis measurements</w:t>
      </w:r>
      <w:r>
        <w:rPr>
          <w:rFonts w:ascii="Arial" w:eastAsia="Arial" w:hAnsi="Arial" w:cs="Arial"/>
          <w:color w:val="000000"/>
        </w:rPr>
        <w:t xml:space="preserve">. Cell density and cell diameter for each treatment and time point were measured using the </w:t>
      </w:r>
      <w:proofErr w:type="spellStart"/>
      <w:r>
        <w:rPr>
          <w:rFonts w:ascii="Arial" w:eastAsia="Arial" w:hAnsi="Arial" w:cs="Arial"/>
          <w:color w:val="000000"/>
        </w:rPr>
        <w:t>Multisizer</w:t>
      </w:r>
      <w:proofErr w:type="spellEnd"/>
      <w:r>
        <w:rPr>
          <w:rFonts w:ascii="Arial" w:eastAsia="Arial" w:hAnsi="Arial" w:cs="Arial"/>
          <w:color w:val="000000"/>
        </w:rPr>
        <w:t xml:space="preserve"> 3 (Beckman Coulter). Cultures were diluted 50-fold in an isotonic solution and the number and volume of cells per mL were counted using a 50 µM glass aperture tube. Further analysis was manually performed for each treatment and time point to calculate the cell number/mL and volumetric biomass  as previously described</w:t>
      </w:r>
      <w:r>
        <w:rPr>
          <w:rFonts w:ascii="Arial" w:eastAsia="Arial" w:hAnsi="Arial" w:cs="Arial"/>
          <w:color w:val="000000"/>
          <w:vertAlign w:val="superscript"/>
        </w:rPr>
        <w:t>3</w:t>
      </w:r>
      <w:r>
        <w:rPr>
          <w:rFonts w:ascii="Arial" w:eastAsia="Arial" w:hAnsi="Arial" w:cs="Arial"/>
          <w:color w:val="000000"/>
        </w:rPr>
        <w:t>.</w:t>
      </w:r>
    </w:p>
    <w:p w14:paraId="78A72920" w14:textId="77777777" w:rsidR="0041404E" w:rsidRDefault="00000000">
      <w:pPr>
        <w:spacing w:after="0" w:line="240" w:lineRule="auto"/>
        <w:ind w:firstLine="720"/>
        <w:jc w:val="both"/>
        <w:rPr>
          <w:rFonts w:ascii="Times New Roman" w:eastAsia="Times New Roman" w:hAnsi="Times New Roman" w:cs="Times New Roman"/>
          <w:color w:val="000000"/>
        </w:rPr>
      </w:pPr>
      <w:r>
        <w:rPr>
          <w:rFonts w:ascii="Arial" w:eastAsia="Arial" w:hAnsi="Arial" w:cs="Arial"/>
          <w:color w:val="000000"/>
        </w:rPr>
        <w:t xml:space="preserve">For photosynthetic measurements, chlorophyll fluorescence of all samples was assayed using a </w:t>
      </w:r>
      <w:proofErr w:type="spellStart"/>
      <w:r>
        <w:rPr>
          <w:rFonts w:ascii="Arial" w:eastAsia="Arial" w:hAnsi="Arial" w:cs="Arial"/>
          <w:color w:val="000000"/>
        </w:rPr>
        <w:t>Hansatech</w:t>
      </w:r>
      <w:proofErr w:type="spellEnd"/>
      <w:r>
        <w:rPr>
          <w:rFonts w:ascii="Arial" w:eastAsia="Arial" w:hAnsi="Arial" w:cs="Arial"/>
          <w:color w:val="000000"/>
        </w:rPr>
        <w:t xml:space="preserve"> FMS2 system as previously described</w:t>
      </w:r>
      <w:r>
        <w:rPr>
          <w:rFonts w:ascii="Arial" w:eastAsia="Arial" w:hAnsi="Arial" w:cs="Arial"/>
          <w:color w:val="000000"/>
          <w:vertAlign w:val="superscript"/>
        </w:rPr>
        <w:t>4,5</w:t>
      </w:r>
      <w:r>
        <w:rPr>
          <w:rFonts w:ascii="Arial" w:eastAsia="Arial" w:hAnsi="Arial" w:cs="Arial"/>
          <w:color w:val="000000"/>
        </w:rPr>
        <w:t xml:space="preserve">. Samples were dark adapted for 30 min in 15 mL falcon tubes. Using a syringe filter, equal biomass of culture for each treatment were filtered on a glass fiber filter and the </w:t>
      </w:r>
      <w:r>
        <w:rPr>
          <w:rFonts w:ascii="Arial" w:eastAsia="Arial" w:hAnsi="Arial" w:cs="Arial"/>
          <w:i/>
          <w:iCs/>
          <w:color w:val="000000"/>
        </w:rPr>
        <w:t>F</w:t>
      </w:r>
      <w:r>
        <w:rPr>
          <w:rFonts w:ascii="Arial" w:eastAsia="Arial" w:hAnsi="Arial" w:cs="Arial"/>
          <w:color w:val="000000"/>
          <w:vertAlign w:val="subscript"/>
        </w:rPr>
        <w:t>v</w:t>
      </w:r>
      <w:r>
        <w:rPr>
          <w:rFonts w:ascii="Arial" w:eastAsia="Arial" w:hAnsi="Arial" w:cs="Arial"/>
          <w:i/>
          <w:iCs/>
          <w:color w:val="000000"/>
        </w:rPr>
        <w:t>/F</w:t>
      </w:r>
      <w:r>
        <w:rPr>
          <w:rFonts w:ascii="Arial" w:eastAsia="Arial" w:hAnsi="Arial" w:cs="Arial"/>
          <w:color w:val="000000"/>
          <w:vertAlign w:val="subscript"/>
        </w:rPr>
        <w:t>m</w:t>
      </w:r>
      <w:r>
        <w:rPr>
          <w:rFonts w:ascii="Arial" w:eastAsia="Arial" w:hAnsi="Arial" w:cs="Arial"/>
          <w:i/>
          <w:iCs/>
          <w:color w:val="000000"/>
        </w:rPr>
        <w:t xml:space="preserve"> </w:t>
      </w:r>
      <w:r>
        <w:rPr>
          <w:rFonts w:ascii="Arial" w:eastAsia="Arial" w:hAnsi="Arial" w:cs="Arial"/>
          <w:color w:val="000000"/>
        </w:rPr>
        <w:t>= (</w:t>
      </w:r>
      <w:r>
        <w:rPr>
          <w:rFonts w:ascii="Arial" w:eastAsia="Arial" w:hAnsi="Arial" w:cs="Arial"/>
          <w:i/>
          <w:iCs/>
          <w:color w:val="000000"/>
        </w:rPr>
        <w:t>F</w:t>
      </w:r>
      <w:r>
        <w:rPr>
          <w:rFonts w:ascii="Arial" w:eastAsia="Arial" w:hAnsi="Arial" w:cs="Arial"/>
          <w:color w:val="000000"/>
          <w:vertAlign w:val="subscript"/>
        </w:rPr>
        <w:t>m</w:t>
      </w:r>
      <w:r>
        <w:rPr>
          <w:rFonts w:ascii="Arial Unicode MS" w:eastAsia="Arial Unicode MS" w:hAnsi="Arial Unicode MS" w:cs="Arial Unicode MS"/>
          <w:color w:val="000000"/>
        </w:rPr>
        <w:t xml:space="preserve"> − </w:t>
      </w:r>
      <w:r>
        <w:rPr>
          <w:rFonts w:ascii="Arial" w:eastAsia="Arial" w:hAnsi="Arial" w:cs="Arial"/>
          <w:i/>
          <w:iCs/>
          <w:color w:val="000000"/>
        </w:rPr>
        <w:t>F</w:t>
      </w:r>
      <w:r>
        <w:rPr>
          <w:rFonts w:ascii="Arial" w:eastAsia="Arial" w:hAnsi="Arial" w:cs="Arial"/>
          <w:color w:val="000000"/>
          <w:vertAlign w:val="subscript"/>
        </w:rPr>
        <w:t>o</w:t>
      </w:r>
      <w:r>
        <w:rPr>
          <w:rFonts w:ascii="Arial" w:eastAsia="Arial" w:hAnsi="Arial" w:cs="Arial"/>
          <w:color w:val="000000"/>
        </w:rPr>
        <w:t>)/</w:t>
      </w:r>
      <w:r>
        <w:rPr>
          <w:rFonts w:ascii="Arial" w:eastAsia="Arial" w:hAnsi="Arial" w:cs="Arial"/>
          <w:i/>
          <w:iCs/>
          <w:color w:val="000000"/>
        </w:rPr>
        <w:t>F</w:t>
      </w:r>
      <w:r>
        <w:rPr>
          <w:rFonts w:ascii="Arial" w:eastAsia="Arial" w:hAnsi="Arial" w:cs="Arial"/>
          <w:color w:val="000000"/>
          <w:vertAlign w:val="subscript"/>
        </w:rPr>
        <w:t>m</w:t>
      </w:r>
      <w:r>
        <w:rPr>
          <w:rFonts w:ascii="Arial" w:eastAsia="Arial" w:hAnsi="Arial" w:cs="Arial"/>
          <w:color w:val="000000"/>
        </w:rPr>
        <w:t xml:space="preserve"> or maximum quantum efficiency of PSII was measured by placing the filter on a leaf clip. </w:t>
      </w:r>
    </w:p>
    <w:p w14:paraId="3FE1B9F8" w14:textId="77777777" w:rsidR="0041404E" w:rsidRDefault="0041404E">
      <w:pPr>
        <w:spacing w:after="0" w:line="240" w:lineRule="auto"/>
        <w:rPr>
          <w:rFonts w:ascii="Times New Roman" w:eastAsia="Times New Roman" w:hAnsi="Times New Roman" w:cs="Times New Roman"/>
          <w:color w:val="000000"/>
        </w:rPr>
      </w:pPr>
    </w:p>
    <w:p w14:paraId="51A836FC" w14:textId="77777777" w:rsidR="0041404E" w:rsidRDefault="00000000">
      <w:pPr>
        <w:spacing w:after="0" w:line="240" w:lineRule="auto"/>
        <w:jc w:val="both"/>
        <w:rPr>
          <w:rFonts w:ascii="Times New Roman" w:eastAsia="Times New Roman" w:hAnsi="Times New Roman" w:cs="Times New Roman"/>
          <w:color w:val="000000"/>
        </w:rPr>
      </w:pPr>
      <w:r>
        <w:rPr>
          <w:rFonts w:ascii="Arial" w:eastAsia="Arial" w:hAnsi="Arial" w:cs="Arial"/>
          <w:b/>
          <w:bCs/>
          <w:color w:val="000000"/>
        </w:rPr>
        <w:t xml:space="preserve">Pigments quantification. </w:t>
      </w:r>
      <w:r>
        <w:rPr>
          <w:rFonts w:ascii="Arial" w:eastAsia="Arial" w:hAnsi="Arial" w:cs="Arial"/>
          <w:color w:val="000000"/>
        </w:rPr>
        <w:t>Cellular pigments were extracted and quantified using HPLC as described previously</w:t>
      </w:r>
      <w:r>
        <w:rPr>
          <w:rFonts w:ascii="Arial" w:eastAsia="Arial" w:hAnsi="Arial" w:cs="Arial"/>
          <w:color w:val="000000"/>
          <w:vertAlign w:val="superscript"/>
        </w:rPr>
        <w:t>1,2,5</w:t>
      </w:r>
      <w:r>
        <w:rPr>
          <w:rFonts w:ascii="Arial" w:eastAsia="Arial" w:hAnsi="Arial" w:cs="Arial"/>
          <w:color w:val="000000"/>
        </w:rPr>
        <w:t>. Briefly, 2 mL of culture was collected by centrifugation at 10,000 x g for 5 min at 4</w:t>
      </w:r>
      <w:r>
        <w:rPr>
          <w:rFonts w:ascii="Arial" w:eastAsia="Arial" w:hAnsi="Arial" w:cs="Arial"/>
          <w:color w:val="000000"/>
          <w:vertAlign w:val="superscript"/>
        </w:rPr>
        <w:t>o</w:t>
      </w:r>
      <w:r>
        <w:rPr>
          <w:rFonts w:ascii="Arial" w:eastAsia="Arial" w:hAnsi="Arial" w:cs="Arial"/>
          <w:color w:val="000000"/>
        </w:rPr>
        <w:t xml:space="preserve">C. Cells were homogenized with 500 µL of chilled 100% ethanol and lysing matrix D with the Fastprep-24 5G High-Speed Homogenizer (3x60s, 6.5 m/s, MP Biomedicals). Ethanol extraction was repeated four </w:t>
      </w:r>
      <w:proofErr w:type="gramStart"/>
      <w:r>
        <w:rPr>
          <w:rFonts w:ascii="Arial" w:eastAsia="Arial" w:hAnsi="Arial" w:cs="Arial"/>
          <w:color w:val="000000"/>
        </w:rPr>
        <w:t>times</w:t>
      </w:r>
      <w:proofErr w:type="gramEnd"/>
      <w:r>
        <w:rPr>
          <w:rFonts w:ascii="Arial" w:eastAsia="Arial" w:hAnsi="Arial" w:cs="Arial"/>
          <w:color w:val="000000"/>
        </w:rPr>
        <w:t xml:space="preserve"> and the lysate was then centrifuged for 5 min at 20,000xg at 4</w:t>
      </w:r>
      <w:r>
        <w:rPr>
          <w:rFonts w:ascii="Arial" w:eastAsia="Arial" w:hAnsi="Arial" w:cs="Arial"/>
          <w:color w:val="000000"/>
          <w:vertAlign w:val="superscript"/>
        </w:rPr>
        <w:t>o</w:t>
      </w:r>
      <w:r>
        <w:rPr>
          <w:rFonts w:ascii="Arial" w:eastAsia="Arial" w:hAnsi="Arial" w:cs="Arial"/>
          <w:color w:val="000000"/>
        </w:rPr>
        <w:t>C. The supernatant was filtered with a 0.22 µm filter and run on an Agilent 1290 Infinity II HPLC system (250x4.6 mm I.D., S-5 µm) coupled to a C30 guard column (YMC America)</w:t>
      </w:r>
      <w:r>
        <w:rPr>
          <w:rFonts w:ascii="Arial" w:eastAsia="Arial" w:hAnsi="Arial" w:cs="Arial"/>
          <w:color w:val="000000"/>
          <w:vertAlign w:val="superscript"/>
        </w:rPr>
        <w:t>29</w:t>
      </w:r>
      <w:r>
        <w:rPr>
          <w:rFonts w:ascii="Arial" w:eastAsia="Arial" w:hAnsi="Arial" w:cs="Arial"/>
          <w:color w:val="000000"/>
        </w:rPr>
        <w:t xml:space="preserve">. Pigments were detected at 445 nm and standards when available were used to verify pigments. Pigment concentration was calculated in </w:t>
      </w:r>
      <w:proofErr w:type="spellStart"/>
      <w:r>
        <w:rPr>
          <w:rFonts w:ascii="Arial" w:eastAsia="Arial" w:hAnsi="Arial" w:cs="Arial"/>
          <w:color w:val="000000"/>
        </w:rPr>
        <w:t>pmol</w:t>
      </w:r>
      <w:proofErr w:type="spellEnd"/>
      <w:r>
        <w:rPr>
          <w:rFonts w:ascii="Arial" w:eastAsia="Arial" w:hAnsi="Arial" w:cs="Arial"/>
          <w:color w:val="000000"/>
        </w:rPr>
        <w:t>/mL of pigments, normalized with cell density or biomass and plotted using Prism 11.</w:t>
      </w:r>
    </w:p>
    <w:p w14:paraId="3D523DDC" w14:textId="77777777" w:rsidR="0041404E" w:rsidRDefault="0041404E">
      <w:pPr>
        <w:spacing w:after="0" w:line="240" w:lineRule="auto"/>
        <w:rPr>
          <w:rFonts w:ascii="Times New Roman" w:eastAsia="Times New Roman" w:hAnsi="Times New Roman" w:cs="Times New Roman"/>
          <w:color w:val="000000"/>
        </w:rPr>
      </w:pPr>
    </w:p>
    <w:p w14:paraId="171BF25F" w14:textId="77777777" w:rsidR="0041404E" w:rsidRPr="000A75D3" w:rsidRDefault="00000000">
      <w:pPr>
        <w:spacing w:after="0" w:line="240" w:lineRule="auto"/>
        <w:jc w:val="both"/>
        <w:rPr>
          <w:rFonts w:ascii="Arial" w:eastAsia="Times New Roman" w:hAnsi="Arial" w:cs="Arial"/>
          <w:color w:val="000000"/>
        </w:rPr>
      </w:pPr>
      <w:r>
        <w:rPr>
          <w:rFonts w:ascii="Arial" w:eastAsia="Arial" w:hAnsi="Arial" w:cs="Arial"/>
          <w:b/>
          <w:bCs/>
          <w:color w:val="000000"/>
        </w:rPr>
        <w:t xml:space="preserve">RNA preparation. </w:t>
      </w:r>
      <w:r>
        <w:rPr>
          <w:rFonts w:ascii="Arial" w:eastAsia="Arial" w:hAnsi="Arial" w:cs="Arial"/>
          <w:color w:val="000000"/>
        </w:rPr>
        <w:t xml:space="preserve">For RNA extraction, cells were collected at different time points by </w:t>
      </w:r>
      <w:r w:rsidRPr="000A75D3">
        <w:rPr>
          <w:rFonts w:ascii="Arial" w:eastAsia="Arial" w:hAnsi="Arial" w:cs="Arial"/>
          <w:color w:val="000000"/>
        </w:rPr>
        <w:t xml:space="preserve">centrifugation (3200 </w:t>
      </w:r>
      <w:r w:rsidRPr="000A75D3">
        <w:rPr>
          <w:rFonts w:ascii="Arial" w:eastAsia="Arial" w:hAnsi="Arial" w:cs="Arial"/>
          <w:i/>
          <w:iCs/>
          <w:color w:val="000000"/>
        </w:rPr>
        <w:t>g</w:t>
      </w:r>
      <w:r w:rsidRPr="000A75D3">
        <w:rPr>
          <w:rFonts w:ascii="Arial" w:eastAsia="Arial" w:hAnsi="Arial" w:cs="Arial"/>
          <w:color w:val="000000"/>
        </w:rPr>
        <w:t>, 5 min at 4</w:t>
      </w:r>
      <w:r w:rsidRPr="000A75D3">
        <w:rPr>
          <w:rFonts w:ascii="Arial" w:eastAsia="Arial" w:hAnsi="Arial" w:cs="Arial"/>
          <w:color w:val="000000"/>
          <w:vertAlign w:val="superscript"/>
        </w:rPr>
        <w:t>o</w:t>
      </w:r>
      <w:r w:rsidRPr="000A75D3">
        <w:rPr>
          <w:rFonts w:ascii="Arial" w:eastAsia="Arial" w:hAnsi="Arial" w:cs="Arial"/>
          <w:color w:val="000000"/>
        </w:rPr>
        <w:t>C) and frozen in liquid nitrogen. RNA extraction and purification was performed as previously described with certain modifications</w:t>
      </w:r>
      <w:r w:rsidRPr="000A75D3">
        <w:rPr>
          <w:rFonts w:ascii="Arial" w:eastAsia="Arial" w:hAnsi="Arial" w:cs="Arial"/>
          <w:color w:val="000000"/>
          <w:vertAlign w:val="superscript"/>
        </w:rPr>
        <w:t>6</w:t>
      </w:r>
      <w:r w:rsidRPr="000A75D3">
        <w:rPr>
          <w:rFonts w:ascii="Arial" w:eastAsia="Arial" w:hAnsi="Arial" w:cs="Arial"/>
          <w:color w:val="000000"/>
        </w:rPr>
        <w:t xml:space="preserve">. Briefly, 50 mL culture was pelleted via centrifugation (3,200 </w:t>
      </w:r>
      <w:r w:rsidRPr="000A75D3">
        <w:rPr>
          <w:rFonts w:ascii="Arial" w:eastAsia="Arial" w:hAnsi="Arial" w:cs="Arial"/>
          <w:i/>
          <w:iCs/>
          <w:color w:val="000000"/>
        </w:rPr>
        <w:t>g</w:t>
      </w:r>
      <w:r w:rsidRPr="000A75D3">
        <w:rPr>
          <w:rFonts w:ascii="Arial" w:eastAsia="Arial" w:hAnsi="Arial" w:cs="Arial"/>
          <w:color w:val="000000"/>
        </w:rPr>
        <w:t>, 5 min, 4°C) and the pellet was flash frozen in liquid nitrogen followed by fragmentation with a spatula on dry ice. Cells are then suspended in cold ethanol, transferred to Lysing Matrix D tubes, homogenized using the MP Biomedicals FastPrep-24</w:t>
      </w:r>
      <w:r w:rsidRPr="000A75D3">
        <w:rPr>
          <w:rFonts w:ascii="Arial" w:eastAsia="Arial" w:hAnsi="Arial" w:cs="Arial"/>
          <w:color w:val="000000"/>
          <w:vertAlign w:val="superscript"/>
        </w:rPr>
        <w:t>TM</w:t>
      </w:r>
      <w:r w:rsidRPr="000A75D3">
        <w:rPr>
          <w:rFonts w:ascii="Arial" w:eastAsia="Arial Unicode MS" w:hAnsi="Arial" w:cs="Arial"/>
          <w:color w:val="000000"/>
        </w:rPr>
        <w:t xml:space="preserve"> 5G homogenizer (60 s, 6.5 m/s, 3 cycles), and lysed in fresh buffer containing SDS/proteinase K. The lysate is clarified by centrifugation, mixed with </w:t>
      </w:r>
      <w:proofErr w:type="spellStart"/>
      <w:r w:rsidRPr="000A75D3">
        <w:rPr>
          <w:rFonts w:ascii="Arial" w:eastAsia="Arial Unicode MS" w:hAnsi="Arial" w:cs="Arial"/>
          <w:color w:val="000000"/>
        </w:rPr>
        <w:t>TRIzol</w:t>
      </w:r>
      <w:proofErr w:type="spellEnd"/>
      <w:r w:rsidRPr="000A75D3">
        <w:rPr>
          <w:rFonts w:ascii="Arial" w:eastAsia="Arial Unicode MS" w:hAnsi="Arial" w:cs="Arial"/>
          <w:color w:val="000000"/>
        </w:rPr>
        <w:t xml:space="preserve"> (</w:t>
      </w:r>
      <w:proofErr w:type="spellStart"/>
      <w:r w:rsidRPr="000A75D3">
        <w:rPr>
          <w:rFonts w:ascii="Arial" w:eastAsia="Arial Unicode MS" w:hAnsi="Arial" w:cs="Arial"/>
          <w:color w:val="000000"/>
        </w:rPr>
        <w:t>Thermo</w:t>
      </w:r>
      <w:proofErr w:type="spellEnd"/>
      <w:r w:rsidRPr="000A75D3">
        <w:rPr>
          <w:rFonts w:ascii="Arial" w:eastAsia="Arial Unicode MS" w:hAnsi="Arial" w:cs="Arial"/>
          <w:color w:val="000000"/>
        </w:rPr>
        <w:t xml:space="preserve"> Scientific) and centrifuged to separate phases; the aqueous phase </w:t>
      </w:r>
      <w:r w:rsidRPr="000A75D3">
        <w:rPr>
          <w:rFonts w:ascii="Arial" w:eastAsia="Arial Unicode MS" w:hAnsi="Arial" w:cs="Arial"/>
          <w:color w:val="000000"/>
        </w:rPr>
        <w:lastRenderedPageBreak/>
        <w:t xml:space="preserve">is combined with ethanol and loaded onto </w:t>
      </w:r>
      <w:proofErr w:type="spellStart"/>
      <w:r w:rsidRPr="000A75D3">
        <w:rPr>
          <w:rFonts w:ascii="Arial" w:eastAsia="Arial Unicode MS" w:hAnsi="Arial" w:cs="Arial"/>
          <w:color w:val="000000"/>
        </w:rPr>
        <w:t>miRNeasy</w:t>
      </w:r>
      <w:proofErr w:type="spellEnd"/>
      <w:r w:rsidRPr="000A75D3">
        <w:rPr>
          <w:rFonts w:ascii="Arial" w:eastAsia="Arial Unicode MS" w:hAnsi="Arial" w:cs="Arial"/>
          <w:color w:val="000000"/>
        </w:rPr>
        <w:t xml:space="preserve"> columns (Qiagen) under vacuum. After on-column DNase digestion (15 min, 30°C) RNA was eluted in water, precipitated with sodium acetate and ice-cold ethanol, incubated (−20°C, 30 min), and pelleted by centrifugation. The RNA pellet is washed with 70% ethanol, air-dried, and resuspended in RNase-free water. Finally, RNA quality is assessed via </w:t>
      </w:r>
      <w:proofErr w:type="spellStart"/>
      <w:r w:rsidRPr="000A75D3">
        <w:rPr>
          <w:rFonts w:ascii="Arial" w:eastAsia="Arial Unicode MS" w:hAnsi="Arial" w:cs="Arial"/>
          <w:color w:val="000000"/>
        </w:rPr>
        <w:t>NanoDrop</w:t>
      </w:r>
      <w:r w:rsidRPr="000A75D3">
        <w:rPr>
          <w:rFonts w:ascii="Arial" w:eastAsia="Arial" w:hAnsi="Arial" w:cs="Arial"/>
          <w:color w:val="000000"/>
          <w:vertAlign w:val="superscript"/>
        </w:rPr>
        <w:t>TM</w:t>
      </w:r>
      <w:proofErr w:type="spellEnd"/>
      <w:r w:rsidRPr="000A75D3">
        <w:rPr>
          <w:rFonts w:ascii="Arial" w:eastAsia="Arial" w:hAnsi="Arial" w:cs="Arial"/>
          <w:color w:val="000000"/>
        </w:rPr>
        <w:t xml:space="preserve"> (</w:t>
      </w:r>
      <w:proofErr w:type="spellStart"/>
      <w:r w:rsidRPr="000A75D3">
        <w:rPr>
          <w:rFonts w:ascii="Arial" w:eastAsia="Arial" w:hAnsi="Arial" w:cs="Arial"/>
          <w:color w:val="000000"/>
        </w:rPr>
        <w:t>Thermo</w:t>
      </w:r>
      <w:proofErr w:type="spellEnd"/>
      <w:r w:rsidRPr="000A75D3">
        <w:rPr>
          <w:rFonts w:ascii="Arial" w:eastAsia="Arial" w:hAnsi="Arial" w:cs="Arial"/>
          <w:color w:val="000000"/>
        </w:rPr>
        <w:t xml:space="preserve"> Scientific) spectrophotometry and a 2100 Bioanalyzer (Agilent) (RIN &gt; 8, distinct 18S/28S peaks).</w:t>
      </w:r>
    </w:p>
    <w:p w14:paraId="262DEB00" w14:textId="77777777" w:rsidR="0041404E" w:rsidRDefault="0041404E">
      <w:pPr>
        <w:spacing w:after="0" w:line="240" w:lineRule="auto"/>
        <w:rPr>
          <w:rFonts w:ascii="Times New Roman" w:eastAsia="Times New Roman" w:hAnsi="Times New Roman" w:cs="Times New Roman"/>
          <w:color w:val="000000"/>
        </w:rPr>
      </w:pPr>
    </w:p>
    <w:p w14:paraId="4A9D133A" w14:textId="77777777" w:rsidR="0041404E" w:rsidRDefault="00000000">
      <w:pPr>
        <w:spacing w:after="0" w:line="240" w:lineRule="auto"/>
        <w:jc w:val="both"/>
        <w:rPr>
          <w:rFonts w:ascii="Times New Roman" w:eastAsia="Times New Roman" w:hAnsi="Times New Roman" w:cs="Times New Roman"/>
          <w:color w:val="000000"/>
        </w:rPr>
      </w:pPr>
      <w:r>
        <w:rPr>
          <w:rFonts w:ascii="Arial" w:eastAsia="Arial" w:hAnsi="Arial" w:cs="Arial"/>
          <w:b/>
          <w:bCs/>
          <w:color w:val="000000"/>
        </w:rPr>
        <w:t>RNA quality assessment.</w:t>
      </w:r>
      <w:r>
        <w:rPr>
          <w:rFonts w:ascii="Arial" w:eastAsia="Arial" w:hAnsi="Arial" w:cs="Arial"/>
          <w:color w:val="000000"/>
        </w:rPr>
        <w:tab/>
        <w:t xml:space="preserve"> The protocol followed the Qiagen Prep wash and elution steps with the substitution of microcentrifuge (30–60 s at 14,000 rpm) in place of a vacuum manifold. RNA quality and quantity were evaluated with an Agilent 2100 Bioanalyzer. Around 3 µg RNA was submitted to the Joint Genome Institute in </w:t>
      </w:r>
      <w:proofErr w:type="spellStart"/>
      <w:r>
        <w:rPr>
          <w:rFonts w:ascii="Arial" w:eastAsia="Arial" w:hAnsi="Arial" w:cs="Arial"/>
          <w:color w:val="000000"/>
        </w:rPr>
        <w:t>NovoSeq</w:t>
      </w:r>
      <w:proofErr w:type="spellEnd"/>
      <w:r>
        <w:rPr>
          <w:rFonts w:ascii="Arial" w:eastAsia="Arial" w:hAnsi="Arial" w:cs="Arial"/>
          <w:color w:val="000000"/>
        </w:rPr>
        <w:t xml:space="preserve"> S4 plates. Further steps involved creation of </w:t>
      </w:r>
      <w:proofErr w:type="spellStart"/>
      <w:r>
        <w:rPr>
          <w:rFonts w:ascii="Arial" w:eastAsia="Arial" w:hAnsi="Arial" w:cs="Arial"/>
          <w:color w:val="000000"/>
        </w:rPr>
        <w:t>polyA</w:t>
      </w:r>
      <w:proofErr w:type="spellEnd"/>
      <w:r>
        <w:rPr>
          <w:rFonts w:ascii="Arial" w:eastAsia="Arial" w:hAnsi="Arial" w:cs="Arial"/>
          <w:color w:val="000000"/>
        </w:rPr>
        <w:t xml:space="preserve"> selection-based cDNA library for 2X151 paired end read sequencing using Illumina </w:t>
      </w:r>
      <w:proofErr w:type="spellStart"/>
      <w:r>
        <w:rPr>
          <w:rFonts w:ascii="Arial" w:eastAsia="Arial" w:hAnsi="Arial" w:cs="Arial"/>
          <w:color w:val="000000"/>
        </w:rPr>
        <w:t>NovoSeq</w:t>
      </w:r>
      <w:proofErr w:type="spellEnd"/>
      <w:r>
        <w:rPr>
          <w:rFonts w:ascii="Arial" w:eastAsia="Arial" w:hAnsi="Arial" w:cs="Arial"/>
          <w:color w:val="000000"/>
        </w:rPr>
        <w:t>. Following quality trimming of reads using the in-house JGI program BBDUK, samples had an average rRNA contamination of 0.3% and a genome mapping rate of 99.57%. </w:t>
      </w:r>
    </w:p>
    <w:p w14:paraId="06F762B4" w14:textId="77777777" w:rsidR="0041404E" w:rsidRDefault="0041404E">
      <w:pPr>
        <w:spacing w:after="0" w:line="240" w:lineRule="auto"/>
        <w:rPr>
          <w:rFonts w:ascii="Times New Roman" w:eastAsia="Times New Roman" w:hAnsi="Times New Roman" w:cs="Times New Roman"/>
          <w:color w:val="000000"/>
        </w:rPr>
      </w:pPr>
    </w:p>
    <w:p w14:paraId="5B924391" w14:textId="77777777" w:rsidR="0041404E" w:rsidRDefault="00000000">
      <w:pPr>
        <w:spacing w:after="0" w:line="240" w:lineRule="auto"/>
        <w:jc w:val="both"/>
        <w:rPr>
          <w:rFonts w:ascii="Times New Roman" w:eastAsia="Times New Roman" w:hAnsi="Times New Roman" w:cs="Times New Roman"/>
          <w:color w:val="000000"/>
        </w:rPr>
      </w:pPr>
      <w:r>
        <w:rPr>
          <w:rFonts w:ascii="Arial" w:eastAsia="Arial" w:hAnsi="Arial" w:cs="Arial"/>
          <w:b/>
          <w:bCs/>
          <w:color w:val="000000"/>
        </w:rPr>
        <w:t>RNA-Seq analysis.</w:t>
      </w:r>
      <w:r>
        <w:rPr>
          <w:rFonts w:ascii="Arial" w:eastAsia="Arial" w:hAnsi="Arial" w:cs="Arial"/>
          <w:color w:val="000000"/>
        </w:rPr>
        <w:t xml:space="preserve"> The raw read </w:t>
      </w:r>
      <w:proofErr w:type="spellStart"/>
      <w:r>
        <w:rPr>
          <w:rFonts w:ascii="Arial" w:eastAsia="Arial" w:hAnsi="Arial" w:cs="Arial"/>
          <w:color w:val="000000"/>
        </w:rPr>
        <w:t>fastq</w:t>
      </w:r>
      <w:proofErr w:type="spellEnd"/>
      <w:r>
        <w:rPr>
          <w:rFonts w:ascii="Arial" w:eastAsia="Arial" w:hAnsi="Arial" w:cs="Arial"/>
          <w:color w:val="000000"/>
        </w:rPr>
        <w:t xml:space="preserve"> files were realigned to the updated genome annotation file published in (Cz.v.5.3.annotations.gff3</w:t>
      </w:r>
      <w:r>
        <w:rPr>
          <w:rFonts w:ascii="Arial" w:eastAsia="Arial" w:hAnsi="Arial" w:cs="Arial"/>
          <w:color w:val="000000"/>
          <w:vertAlign w:val="superscript"/>
        </w:rPr>
        <w:t>7</w:t>
      </w:r>
      <w:r>
        <w:rPr>
          <w:rFonts w:ascii="Arial" w:eastAsia="Arial" w:hAnsi="Arial" w:cs="Arial"/>
          <w:color w:val="000000"/>
        </w:rPr>
        <w:t xml:space="preserve">). For further analysis, a decoy aware transcriptome index was generated with the reference genome v5.3 using the salmon-index generator tool. Reads were quantified from </w:t>
      </w:r>
      <w:proofErr w:type="spellStart"/>
      <w:r>
        <w:rPr>
          <w:rFonts w:ascii="Arial" w:eastAsia="Arial" w:hAnsi="Arial" w:cs="Arial"/>
          <w:color w:val="000000"/>
        </w:rPr>
        <w:t>fastq</w:t>
      </w:r>
      <w:proofErr w:type="spellEnd"/>
      <w:r>
        <w:rPr>
          <w:rFonts w:ascii="Arial" w:eastAsia="Arial" w:hAnsi="Arial" w:cs="Arial"/>
          <w:color w:val="000000"/>
        </w:rPr>
        <w:t xml:space="preserve"> files using the salmon pseudoalignment tool (v1.10.2) and the GC bias of the genome was incorporated by passing the -</w:t>
      </w:r>
      <w:proofErr w:type="spellStart"/>
      <w:r>
        <w:rPr>
          <w:rFonts w:ascii="Arial" w:eastAsia="Arial" w:hAnsi="Arial" w:cs="Arial"/>
          <w:color w:val="000000"/>
        </w:rPr>
        <w:t>gcBias</w:t>
      </w:r>
      <w:proofErr w:type="spellEnd"/>
      <w:r>
        <w:rPr>
          <w:rFonts w:ascii="Arial" w:eastAsia="Arial" w:hAnsi="Arial" w:cs="Arial"/>
          <w:color w:val="000000"/>
        </w:rPr>
        <w:t xml:space="preserve"> flag in salmon. The transcripts per million counts obtained from salmon were then used for differential expression analysis using the DESeq2 package (v1.46.0) in R. Z-scores were derived by standardizing log</w:t>
      </w:r>
      <w:r>
        <w:rPr>
          <w:rFonts w:ascii="Arial" w:eastAsia="Arial" w:hAnsi="Arial" w:cs="Arial"/>
          <w:color w:val="000000"/>
          <w:vertAlign w:val="subscript"/>
        </w:rPr>
        <w:t>2</w:t>
      </w:r>
      <w:r>
        <w:rPr>
          <w:rFonts w:ascii="Arial" w:eastAsia="Arial" w:hAnsi="Arial" w:cs="Arial"/>
          <w:color w:val="000000"/>
        </w:rPr>
        <w:t xml:space="preserve"> fold changes across all detected genes (subtracting the mean and dividing by the standard deviation of the log</w:t>
      </w:r>
      <w:r>
        <w:rPr>
          <w:rFonts w:ascii="Arial" w:eastAsia="Arial" w:hAnsi="Arial" w:cs="Arial"/>
          <w:color w:val="000000"/>
          <w:vertAlign w:val="subscript"/>
        </w:rPr>
        <w:t xml:space="preserve">2 </w:t>
      </w:r>
      <w:r>
        <w:rPr>
          <w:rFonts w:ascii="Arial" w:eastAsia="Arial" w:hAnsi="Arial" w:cs="Arial"/>
          <w:color w:val="000000"/>
        </w:rPr>
        <w:t>FC distribution). PCAs of the regularized log</w:t>
      </w:r>
      <w:r>
        <w:rPr>
          <w:rFonts w:ascii="Arial" w:eastAsia="Arial" w:hAnsi="Arial" w:cs="Arial"/>
          <w:color w:val="000000"/>
          <w:vertAlign w:val="subscript"/>
        </w:rPr>
        <w:t>2</w:t>
      </w:r>
      <w:r>
        <w:rPr>
          <w:rFonts w:ascii="Arial" w:eastAsia="Arial" w:hAnsi="Arial" w:cs="Arial"/>
          <w:color w:val="000000"/>
        </w:rPr>
        <w:t xml:space="preserve"> counts for the 500 genes with the highest variance were performed as discussed below. Heatmaps were generated in R with the ggplot2. k-means clustering was performed in R with the </w:t>
      </w:r>
      <w:proofErr w:type="spellStart"/>
      <w:r>
        <w:rPr>
          <w:rFonts w:ascii="Arial" w:eastAsia="Arial" w:hAnsi="Arial" w:cs="Arial"/>
          <w:color w:val="000000"/>
        </w:rPr>
        <w:t>amap</w:t>
      </w:r>
      <w:proofErr w:type="spellEnd"/>
      <w:r>
        <w:rPr>
          <w:rFonts w:ascii="Arial" w:eastAsia="Arial" w:hAnsi="Arial" w:cs="Arial"/>
          <w:color w:val="000000"/>
        </w:rPr>
        <w:t xml:space="preserve"> package (v0.8-14). Pathway annotations were downloaded from </w:t>
      </w:r>
      <w:proofErr w:type="spellStart"/>
      <w:r>
        <w:rPr>
          <w:rFonts w:ascii="Arial" w:eastAsia="Arial" w:hAnsi="Arial" w:cs="Arial"/>
          <w:color w:val="000000"/>
        </w:rPr>
        <w:t>Phytozome’s</w:t>
      </w:r>
      <w:proofErr w:type="spellEnd"/>
      <w:r>
        <w:rPr>
          <w:rFonts w:ascii="Arial" w:eastAsia="Arial" w:hAnsi="Arial" w:cs="Arial"/>
          <w:color w:val="000000"/>
        </w:rPr>
        <w:t xml:space="preserve"> </w:t>
      </w:r>
      <w:proofErr w:type="spellStart"/>
      <w:r>
        <w:rPr>
          <w:rFonts w:ascii="Arial" w:eastAsia="Arial" w:hAnsi="Arial" w:cs="Arial"/>
          <w:color w:val="000000"/>
        </w:rPr>
        <w:t>BioMart</w:t>
      </w:r>
      <w:proofErr w:type="spellEnd"/>
      <w:r>
        <w:rPr>
          <w:rFonts w:ascii="Arial" w:eastAsia="Arial" w:hAnsi="Arial" w:cs="Arial"/>
          <w:color w:val="000000"/>
        </w:rPr>
        <w:t xml:space="preserve"> (</w:t>
      </w:r>
      <w:hyperlink r:id="rId18">
        <w:r>
          <w:rPr>
            <w:rFonts w:ascii="Arial" w:eastAsia="Arial" w:hAnsi="Arial" w:cs="Arial"/>
            <w:color w:val="1155CC"/>
            <w:u w:val="single"/>
          </w:rPr>
          <w:t>https://phytozome.jgi.doe.gov/biomart</w:t>
        </w:r>
      </w:hyperlink>
      <w:r>
        <w:rPr>
          <w:rFonts w:ascii="Arial" w:eastAsia="Arial" w:hAnsi="Arial" w:cs="Arial"/>
          <w:color w:val="000000"/>
        </w:rPr>
        <w:t>) and functional enrichment was performed in R using the hypergeometric distribution with BH multiple testing correction and a false discovery rate of 0.05. Heatmaps were generated in Prism 11 using the log</w:t>
      </w:r>
      <w:r>
        <w:rPr>
          <w:rFonts w:ascii="Arial" w:eastAsia="Arial" w:hAnsi="Arial" w:cs="Arial"/>
          <w:color w:val="000000"/>
          <w:vertAlign w:val="subscript"/>
        </w:rPr>
        <w:t xml:space="preserve">2 </w:t>
      </w:r>
      <w:r>
        <w:rPr>
          <w:rFonts w:ascii="Arial" w:eastAsia="Arial" w:hAnsi="Arial" w:cs="Arial"/>
          <w:color w:val="000000"/>
        </w:rPr>
        <w:t>FC values obtained from DESeq2. </w:t>
      </w:r>
    </w:p>
    <w:p w14:paraId="15370A03" w14:textId="77777777" w:rsidR="0041404E" w:rsidRDefault="0041404E">
      <w:pPr>
        <w:spacing w:after="0" w:line="240" w:lineRule="auto"/>
        <w:rPr>
          <w:rFonts w:ascii="Times New Roman" w:eastAsia="Times New Roman" w:hAnsi="Times New Roman" w:cs="Times New Roman"/>
          <w:color w:val="000000"/>
        </w:rPr>
      </w:pPr>
    </w:p>
    <w:p w14:paraId="7B87E3FC" w14:textId="77777777" w:rsidR="0041404E" w:rsidRDefault="00000000">
      <w:pPr>
        <w:spacing w:after="0" w:line="240" w:lineRule="auto"/>
        <w:jc w:val="both"/>
        <w:rPr>
          <w:rFonts w:ascii="Times New Roman" w:eastAsia="Times New Roman" w:hAnsi="Times New Roman" w:cs="Times New Roman"/>
          <w:color w:val="000000"/>
        </w:rPr>
      </w:pPr>
      <w:r>
        <w:rPr>
          <w:rFonts w:ascii="Arial" w:eastAsia="Arial" w:hAnsi="Arial" w:cs="Arial"/>
          <w:b/>
          <w:bCs/>
          <w:color w:val="000000"/>
        </w:rPr>
        <w:t>Proteomics sample preparation</w:t>
      </w:r>
      <w:r>
        <w:rPr>
          <w:rFonts w:ascii="Arial" w:eastAsia="Arial" w:hAnsi="Arial" w:cs="Arial"/>
          <w:color w:val="000000"/>
        </w:rPr>
        <w:t>. Proteomics sample preparation was performed as previously described</w:t>
      </w:r>
      <w:r>
        <w:rPr>
          <w:rFonts w:ascii="Arial" w:eastAsia="Arial" w:hAnsi="Arial" w:cs="Arial"/>
          <w:color w:val="000000"/>
          <w:vertAlign w:val="superscript"/>
        </w:rPr>
        <w:t>3</w:t>
      </w:r>
      <w:r>
        <w:rPr>
          <w:rFonts w:ascii="Arial" w:eastAsia="Arial" w:hAnsi="Arial" w:cs="Arial"/>
          <w:color w:val="000000"/>
        </w:rPr>
        <w:t>. Briefly, ~50 mL of culture was centrifuged at 4000 rpm for 5 min at 4</w:t>
      </w:r>
      <w:r>
        <w:rPr>
          <w:rFonts w:ascii="Arial" w:eastAsia="Arial" w:hAnsi="Arial" w:cs="Arial"/>
          <w:color w:val="000000"/>
          <w:vertAlign w:val="superscript"/>
        </w:rPr>
        <w:t>o</w:t>
      </w:r>
      <w:r>
        <w:rPr>
          <w:rFonts w:ascii="Arial" w:eastAsia="Arial" w:hAnsi="Arial" w:cs="Arial"/>
          <w:color w:val="000000"/>
        </w:rPr>
        <w:t xml:space="preserve">C. The supernatant was discarded and the pellet was flash frozen in liquid nitrogen. Pellets were shipped in dry ice and stored at -80°C. For protein extraction, each cell pellet was resuspended and disrupted in a bead mill homogenizer (OMNI International). After bead beating, the lysate was immediately placed on ice. To separate the proteins, metabolites, and lipids, cold </w:t>
      </w:r>
      <w:proofErr w:type="spellStart"/>
      <w:r>
        <w:rPr>
          <w:rFonts w:ascii="Arial" w:eastAsia="Arial" w:hAnsi="Arial" w:cs="Arial"/>
          <w:color w:val="000000"/>
        </w:rPr>
        <w:t>chloroform:methanol</w:t>
      </w:r>
      <w:proofErr w:type="spellEnd"/>
      <w:r>
        <w:rPr>
          <w:rFonts w:ascii="Arial" w:eastAsia="Arial" w:hAnsi="Arial" w:cs="Arial"/>
          <w:color w:val="000000"/>
        </w:rPr>
        <w:t xml:space="preserve"> (2:1) was pipetted into a microcentrifuge tube on ice and the sample was vortexed followed by centrifugation at 4°C. The protein interface had 1 mL of cold 100% methanol added to each sample, was vortexed and centrifuged again to pellet the protein. The methanol was then decanted off, and the samples were placed open in a fume hood to dry. </w:t>
      </w:r>
    </w:p>
    <w:p w14:paraId="27424504" w14:textId="77777777" w:rsidR="0041404E" w:rsidRDefault="00000000">
      <w:pPr>
        <w:spacing w:after="0" w:line="240" w:lineRule="auto"/>
        <w:ind w:firstLine="720"/>
        <w:jc w:val="both"/>
        <w:rPr>
          <w:rFonts w:ascii="Times New Roman" w:eastAsia="Times New Roman" w:hAnsi="Times New Roman" w:cs="Times New Roman"/>
          <w:color w:val="000000"/>
        </w:rPr>
      </w:pPr>
      <w:r>
        <w:rPr>
          <w:rFonts w:ascii="Arial" w:eastAsia="Arial" w:hAnsi="Arial" w:cs="Arial"/>
          <w:color w:val="000000"/>
        </w:rPr>
        <w:lastRenderedPageBreak/>
        <w:t>The protein pellet was dissolved in 8 M urea and vortexed into solution and the protein concentration was determined using a bicinchoninic acid (BCA) assay (</w:t>
      </w:r>
      <w:proofErr w:type="spellStart"/>
      <w:r>
        <w:rPr>
          <w:rFonts w:ascii="Arial" w:eastAsia="Arial" w:hAnsi="Arial" w:cs="Arial"/>
          <w:color w:val="000000"/>
        </w:rPr>
        <w:t>Thermo</w:t>
      </w:r>
      <w:proofErr w:type="spellEnd"/>
      <w:r>
        <w:rPr>
          <w:rFonts w:ascii="Arial" w:eastAsia="Arial" w:hAnsi="Arial" w:cs="Arial"/>
          <w:color w:val="000000"/>
        </w:rPr>
        <w:t xml:space="preserve"> Scientific). Following the assay, 10 mM dithiothreitol (DTT) was added, and the samples were incubated at 60°C with constant shaking at 800 rpm. Samples were then diluted 8-fold in preparation for trypsin digestion. 100 mM NH</w:t>
      </w:r>
      <w:r>
        <w:rPr>
          <w:rFonts w:ascii="Arial" w:eastAsia="Arial" w:hAnsi="Arial" w:cs="Arial"/>
          <w:color w:val="000000"/>
          <w:vertAlign w:val="subscript"/>
        </w:rPr>
        <w:t>4</w:t>
      </w:r>
      <w:r>
        <w:rPr>
          <w:rFonts w:ascii="Arial" w:eastAsia="Arial" w:hAnsi="Arial" w:cs="Arial"/>
          <w:color w:val="000000"/>
        </w:rPr>
        <w:t>HCO</w:t>
      </w:r>
      <w:r>
        <w:rPr>
          <w:rFonts w:ascii="Arial" w:eastAsia="Arial" w:hAnsi="Arial" w:cs="Arial"/>
          <w:color w:val="000000"/>
          <w:vertAlign w:val="subscript"/>
        </w:rPr>
        <w:t>3</w:t>
      </w:r>
      <w:r>
        <w:rPr>
          <w:rFonts w:ascii="Arial" w:eastAsia="Arial" w:hAnsi="Arial" w:cs="Arial"/>
          <w:color w:val="000000"/>
        </w:rPr>
        <w:t>, 1 mM CaCl</w:t>
      </w:r>
      <w:r>
        <w:rPr>
          <w:rFonts w:ascii="Arial" w:eastAsia="Arial" w:hAnsi="Arial" w:cs="Arial"/>
          <w:color w:val="000000"/>
          <w:vertAlign w:val="subscript"/>
        </w:rPr>
        <w:t>2</w:t>
      </w:r>
      <w:r>
        <w:rPr>
          <w:rFonts w:ascii="Arial" w:eastAsia="Arial" w:hAnsi="Arial" w:cs="Arial"/>
          <w:color w:val="000000"/>
        </w:rPr>
        <w:t xml:space="preserve"> and sequencing-grade modified porcine trypsin (Promega) were added to all protein samples at a 1:50 (w/w) trypsin-to-protein ratio for 3 h at 37</w:t>
      </w:r>
      <w:r>
        <w:rPr>
          <w:rFonts w:ascii="Arial" w:eastAsia="Arial" w:hAnsi="Arial" w:cs="Arial"/>
          <w:color w:val="000000"/>
          <w:vertAlign w:val="superscript"/>
        </w:rPr>
        <w:t>o</w:t>
      </w:r>
      <w:r>
        <w:rPr>
          <w:rFonts w:ascii="Arial" w:eastAsia="Arial" w:hAnsi="Arial" w:cs="Arial"/>
          <w:color w:val="000000"/>
        </w:rPr>
        <w:t>C with constant shaking at 450 rpm. Digested samples were desalted using a 4-probe positive pressure Gilson GX-274 ASPECTM system (Gilson Inc.) with Discovery C18 100 mg/1 mL solid phase extraction tubes (</w:t>
      </w:r>
      <w:proofErr w:type="spellStart"/>
      <w:r>
        <w:rPr>
          <w:rFonts w:ascii="Arial" w:eastAsia="Arial" w:hAnsi="Arial" w:cs="Arial"/>
          <w:color w:val="000000"/>
        </w:rPr>
        <w:t>Supelco</w:t>
      </w:r>
      <w:proofErr w:type="spellEnd"/>
      <w:r>
        <w:rPr>
          <w:rFonts w:ascii="Arial" w:eastAsia="Arial" w:hAnsi="Arial" w:cs="Arial"/>
          <w:color w:val="000000"/>
        </w:rPr>
        <w:t>), using the following protocol: 3 mL of methanol was added for conditioning followed by 2 mL of 0.1% trifluoroacetic acid (TFA) in H</w:t>
      </w:r>
      <w:r>
        <w:rPr>
          <w:rFonts w:ascii="Arial" w:eastAsia="Arial" w:hAnsi="Arial" w:cs="Arial"/>
          <w:color w:val="000000"/>
          <w:vertAlign w:val="subscript"/>
        </w:rPr>
        <w:t>2</w:t>
      </w:r>
      <w:r>
        <w:rPr>
          <w:rFonts w:ascii="Arial" w:eastAsia="Arial" w:hAnsi="Arial" w:cs="Arial"/>
          <w:color w:val="000000"/>
        </w:rPr>
        <w:t>O. The samples were then loaded onto each column followed by 4 mL of 95:5: H</w:t>
      </w:r>
      <w:r>
        <w:rPr>
          <w:rFonts w:ascii="Arial" w:eastAsia="Arial" w:hAnsi="Arial" w:cs="Arial"/>
          <w:color w:val="000000"/>
          <w:vertAlign w:val="subscript"/>
        </w:rPr>
        <w:t>2</w:t>
      </w:r>
      <w:r>
        <w:rPr>
          <w:rFonts w:ascii="Arial" w:eastAsia="Arial" w:hAnsi="Arial" w:cs="Arial"/>
          <w:color w:val="000000"/>
        </w:rPr>
        <w:t>O: acetonitrile, 0.1% TFA. Samples were eluted with 1 mL 80:20 acetonitrile:H</w:t>
      </w:r>
      <w:r>
        <w:rPr>
          <w:rFonts w:ascii="Arial" w:eastAsia="Arial" w:hAnsi="Arial" w:cs="Arial"/>
          <w:color w:val="000000"/>
          <w:vertAlign w:val="subscript"/>
        </w:rPr>
        <w:t>2</w:t>
      </w:r>
      <w:r>
        <w:rPr>
          <w:rFonts w:ascii="Arial" w:eastAsia="Arial" w:hAnsi="Arial" w:cs="Arial"/>
          <w:color w:val="000000"/>
        </w:rPr>
        <w:t xml:space="preserve">O, 0.1% TFA. The samples were concentrated down to ~100μL using a </w:t>
      </w:r>
      <w:proofErr w:type="spellStart"/>
      <w:r>
        <w:rPr>
          <w:rFonts w:ascii="Arial" w:eastAsia="Arial" w:hAnsi="Arial" w:cs="Arial"/>
          <w:color w:val="000000"/>
        </w:rPr>
        <w:t>SpeedVac</w:t>
      </w:r>
      <w:proofErr w:type="spellEnd"/>
      <w:r>
        <w:rPr>
          <w:rFonts w:ascii="Arial" w:eastAsia="Arial" w:hAnsi="Arial" w:cs="Arial"/>
          <w:color w:val="000000"/>
        </w:rPr>
        <w:t xml:space="preserve">, and a final BCA assay was performed to determine the peptide concentration. An equal mass of each sample was aliquoted into fresh centrifuge tubes, dried completely in a </w:t>
      </w:r>
      <w:proofErr w:type="spellStart"/>
      <w:r>
        <w:rPr>
          <w:rFonts w:ascii="Arial" w:eastAsia="Arial" w:hAnsi="Arial" w:cs="Arial"/>
          <w:color w:val="000000"/>
        </w:rPr>
        <w:t>SpeedVac</w:t>
      </w:r>
      <w:proofErr w:type="spellEnd"/>
      <w:r>
        <w:rPr>
          <w:rFonts w:ascii="Arial" w:eastAsia="Arial" w:hAnsi="Arial" w:cs="Arial"/>
          <w:color w:val="000000"/>
        </w:rPr>
        <w:t xml:space="preserve"> and then stored at -80°C until isobaric labeling. </w:t>
      </w:r>
    </w:p>
    <w:p w14:paraId="345E77B5" w14:textId="77777777" w:rsidR="0041404E" w:rsidRDefault="0041404E">
      <w:pPr>
        <w:spacing w:after="0" w:line="240" w:lineRule="auto"/>
        <w:rPr>
          <w:rFonts w:ascii="Times New Roman" w:eastAsia="Times New Roman" w:hAnsi="Times New Roman" w:cs="Times New Roman"/>
          <w:color w:val="000000"/>
        </w:rPr>
      </w:pPr>
    </w:p>
    <w:p w14:paraId="272318A6" w14:textId="77777777" w:rsidR="0041404E" w:rsidRDefault="00000000">
      <w:pPr>
        <w:spacing w:after="0" w:line="240" w:lineRule="auto"/>
        <w:jc w:val="both"/>
        <w:rPr>
          <w:rFonts w:ascii="Times New Roman" w:eastAsia="Times New Roman" w:hAnsi="Times New Roman" w:cs="Times New Roman"/>
          <w:color w:val="000000"/>
        </w:rPr>
      </w:pPr>
      <w:r>
        <w:rPr>
          <w:rFonts w:ascii="Arial" w:eastAsia="Arial" w:hAnsi="Arial" w:cs="Arial"/>
          <w:b/>
          <w:bCs/>
          <w:color w:val="000000"/>
        </w:rPr>
        <w:t>TMT isobaric tag labeling.</w:t>
      </w:r>
      <w:r>
        <w:rPr>
          <w:rFonts w:ascii="Arial" w:eastAsia="Arial" w:hAnsi="Arial" w:cs="Arial"/>
          <w:color w:val="000000"/>
        </w:rPr>
        <w:t xml:space="preserve"> Each sample was diluted in 500 mM HEPES, pH 8.5 to a concentration of 5 </w:t>
      </w:r>
      <w:proofErr w:type="spellStart"/>
      <w:r>
        <w:rPr>
          <w:rFonts w:ascii="Arial" w:eastAsia="Arial" w:hAnsi="Arial" w:cs="Arial"/>
          <w:color w:val="000000"/>
        </w:rPr>
        <w:t>μg</w:t>
      </w:r>
      <w:proofErr w:type="spellEnd"/>
      <w:r>
        <w:rPr>
          <w:rFonts w:ascii="Arial" w:eastAsia="Arial" w:hAnsi="Arial" w:cs="Arial"/>
          <w:color w:val="000000"/>
        </w:rPr>
        <w:t>/</w:t>
      </w:r>
      <w:proofErr w:type="spellStart"/>
      <w:r>
        <w:rPr>
          <w:rFonts w:ascii="Arial" w:eastAsia="Arial" w:hAnsi="Arial" w:cs="Arial"/>
          <w:color w:val="000000"/>
        </w:rPr>
        <w:t>μl</w:t>
      </w:r>
      <w:proofErr w:type="spellEnd"/>
      <w:r>
        <w:rPr>
          <w:rFonts w:ascii="Arial" w:eastAsia="Arial" w:hAnsi="Arial" w:cs="Arial"/>
          <w:color w:val="000000"/>
        </w:rPr>
        <w:t xml:space="preserve"> and labeled using amine-reactive </w:t>
      </w:r>
      <w:proofErr w:type="spellStart"/>
      <w:r>
        <w:rPr>
          <w:rFonts w:ascii="Arial" w:eastAsia="Arial" w:hAnsi="Arial" w:cs="Arial"/>
          <w:color w:val="000000"/>
        </w:rPr>
        <w:t>Thermo</w:t>
      </w:r>
      <w:proofErr w:type="spellEnd"/>
      <w:r>
        <w:rPr>
          <w:rFonts w:ascii="Arial" w:eastAsia="Arial" w:hAnsi="Arial" w:cs="Arial"/>
          <w:color w:val="000000"/>
        </w:rPr>
        <w:t xml:space="preserve"> Scientific Tandem Mass Tag (TMT10) Isobaric Mass Tagging Kits (</w:t>
      </w:r>
      <w:proofErr w:type="spellStart"/>
      <w:r>
        <w:rPr>
          <w:rFonts w:ascii="Arial" w:eastAsia="Arial" w:hAnsi="Arial" w:cs="Arial"/>
          <w:color w:val="000000"/>
        </w:rPr>
        <w:t>Thermo</w:t>
      </w:r>
      <w:proofErr w:type="spellEnd"/>
      <w:r>
        <w:rPr>
          <w:rFonts w:ascii="Arial" w:eastAsia="Arial" w:hAnsi="Arial" w:cs="Arial"/>
          <w:color w:val="000000"/>
        </w:rPr>
        <w:t xml:space="preserve"> Scientific) according to the manufacturer’s instructions. Briefly, 250 </w:t>
      </w:r>
      <w:proofErr w:type="spellStart"/>
      <w:r>
        <w:rPr>
          <w:rFonts w:ascii="Arial" w:eastAsia="Arial" w:hAnsi="Arial" w:cs="Arial"/>
          <w:color w:val="000000"/>
        </w:rPr>
        <w:t>μL</w:t>
      </w:r>
      <w:proofErr w:type="spellEnd"/>
      <w:r>
        <w:rPr>
          <w:rFonts w:ascii="Arial" w:eastAsia="Arial" w:hAnsi="Arial" w:cs="Arial"/>
          <w:color w:val="000000"/>
        </w:rPr>
        <w:t xml:space="preserve"> of anhydrous acetonitrile was added to each 5 mg reagent, vortexed and allowed to dissolve for 5 min with occasional </w:t>
      </w:r>
      <w:proofErr w:type="spellStart"/>
      <w:r>
        <w:rPr>
          <w:rFonts w:ascii="Arial" w:eastAsia="Arial" w:hAnsi="Arial" w:cs="Arial"/>
          <w:color w:val="000000"/>
        </w:rPr>
        <w:t>vortexing</w:t>
      </w:r>
      <w:proofErr w:type="spellEnd"/>
      <w:r>
        <w:rPr>
          <w:rFonts w:ascii="Arial" w:eastAsia="Arial" w:hAnsi="Arial" w:cs="Arial"/>
          <w:color w:val="000000"/>
        </w:rPr>
        <w:t xml:space="preserve">. Reagents were then added to the samples and incubated for 1 </w:t>
      </w:r>
      <w:proofErr w:type="spellStart"/>
      <w:r>
        <w:rPr>
          <w:rFonts w:ascii="Arial" w:eastAsia="Arial" w:hAnsi="Arial" w:cs="Arial"/>
          <w:color w:val="000000"/>
        </w:rPr>
        <w:t>h at</w:t>
      </w:r>
      <w:proofErr w:type="spellEnd"/>
      <w:r>
        <w:rPr>
          <w:rFonts w:ascii="Arial" w:eastAsia="Arial" w:hAnsi="Arial" w:cs="Arial"/>
          <w:color w:val="000000"/>
        </w:rPr>
        <w:t xml:space="preserve"> RT with shaking at 400 rpm. Each sample was then diluted to 2.5 </w:t>
      </w:r>
      <w:proofErr w:type="spellStart"/>
      <w:r>
        <w:rPr>
          <w:rFonts w:ascii="Arial" w:eastAsia="Arial" w:hAnsi="Arial" w:cs="Arial"/>
          <w:color w:val="000000"/>
        </w:rPr>
        <w:t>μg</w:t>
      </w:r>
      <w:proofErr w:type="spellEnd"/>
      <w:r>
        <w:rPr>
          <w:rFonts w:ascii="Arial" w:eastAsia="Arial" w:hAnsi="Arial" w:cs="Arial"/>
          <w:color w:val="000000"/>
        </w:rPr>
        <w:t>/</w:t>
      </w:r>
      <w:proofErr w:type="spellStart"/>
      <w:r>
        <w:rPr>
          <w:rFonts w:ascii="Arial" w:eastAsia="Arial" w:hAnsi="Arial" w:cs="Arial"/>
          <w:color w:val="000000"/>
        </w:rPr>
        <w:t>μl</w:t>
      </w:r>
      <w:proofErr w:type="spellEnd"/>
      <w:r>
        <w:rPr>
          <w:rFonts w:ascii="Arial" w:eastAsia="Arial" w:hAnsi="Arial" w:cs="Arial"/>
          <w:color w:val="000000"/>
        </w:rPr>
        <w:t xml:space="preserve"> with 20% acetonitrile, and the reaction was quenched by adding 8 </w:t>
      </w:r>
      <w:proofErr w:type="spellStart"/>
      <w:r>
        <w:rPr>
          <w:rFonts w:ascii="Arial" w:eastAsia="Arial" w:hAnsi="Arial" w:cs="Arial"/>
          <w:color w:val="000000"/>
        </w:rPr>
        <w:t>μL</w:t>
      </w:r>
      <w:proofErr w:type="spellEnd"/>
      <w:r>
        <w:rPr>
          <w:rFonts w:ascii="Arial" w:eastAsia="Arial" w:hAnsi="Arial" w:cs="Arial"/>
          <w:color w:val="000000"/>
        </w:rPr>
        <w:t xml:space="preserve"> of 5% hydroxylamine to the sample with incubation for 15 min at RT with shaking at 400 rpm. The samples within each set were then combined and completely dried in the </w:t>
      </w:r>
      <w:proofErr w:type="spellStart"/>
      <w:r>
        <w:rPr>
          <w:rFonts w:ascii="Arial" w:eastAsia="Arial" w:hAnsi="Arial" w:cs="Arial"/>
          <w:color w:val="000000"/>
        </w:rPr>
        <w:t>SpeedVac</w:t>
      </w:r>
      <w:proofErr w:type="spellEnd"/>
      <w:r>
        <w:rPr>
          <w:rFonts w:ascii="Arial" w:eastAsia="Arial" w:hAnsi="Arial" w:cs="Arial"/>
          <w:color w:val="000000"/>
        </w:rPr>
        <w:t>. Each of the samples were then cleaned using C18 50 mg/1 mL solid phase extraction tubes as described above and once again assayed with BCA to determine the final peptide concentration. </w:t>
      </w:r>
    </w:p>
    <w:p w14:paraId="08754D22" w14:textId="77777777" w:rsidR="0041404E" w:rsidRDefault="0041404E">
      <w:pPr>
        <w:spacing w:after="0" w:line="240" w:lineRule="auto"/>
        <w:rPr>
          <w:rFonts w:ascii="Times New Roman" w:eastAsia="Times New Roman" w:hAnsi="Times New Roman" w:cs="Times New Roman"/>
          <w:color w:val="000000"/>
        </w:rPr>
      </w:pPr>
    </w:p>
    <w:p w14:paraId="171CC701" w14:textId="77777777" w:rsidR="0041404E" w:rsidRDefault="00000000">
      <w:pPr>
        <w:spacing w:after="0" w:line="240" w:lineRule="auto"/>
        <w:jc w:val="both"/>
        <w:rPr>
          <w:rFonts w:ascii="Times New Roman" w:eastAsia="Times New Roman" w:hAnsi="Times New Roman" w:cs="Times New Roman"/>
          <w:color w:val="000000"/>
        </w:rPr>
      </w:pPr>
      <w:proofErr w:type="spellStart"/>
      <w:r>
        <w:rPr>
          <w:rFonts w:ascii="Arial" w:eastAsia="Arial" w:hAnsi="Arial" w:cs="Arial"/>
          <w:b/>
          <w:bCs/>
          <w:color w:val="000000"/>
        </w:rPr>
        <w:t>Phosphopeptide</w:t>
      </w:r>
      <w:proofErr w:type="spellEnd"/>
      <w:r>
        <w:rPr>
          <w:rFonts w:ascii="Arial" w:eastAsia="Arial" w:hAnsi="Arial" w:cs="Arial"/>
          <w:b/>
          <w:bCs/>
          <w:color w:val="000000"/>
        </w:rPr>
        <w:t xml:space="preserve"> Enrichment.</w:t>
      </w:r>
      <w:r>
        <w:rPr>
          <w:rFonts w:ascii="Arial" w:eastAsia="Arial" w:hAnsi="Arial" w:cs="Arial"/>
          <w:color w:val="000000"/>
        </w:rPr>
        <w:t xml:space="preserve"> The TMT labeled peptides were subjected to </w:t>
      </w:r>
      <w:proofErr w:type="spellStart"/>
      <w:r>
        <w:rPr>
          <w:rFonts w:ascii="Arial" w:eastAsia="Arial" w:hAnsi="Arial" w:cs="Arial"/>
          <w:color w:val="000000"/>
        </w:rPr>
        <w:t>phosphopeptide</w:t>
      </w:r>
      <w:proofErr w:type="spellEnd"/>
      <w:r>
        <w:rPr>
          <w:rFonts w:ascii="Arial" w:eastAsia="Arial" w:hAnsi="Arial" w:cs="Arial"/>
          <w:color w:val="000000"/>
        </w:rPr>
        <w:t xml:space="preserve"> enrichment using magnetic nickel-nitriloacetic acid (Ni-NTA) beads (Qiagen) according to the manufacturer's protocol. Ni-NTA magnetic beads were washed three times with water and treated with 100 mM EDTA, pH 8.0 for 30 min. After removing the EDTA solution, beads were washed three times with water, and treated with 10 mM FeCl</w:t>
      </w:r>
      <w:r>
        <w:rPr>
          <w:rFonts w:ascii="Arial" w:eastAsia="Arial" w:hAnsi="Arial" w:cs="Arial"/>
          <w:color w:val="000000"/>
          <w:vertAlign w:val="subscript"/>
        </w:rPr>
        <w:t>3</w:t>
      </w:r>
      <w:r>
        <w:rPr>
          <w:rFonts w:ascii="Arial" w:eastAsia="Arial" w:hAnsi="Arial" w:cs="Arial"/>
          <w:color w:val="000000"/>
        </w:rPr>
        <w:t xml:space="preserve"> for 30 min. After removing excess metal ions, the beads were washed three times with water and resuspended in 1:1:1 (v/v/v) acetonitrile/methanol/0.01% (v/v) acetic acid. Beads were then conditioned using resuspending/wash buffer containing 80% (v/v) acetonitrile and 0.1% (v/v) trifluoroacetic acid, followed by incubation with peptides (100 </w:t>
      </w:r>
      <w:proofErr w:type="spellStart"/>
      <w:r>
        <w:rPr>
          <w:rFonts w:ascii="Arial" w:eastAsia="Arial" w:hAnsi="Arial" w:cs="Arial"/>
          <w:color w:val="000000"/>
        </w:rPr>
        <w:t>μg</w:t>
      </w:r>
      <w:proofErr w:type="spellEnd"/>
      <w:r>
        <w:rPr>
          <w:rFonts w:ascii="Arial" w:eastAsia="Arial" w:hAnsi="Arial" w:cs="Arial"/>
          <w:color w:val="000000"/>
        </w:rPr>
        <w:t xml:space="preserve"> peptides in 200 </w:t>
      </w:r>
      <w:proofErr w:type="spellStart"/>
      <w:r>
        <w:rPr>
          <w:rFonts w:ascii="Arial" w:eastAsia="Arial" w:hAnsi="Arial" w:cs="Arial"/>
          <w:color w:val="000000"/>
        </w:rPr>
        <w:t>μl</w:t>
      </w:r>
      <w:proofErr w:type="spellEnd"/>
      <w:r>
        <w:rPr>
          <w:rFonts w:ascii="Arial" w:eastAsia="Arial" w:hAnsi="Arial" w:cs="Arial"/>
          <w:color w:val="000000"/>
        </w:rPr>
        <w:t xml:space="preserve"> of 80% (v/v) acetonitrile with 0.1% (v/v) trifluoroacetic acid) for 30 min. The beads were washed three times with the resuspending/wash buffer and the phosphopeptides were eluted with elution buffer containing 50% (v/v) acetonitrile and 2.5% (v/v) ammonia. The eluate containing phosphopeptides was immediately acidified with 10% (v/v) trifluoroacetic acid and concentrated by vacuum centrifugation prior to mass spectrometry analysis.</w:t>
      </w:r>
    </w:p>
    <w:p w14:paraId="460B26F0" w14:textId="77777777" w:rsidR="0041404E" w:rsidRDefault="0041404E">
      <w:pPr>
        <w:spacing w:after="0" w:line="240" w:lineRule="auto"/>
        <w:rPr>
          <w:rFonts w:ascii="Times New Roman" w:eastAsia="Times New Roman" w:hAnsi="Times New Roman" w:cs="Times New Roman"/>
          <w:color w:val="000000"/>
        </w:rPr>
      </w:pPr>
    </w:p>
    <w:p w14:paraId="34E19A28" w14:textId="77777777" w:rsidR="0041404E" w:rsidRDefault="00000000">
      <w:pPr>
        <w:spacing w:after="0" w:line="240" w:lineRule="auto"/>
        <w:jc w:val="both"/>
        <w:rPr>
          <w:rFonts w:ascii="Times New Roman" w:eastAsia="Times New Roman" w:hAnsi="Times New Roman" w:cs="Times New Roman"/>
          <w:color w:val="000000"/>
        </w:rPr>
      </w:pPr>
      <w:r>
        <w:rPr>
          <w:rFonts w:ascii="Arial" w:eastAsia="Arial" w:hAnsi="Arial" w:cs="Arial"/>
          <w:b/>
          <w:bCs/>
          <w:color w:val="000000"/>
        </w:rPr>
        <w:lastRenderedPageBreak/>
        <w:t>Mass-Spectrometry Based Proteomic Analysis of Samples.</w:t>
      </w:r>
      <w:r>
        <w:rPr>
          <w:rFonts w:ascii="Arial" w:eastAsia="Arial" w:hAnsi="Arial" w:cs="Arial"/>
          <w:color w:val="000000"/>
        </w:rPr>
        <w:t xml:space="preserve"> All peptide samples were analyzed using a Waters M-Class </w:t>
      </w:r>
      <w:proofErr w:type="spellStart"/>
      <w:r>
        <w:rPr>
          <w:rFonts w:ascii="Arial" w:eastAsia="Arial" w:hAnsi="Arial" w:cs="Arial"/>
          <w:color w:val="000000"/>
        </w:rPr>
        <w:t>nanoAcquity</w:t>
      </w:r>
      <w:proofErr w:type="spellEnd"/>
      <w:r>
        <w:rPr>
          <w:rFonts w:ascii="Arial" w:eastAsia="Arial" w:hAnsi="Arial" w:cs="Arial"/>
          <w:color w:val="000000"/>
        </w:rPr>
        <w:t xml:space="preserve"> LC system coupled to a Q </w:t>
      </w:r>
      <w:proofErr w:type="spellStart"/>
      <w:r>
        <w:rPr>
          <w:rFonts w:ascii="Arial" w:eastAsia="Arial" w:hAnsi="Arial" w:cs="Arial"/>
          <w:color w:val="000000"/>
        </w:rPr>
        <w:t>Exactive</w:t>
      </w:r>
      <w:proofErr w:type="spellEnd"/>
      <w:r>
        <w:rPr>
          <w:rFonts w:ascii="Arial" w:eastAsia="Arial" w:hAnsi="Arial" w:cs="Arial"/>
          <w:color w:val="000000"/>
        </w:rPr>
        <w:t xml:space="preserve"> HFX Orbitrap mass spectrometer (</w:t>
      </w:r>
      <w:proofErr w:type="spellStart"/>
      <w:r>
        <w:rPr>
          <w:rFonts w:ascii="Arial" w:eastAsia="Arial" w:hAnsi="Arial" w:cs="Arial"/>
          <w:color w:val="000000"/>
        </w:rPr>
        <w:t>Thermo</w:t>
      </w:r>
      <w:proofErr w:type="spellEnd"/>
      <w:r>
        <w:rPr>
          <w:rFonts w:ascii="Arial" w:eastAsia="Arial" w:hAnsi="Arial" w:cs="Arial"/>
          <w:color w:val="000000"/>
        </w:rPr>
        <w:t xml:space="preserve"> Fisher Scientific, Waltham, MA). Custom-made electrospray emitters were fabricated from chemically etched fused silica with dimensions of 150 </w:t>
      </w:r>
      <w:proofErr w:type="spellStart"/>
      <w:r>
        <w:rPr>
          <w:rFonts w:ascii="Arial" w:eastAsia="Arial" w:hAnsi="Arial" w:cs="Arial"/>
          <w:color w:val="000000"/>
        </w:rPr>
        <w:t>μm</w:t>
      </w:r>
      <w:proofErr w:type="spellEnd"/>
      <w:r>
        <w:rPr>
          <w:rFonts w:ascii="Arial" w:eastAsia="Arial" w:hAnsi="Arial" w:cs="Arial"/>
          <w:color w:val="000000"/>
        </w:rPr>
        <w:t xml:space="preserve"> outer diameter (OD) x 20 </w:t>
      </w:r>
      <w:proofErr w:type="spellStart"/>
      <w:r>
        <w:rPr>
          <w:rFonts w:ascii="Arial" w:eastAsia="Arial" w:hAnsi="Arial" w:cs="Arial"/>
          <w:color w:val="000000"/>
        </w:rPr>
        <w:t>μm</w:t>
      </w:r>
      <w:proofErr w:type="spellEnd"/>
      <w:r>
        <w:rPr>
          <w:rFonts w:ascii="Arial" w:eastAsia="Arial" w:hAnsi="Arial" w:cs="Arial"/>
          <w:color w:val="000000"/>
        </w:rPr>
        <w:t xml:space="preserve"> OD x 20 </w:t>
      </w:r>
      <w:proofErr w:type="spellStart"/>
      <w:r>
        <w:rPr>
          <w:rFonts w:ascii="Arial" w:eastAsia="Arial" w:hAnsi="Arial" w:cs="Arial"/>
          <w:color w:val="000000"/>
        </w:rPr>
        <w:t>μm</w:t>
      </w:r>
      <w:proofErr w:type="spellEnd"/>
      <w:r>
        <w:rPr>
          <w:rFonts w:ascii="Arial" w:eastAsia="Arial" w:hAnsi="Arial" w:cs="Arial"/>
          <w:color w:val="000000"/>
        </w:rPr>
        <w:t xml:space="preserve"> inner diameter (ID). Separation was performed on a 25-cm fused-silica capillary analytical column (360 </w:t>
      </w:r>
      <w:proofErr w:type="spellStart"/>
      <w:r>
        <w:rPr>
          <w:rFonts w:ascii="Arial" w:eastAsia="Arial" w:hAnsi="Arial" w:cs="Arial"/>
          <w:color w:val="000000"/>
        </w:rPr>
        <w:t>μm</w:t>
      </w:r>
      <w:proofErr w:type="spellEnd"/>
      <w:r>
        <w:rPr>
          <w:rFonts w:ascii="Arial" w:eastAsia="Arial" w:hAnsi="Arial" w:cs="Arial"/>
          <w:color w:val="000000"/>
        </w:rPr>
        <w:t xml:space="preserve"> OD x 75 </w:t>
      </w:r>
      <w:proofErr w:type="spellStart"/>
      <w:r>
        <w:rPr>
          <w:rFonts w:ascii="Arial" w:eastAsia="Arial" w:hAnsi="Arial" w:cs="Arial"/>
          <w:color w:val="000000"/>
        </w:rPr>
        <w:t>μm</w:t>
      </w:r>
      <w:proofErr w:type="spellEnd"/>
      <w:r>
        <w:rPr>
          <w:rFonts w:ascii="Arial" w:eastAsia="Arial" w:hAnsi="Arial" w:cs="Arial"/>
          <w:color w:val="000000"/>
        </w:rPr>
        <w:t xml:space="preserve"> ID) packed with 1.7 </w:t>
      </w:r>
      <w:proofErr w:type="spellStart"/>
      <w:r>
        <w:rPr>
          <w:rFonts w:ascii="Arial" w:eastAsia="Arial" w:hAnsi="Arial" w:cs="Arial"/>
          <w:color w:val="000000"/>
        </w:rPr>
        <w:t>μm</w:t>
      </w:r>
      <w:proofErr w:type="spellEnd"/>
      <w:r>
        <w:rPr>
          <w:rFonts w:ascii="Arial" w:eastAsia="Arial" w:hAnsi="Arial" w:cs="Arial"/>
          <w:color w:val="000000"/>
        </w:rPr>
        <w:t xml:space="preserve"> BEH C18 particles Waters (Milford, MA). Mass spectrometric analysis was performed on a Q </w:t>
      </w:r>
      <w:proofErr w:type="spellStart"/>
      <w:r>
        <w:rPr>
          <w:rFonts w:ascii="Arial" w:eastAsia="Arial" w:hAnsi="Arial" w:cs="Arial"/>
          <w:color w:val="000000"/>
        </w:rPr>
        <w:t>Exactive</w:t>
      </w:r>
      <w:proofErr w:type="spellEnd"/>
      <w:r>
        <w:rPr>
          <w:rFonts w:ascii="Arial" w:eastAsia="Arial" w:hAnsi="Arial" w:cs="Arial"/>
          <w:color w:val="000000"/>
        </w:rPr>
        <w:t xml:space="preserve"> HFX Orbitrap (</w:t>
      </w:r>
      <w:proofErr w:type="spellStart"/>
      <w:r>
        <w:rPr>
          <w:rFonts w:ascii="Arial" w:eastAsia="Arial" w:hAnsi="Arial" w:cs="Arial"/>
          <w:color w:val="000000"/>
        </w:rPr>
        <w:t>Thermo</w:t>
      </w:r>
      <w:proofErr w:type="spellEnd"/>
      <w:r>
        <w:rPr>
          <w:rFonts w:ascii="Arial" w:eastAsia="Arial" w:hAnsi="Arial" w:cs="Arial"/>
          <w:color w:val="000000"/>
        </w:rPr>
        <w:t xml:space="preserve"> Fisher Scientific, Waltham, MA) operating in data-dependent acquisition mode. Full MS scans were acquired at a resolution of 60,000 with a target of 3 × 10⁶ ions across a mass range of 300-1800 m/z. The top sixteen most abundant precursor ions were selected for higher-energy collisional dissociation (HCD) at a resolution of 45,000 with a target of 2 × 10⁵ ions. An isolation window of ±0.7 Th (total 1.4 Th) was applied prior to HCD fragmentation. HCD scans were conducted using a normalized collision energy of 30. Dynamic exclusion was set to 45 s to prevent repeated analysis of the same ions, and charge state screening was enabled to exclude unassigned ions, singly charged ions, and species with charge states of 7 or greater.</w:t>
      </w:r>
    </w:p>
    <w:p w14:paraId="4DE3C99F" w14:textId="77777777" w:rsidR="0041404E" w:rsidRDefault="0041404E">
      <w:pPr>
        <w:spacing w:after="0" w:line="240" w:lineRule="auto"/>
        <w:rPr>
          <w:rFonts w:ascii="Times New Roman" w:eastAsia="Times New Roman" w:hAnsi="Times New Roman" w:cs="Times New Roman"/>
          <w:color w:val="000000"/>
        </w:rPr>
      </w:pPr>
    </w:p>
    <w:p w14:paraId="36BAB17A" w14:textId="77777777" w:rsidR="0041404E" w:rsidRDefault="00000000">
      <w:pPr>
        <w:spacing w:after="0" w:line="240" w:lineRule="auto"/>
        <w:jc w:val="both"/>
        <w:rPr>
          <w:rFonts w:ascii="Times New Roman" w:eastAsia="Times New Roman" w:hAnsi="Times New Roman" w:cs="Times New Roman"/>
          <w:color w:val="000000"/>
        </w:rPr>
      </w:pPr>
      <w:r>
        <w:rPr>
          <w:rFonts w:ascii="Arial" w:eastAsia="Arial" w:hAnsi="Arial" w:cs="Arial"/>
          <w:b/>
          <w:bCs/>
          <w:color w:val="000000"/>
        </w:rPr>
        <w:t>Peptide Identification and Quantification.</w:t>
      </w:r>
      <w:r>
        <w:rPr>
          <w:rFonts w:ascii="Arial" w:eastAsia="Arial" w:hAnsi="Arial" w:cs="Arial"/>
          <w:color w:val="000000"/>
        </w:rPr>
        <w:t xml:space="preserve"> MS/MS spectra were searched against decoy </w:t>
      </w:r>
      <w:r>
        <w:rPr>
          <w:rFonts w:ascii="Arial" w:eastAsia="Arial" w:hAnsi="Arial" w:cs="Arial"/>
          <w:i/>
          <w:iCs/>
          <w:color w:val="000000"/>
        </w:rPr>
        <w:t>C. zofingiensis</w:t>
      </w:r>
      <w:r>
        <w:rPr>
          <w:rFonts w:ascii="Arial" w:eastAsia="Arial" w:hAnsi="Arial" w:cs="Arial"/>
          <w:color w:val="000000"/>
        </w:rPr>
        <w:t xml:space="preserve"> protein databases (Chromochloris_zofingiensis_AlternateHXKSequences_Westcott_2019-11-25 and </w:t>
      </w:r>
    </w:p>
    <w:p w14:paraId="3337718F" w14:textId="77777777" w:rsidR="0041404E" w:rsidRDefault="00000000">
      <w:pPr>
        <w:spacing w:after="0" w:line="240" w:lineRule="auto"/>
        <w:jc w:val="both"/>
        <w:rPr>
          <w:rFonts w:ascii="Times New Roman" w:eastAsia="Times New Roman" w:hAnsi="Times New Roman" w:cs="Times New Roman"/>
          <w:color w:val="000000"/>
        </w:rPr>
      </w:pPr>
      <w:r>
        <w:rPr>
          <w:rFonts w:ascii="Arial" w:eastAsia="Arial" w:hAnsi="Arial" w:cs="Arial"/>
          <w:color w:val="000000"/>
        </w:rPr>
        <w:t>Chromochloris_zofingiensis_UCLA_v5.3.7) as well as a contaminants database (</w:t>
      </w:r>
      <w:proofErr w:type="spellStart"/>
      <w:r>
        <w:rPr>
          <w:rFonts w:ascii="Arial" w:eastAsia="Arial" w:hAnsi="Arial" w:cs="Arial"/>
          <w:color w:val="000000"/>
        </w:rPr>
        <w:t>Tryp_Pig_Bov</w:t>
      </w:r>
      <w:proofErr w:type="spellEnd"/>
      <w:r>
        <w:rPr>
          <w:rFonts w:ascii="Arial" w:eastAsia="Arial" w:hAnsi="Arial" w:cs="Arial"/>
          <w:color w:val="000000"/>
        </w:rPr>
        <w:t xml:space="preserve">) using the </w:t>
      </w:r>
      <w:proofErr w:type="spellStart"/>
      <w:r>
        <w:rPr>
          <w:rFonts w:ascii="Arial" w:eastAsia="Arial" w:hAnsi="Arial" w:cs="Arial"/>
          <w:color w:val="000000"/>
        </w:rPr>
        <w:t>MSGFPlus</w:t>
      </w:r>
      <w:proofErr w:type="spellEnd"/>
      <w:r>
        <w:rPr>
          <w:rFonts w:ascii="Arial" w:eastAsia="Arial" w:hAnsi="Arial" w:cs="Arial"/>
          <w:color w:val="000000"/>
        </w:rPr>
        <w:t xml:space="preserve"> algorithm. Instrument raw files were converted to </w:t>
      </w:r>
      <w:proofErr w:type="spellStart"/>
      <w:r>
        <w:rPr>
          <w:rFonts w:ascii="Arial" w:eastAsia="Arial" w:hAnsi="Arial" w:cs="Arial"/>
          <w:color w:val="000000"/>
        </w:rPr>
        <w:t>mzML</w:t>
      </w:r>
      <w:proofErr w:type="spellEnd"/>
      <w:r>
        <w:rPr>
          <w:rFonts w:ascii="Arial" w:eastAsia="Arial" w:hAnsi="Arial" w:cs="Arial"/>
          <w:color w:val="000000"/>
        </w:rPr>
        <w:t xml:space="preserve"> format using </w:t>
      </w:r>
      <w:proofErr w:type="spellStart"/>
      <w:r>
        <w:rPr>
          <w:rFonts w:ascii="Arial" w:eastAsia="Arial" w:hAnsi="Arial" w:cs="Arial"/>
          <w:color w:val="000000"/>
        </w:rPr>
        <w:t>MSConvert</w:t>
      </w:r>
      <w:proofErr w:type="spellEnd"/>
      <w:r>
        <w:rPr>
          <w:rFonts w:ascii="Arial" w:eastAsia="Arial" w:hAnsi="Arial" w:cs="Arial"/>
          <w:color w:val="000000"/>
        </w:rPr>
        <w:t xml:space="preserve">, and </w:t>
      </w:r>
      <w:proofErr w:type="spellStart"/>
      <w:r>
        <w:rPr>
          <w:rFonts w:ascii="Arial" w:eastAsia="Arial" w:hAnsi="Arial" w:cs="Arial"/>
          <w:color w:val="000000"/>
        </w:rPr>
        <w:t>MzRefinery</w:t>
      </w:r>
      <w:proofErr w:type="spellEnd"/>
      <w:r>
        <w:rPr>
          <w:rFonts w:ascii="Arial" w:eastAsia="Arial" w:hAnsi="Arial" w:cs="Arial"/>
          <w:color w:val="000000"/>
        </w:rPr>
        <w:t xml:space="preserve"> was used to re-calibrate MS2 scan parent m/z values. Search parameters included partial tryptic rules for both proteome and </w:t>
      </w:r>
      <w:proofErr w:type="spellStart"/>
      <w:r>
        <w:rPr>
          <w:rFonts w:ascii="Arial" w:eastAsia="Arial" w:hAnsi="Arial" w:cs="Arial"/>
          <w:color w:val="000000"/>
        </w:rPr>
        <w:t>phosphopeptide</w:t>
      </w:r>
      <w:proofErr w:type="spellEnd"/>
      <w:r>
        <w:rPr>
          <w:rFonts w:ascii="Arial" w:eastAsia="Arial" w:hAnsi="Arial" w:cs="Arial"/>
          <w:color w:val="000000"/>
        </w:rPr>
        <w:t xml:space="preserve"> data, with a ±20 ppm precursor mass tolerance. Fixed modifications were </w:t>
      </w:r>
      <w:proofErr w:type="spellStart"/>
      <w:r>
        <w:rPr>
          <w:rFonts w:ascii="Arial" w:eastAsia="Arial" w:hAnsi="Arial" w:cs="Arial"/>
          <w:color w:val="000000"/>
        </w:rPr>
        <w:t>carbamidomethylation</w:t>
      </w:r>
      <w:proofErr w:type="spellEnd"/>
      <w:r>
        <w:rPr>
          <w:rFonts w:ascii="Arial" w:eastAsia="Arial" w:hAnsi="Arial" w:cs="Arial"/>
          <w:color w:val="000000"/>
        </w:rPr>
        <w:t xml:space="preserve"> of cysteines (+57.0215 Da) and TMT labeling of </w:t>
      </w:r>
      <w:proofErr w:type="spellStart"/>
      <w:r>
        <w:rPr>
          <w:rFonts w:ascii="Arial" w:eastAsia="Arial" w:hAnsi="Arial" w:cs="Arial"/>
          <w:color w:val="000000"/>
        </w:rPr>
        <w:t>lysines</w:t>
      </w:r>
      <w:proofErr w:type="spellEnd"/>
      <w:r>
        <w:rPr>
          <w:rFonts w:ascii="Arial" w:eastAsia="Arial" w:hAnsi="Arial" w:cs="Arial"/>
          <w:color w:val="000000"/>
        </w:rPr>
        <w:t xml:space="preserve"> and peptide N-termini (+229.1629 Da). Allowed variable modifications were oxidation of methionine (+15.9949 Da). For </w:t>
      </w:r>
      <w:proofErr w:type="spellStart"/>
      <w:r>
        <w:rPr>
          <w:rFonts w:ascii="Arial" w:eastAsia="Arial" w:hAnsi="Arial" w:cs="Arial"/>
          <w:color w:val="000000"/>
        </w:rPr>
        <w:t>phosphopeptide</w:t>
      </w:r>
      <w:proofErr w:type="spellEnd"/>
      <w:r>
        <w:rPr>
          <w:rFonts w:ascii="Arial" w:eastAsia="Arial" w:hAnsi="Arial" w:cs="Arial"/>
          <w:color w:val="000000"/>
        </w:rPr>
        <w:t xml:space="preserve"> analysis, phosphorylation of serine, threonine, or tyrosine (+79.9663 Da) was additionally included as a variable modification, and the software AScore</w:t>
      </w:r>
      <w:r>
        <w:rPr>
          <w:rFonts w:ascii="Arial" w:eastAsia="Arial" w:hAnsi="Arial" w:cs="Arial"/>
          <w:color w:val="000000"/>
          <w:vertAlign w:val="superscript"/>
        </w:rPr>
        <w:t>10</w:t>
      </w:r>
      <w:r>
        <w:rPr>
          <w:rFonts w:ascii="Arial Unicode MS" w:eastAsia="Arial Unicode MS" w:hAnsi="Arial Unicode MS" w:cs="Arial Unicode MS"/>
          <w:color w:val="000000"/>
        </w:rPr>
        <w:t xml:space="preserve"> was used to localize phosphorylation sites. Peptides were filtered to a Q-value ≤ 0.01 (1% FDR) at the peptide level using the decoy approach</w:t>
      </w:r>
      <w:r>
        <w:rPr>
          <w:rFonts w:ascii="Arial" w:eastAsia="Arial" w:hAnsi="Arial" w:cs="Arial"/>
          <w:color w:val="000000"/>
          <w:vertAlign w:val="superscript"/>
        </w:rPr>
        <w:t>11</w:t>
      </w:r>
      <w:r>
        <w:rPr>
          <w:rFonts w:ascii="Arial" w:eastAsia="Arial" w:hAnsi="Arial" w:cs="Arial"/>
          <w:color w:val="000000"/>
        </w:rPr>
        <w:t>. TMT reporter ions were extracted using the MASIC software</w:t>
      </w:r>
      <w:r>
        <w:rPr>
          <w:rFonts w:ascii="Arial" w:eastAsia="Arial" w:hAnsi="Arial" w:cs="Arial"/>
          <w:color w:val="000000"/>
          <w:vertAlign w:val="superscript"/>
        </w:rPr>
        <w:t>12</w:t>
      </w:r>
      <w:r>
        <w:rPr>
          <w:rFonts w:ascii="Arial" w:eastAsia="Arial" w:hAnsi="Arial" w:cs="Arial"/>
          <w:color w:val="000000"/>
        </w:rPr>
        <w:t xml:space="preserve"> with a 0.003 Da fixed mass tolerance window for each expected TMT reporter ion as determined from each MS/MS spectrum. Abundance information was reported in the order of reporter ions as mixed, with samples randomized to reduce experimental bias.</w:t>
      </w:r>
    </w:p>
    <w:p w14:paraId="710C456D" w14:textId="77777777" w:rsidR="0041404E" w:rsidRDefault="0041404E">
      <w:pPr>
        <w:spacing w:after="0" w:line="240" w:lineRule="auto"/>
        <w:rPr>
          <w:rFonts w:ascii="Times New Roman" w:eastAsia="Times New Roman" w:hAnsi="Times New Roman" w:cs="Times New Roman"/>
          <w:color w:val="000000"/>
        </w:rPr>
      </w:pPr>
    </w:p>
    <w:p w14:paraId="7ED05590" w14:textId="77777777" w:rsidR="0041404E" w:rsidRPr="000A75D3" w:rsidRDefault="00000000">
      <w:pPr>
        <w:spacing w:after="0" w:line="240" w:lineRule="auto"/>
        <w:jc w:val="both"/>
        <w:rPr>
          <w:rFonts w:ascii="Arial" w:eastAsia="Times New Roman" w:hAnsi="Arial" w:cs="Arial"/>
          <w:color w:val="000000"/>
        </w:rPr>
      </w:pPr>
      <w:r>
        <w:rPr>
          <w:rFonts w:ascii="Arial" w:eastAsia="Arial" w:hAnsi="Arial" w:cs="Arial"/>
          <w:b/>
          <w:bCs/>
          <w:color w:val="000000"/>
        </w:rPr>
        <w:t xml:space="preserve">Downstream analysis with </w:t>
      </w:r>
      <w:proofErr w:type="spellStart"/>
      <w:r>
        <w:rPr>
          <w:rFonts w:ascii="Arial" w:eastAsia="Arial" w:hAnsi="Arial" w:cs="Arial"/>
          <w:b/>
          <w:bCs/>
          <w:color w:val="000000"/>
        </w:rPr>
        <w:t>phosphopeptide</w:t>
      </w:r>
      <w:proofErr w:type="spellEnd"/>
      <w:r>
        <w:rPr>
          <w:rFonts w:ascii="Arial" w:eastAsia="Arial" w:hAnsi="Arial" w:cs="Arial"/>
          <w:b/>
          <w:bCs/>
          <w:color w:val="000000"/>
        </w:rPr>
        <w:t xml:space="preserve"> and protein abundances.</w:t>
      </w:r>
      <w:r>
        <w:rPr>
          <w:rFonts w:ascii="Arial" w:eastAsia="Arial" w:hAnsi="Arial" w:cs="Arial"/>
          <w:color w:val="000000"/>
        </w:rPr>
        <w:t xml:space="preserve"> For phosphoproteome and proteome analysis, raw data files with 1% FDR were used. </w:t>
      </w:r>
      <w:r w:rsidRPr="000A75D3">
        <w:rPr>
          <w:rFonts w:ascii="Arial" w:eastAsia="Arial" w:hAnsi="Arial" w:cs="Arial"/>
          <w:color w:val="000000"/>
        </w:rPr>
        <w:t xml:space="preserve">Contaminant rows and blank columns were removed for analysis. </w:t>
      </w:r>
      <w:r w:rsidRPr="000A75D3">
        <w:rPr>
          <w:rFonts w:ascii="Arial" w:hAnsi="Arial" w:cs="Arial"/>
          <w:color w:val="000000"/>
        </w:rPr>
        <w:t xml:space="preserve">The FDR threshold was applied solely at the identification stage, using spectral matching to predicted peptide masses, and does not constitute statistical support for differences in </w:t>
      </w:r>
      <w:proofErr w:type="spellStart"/>
      <w:r w:rsidRPr="000A75D3">
        <w:rPr>
          <w:rFonts w:ascii="Arial" w:hAnsi="Arial" w:cs="Arial"/>
          <w:color w:val="000000"/>
        </w:rPr>
        <w:t>phosphopeptide</w:t>
      </w:r>
      <w:proofErr w:type="spellEnd"/>
      <w:r w:rsidRPr="000A75D3">
        <w:rPr>
          <w:rFonts w:ascii="Arial" w:hAnsi="Arial" w:cs="Arial"/>
          <w:color w:val="000000"/>
        </w:rPr>
        <w:t xml:space="preserve"> abundance. Contaminant rows and blank columns were removed prior to analysis. Additionally, Phosphorylated serine (S*), threonine (T*), or tyrosine (Y*) containing peptides were specifically filtered from the entire dataset. Zero intensity values were </w:t>
      </w:r>
      <w:r w:rsidRPr="000A75D3">
        <w:rPr>
          <w:rFonts w:ascii="Arial" w:hAnsi="Arial" w:cs="Arial"/>
          <w:color w:val="000000"/>
        </w:rPr>
        <w:lastRenderedPageBreak/>
        <w:t xml:space="preserve">treated as missing (NA) and were not imputed. Quantitative analysis was performed for WT at both 1 h and 24 h time points. For each time point, a peptide intensity matrix was constructed from </w:t>
      </w:r>
      <w:proofErr w:type="spellStart"/>
      <w:r w:rsidRPr="000A75D3">
        <w:rPr>
          <w:rFonts w:ascii="Arial" w:hAnsi="Arial" w:cs="Arial"/>
          <w:color w:val="000000"/>
        </w:rPr>
        <w:t>log</w:t>
      </w:r>
      <w:r w:rsidRPr="000A75D3">
        <w:rPr>
          <w:rFonts w:ascii="Cambria Math" w:hAnsi="Cambria Math" w:cs="Cambria Math"/>
          <w:color w:val="000000"/>
        </w:rPr>
        <w:t>₂</w:t>
      </w:r>
      <w:r w:rsidRPr="000A75D3">
        <w:rPr>
          <w:rFonts w:ascii="Arial" w:hAnsi="Arial" w:cs="Arial"/>
          <w:color w:val="000000"/>
        </w:rPr>
        <w:t>transformed</w:t>
      </w:r>
      <w:proofErr w:type="spellEnd"/>
      <w:r w:rsidRPr="000A75D3">
        <w:rPr>
          <w:rFonts w:ascii="Arial" w:hAnsi="Arial" w:cs="Arial"/>
          <w:color w:val="000000"/>
        </w:rPr>
        <w:t xml:space="preserve"> TMT reporter ion intensities. Peptides were retained for statistical modelling if at least one treatment group contained a minimum of two non-missing observations while all other peptides were excluded from inference. Differential </w:t>
      </w:r>
      <w:proofErr w:type="spellStart"/>
      <w:r w:rsidRPr="000A75D3">
        <w:rPr>
          <w:rFonts w:ascii="Arial" w:hAnsi="Arial" w:cs="Arial"/>
          <w:color w:val="000000"/>
        </w:rPr>
        <w:t>phosphopeptide</w:t>
      </w:r>
      <w:proofErr w:type="spellEnd"/>
      <w:r w:rsidRPr="000A75D3">
        <w:rPr>
          <w:rFonts w:ascii="Arial" w:hAnsi="Arial" w:cs="Arial"/>
          <w:color w:val="000000"/>
        </w:rPr>
        <w:t xml:space="preserve"> abundance was assessed using a linear modelling framework implemented in the R package </w:t>
      </w:r>
      <w:proofErr w:type="spellStart"/>
      <w:r w:rsidRPr="000A75D3">
        <w:rPr>
          <w:rFonts w:ascii="Arial" w:hAnsi="Arial" w:cs="Arial"/>
          <w:color w:val="000000"/>
        </w:rPr>
        <w:t>limma</w:t>
      </w:r>
      <w:proofErr w:type="spellEnd"/>
      <w:r w:rsidRPr="000A75D3">
        <w:rPr>
          <w:rFonts w:ascii="Arial" w:hAnsi="Arial" w:cs="Arial"/>
          <w:color w:val="000000"/>
        </w:rPr>
        <w:t>, with empirical Bayes moderation of variance estimates (</w:t>
      </w:r>
      <w:proofErr w:type="spellStart"/>
      <w:r w:rsidRPr="000A75D3">
        <w:rPr>
          <w:rFonts w:ascii="Arial" w:hAnsi="Arial" w:cs="Arial"/>
          <w:color w:val="000000"/>
        </w:rPr>
        <w:t>eBayes</w:t>
      </w:r>
      <w:proofErr w:type="spellEnd"/>
      <w:r w:rsidRPr="000A75D3">
        <w:rPr>
          <w:rFonts w:ascii="Arial" w:hAnsi="Arial" w:cs="Arial"/>
          <w:color w:val="000000"/>
        </w:rPr>
        <w:t>)</w:t>
      </w:r>
      <w:r w:rsidRPr="000A75D3">
        <w:rPr>
          <w:rFonts w:ascii="Arial" w:hAnsi="Arial" w:cs="Arial"/>
          <w:color w:val="000000"/>
          <w:vertAlign w:val="superscript"/>
        </w:rPr>
        <w:t>31</w:t>
      </w:r>
      <w:r w:rsidRPr="000A75D3">
        <w:rPr>
          <w:rFonts w:ascii="Arial" w:hAnsi="Arial" w:cs="Arial"/>
          <w:color w:val="000000"/>
        </w:rPr>
        <w:t xml:space="preserve">, for low-replicate proteomics data. Briefly, a design matrix was constructed with no intercept term, treating each treatment group as a fixed factor with levels: None, AZD, glucose, glucose+AZD, and sorbitol. Pairwise contrasts were defined using </w:t>
      </w:r>
      <w:proofErr w:type="spellStart"/>
      <w:r w:rsidRPr="000A75D3">
        <w:rPr>
          <w:rFonts w:ascii="Arial" w:hAnsi="Arial" w:cs="Arial"/>
          <w:color w:val="000000"/>
        </w:rPr>
        <w:t>makeContrasts</w:t>
      </w:r>
      <w:proofErr w:type="spellEnd"/>
      <w:r w:rsidRPr="000A75D3">
        <w:rPr>
          <w:rFonts w:ascii="Arial" w:hAnsi="Arial" w:cs="Arial"/>
          <w:color w:val="000000"/>
        </w:rPr>
        <w:t xml:space="preserve"> and estimated using </w:t>
      </w:r>
      <w:proofErr w:type="spellStart"/>
      <w:r w:rsidRPr="000A75D3">
        <w:rPr>
          <w:rFonts w:ascii="Arial" w:hAnsi="Arial" w:cs="Arial"/>
          <w:color w:val="000000"/>
        </w:rPr>
        <w:t>contrasts.fit</w:t>
      </w:r>
      <w:proofErr w:type="spellEnd"/>
      <w:r w:rsidRPr="000A75D3">
        <w:rPr>
          <w:rFonts w:ascii="Arial" w:hAnsi="Arial" w:cs="Arial"/>
          <w:color w:val="000000"/>
        </w:rPr>
        <w:t xml:space="preserve">, followed by empirical Bayes shrinkage. The following contrasts were tested for both 1 h and 24 h: AZD vs None, glucose vs None, glucose+AZD vs None, sorbitol vs None. The </w:t>
      </w:r>
      <w:r w:rsidRPr="000A75D3">
        <w:rPr>
          <w:rFonts w:ascii="Arial" w:hAnsi="Arial" w:cs="Arial"/>
          <w:i/>
          <w:iCs/>
          <w:color w:val="000000"/>
        </w:rPr>
        <w:t>P</w:t>
      </w:r>
      <w:r w:rsidRPr="000A75D3">
        <w:rPr>
          <w:rFonts w:ascii="Arial" w:hAnsi="Arial" w:cs="Arial"/>
          <w:color w:val="000000"/>
        </w:rPr>
        <w:t xml:space="preserve"> values are calculated using moderated </w:t>
      </w:r>
      <w:r w:rsidRPr="000A75D3">
        <w:rPr>
          <w:rFonts w:ascii="Arial" w:hAnsi="Arial" w:cs="Arial"/>
          <w:i/>
          <w:iCs/>
          <w:color w:val="000000"/>
        </w:rPr>
        <w:t>t-</w:t>
      </w:r>
      <w:r w:rsidRPr="000A75D3">
        <w:rPr>
          <w:rFonts w:ascii="Arial" w:hAnsi="Arial" w:cs="Arial"/>
          <w:color w:val="000000"/>
        </w:rPr>
        <w:t>statistics as described in</w:t>
      </w:r>
      <w:r w:rsidRPr="000A75D3">
        <w:rPr>
          <w:rFonts w:ascii="Arial" w:hAnsi="Arial" w:cs="Arial"/>
          <w:color w:val="000000"/>
          <w:vertAlign w:val="superscript"/>
        </w:rPr>
        <w:t>31</w:t>
      </w:r>
      <w:r w:rsidRPr="000A75D3">
        <w:rPr>
          <w:rFonts w:ascii="Arial" w:hAnsi="Arial" w:cs="Arial"/>
          <w:color w:val="000000"/>
        </w:rPr>
        <w:t xml:space="preserve">. Multiple testing correction was applied per contrast using the Benjamini Hochberg (BH) procedure. Phosphopeptides were considered statistically significant at a </w:t>
      </w:r>
      <w:r w:rsidRPr="000A75D3">
        <w:rPr>
          <w:rFonts w:ascii="Arial" w:hAnsi="Arial" w:cs="Arial"/>
          <w:i/>
          <w:iCs/>
          <w:color w:val="000000"/>
        </w:rPr>
        <w:t>P</w:t>
      </w:r>
      <w:r w:rsidRPr="000A75D3">
        <w:rPr>
          <w:rFonts w:ascii="Arial" w:hAnsi="Arial" w:cs="Arial"/>
          <w:color w:val="000000"/>
        </w:rPr>
        <w:t xml:space="preserve"> value ≤ 0.05. For the benchmark set of TOR targets, moderated </w:t>
      </w:r>
      <w:r w:rsidRPr="000A75D3">
        <w:rPr>
          <w:rFonts w:ascii="Arial" w:hAnsi="Arial" w:cs="Arial"/>
          <w:i/>
          <w:iCs/>
          <w:color w:val="000000"/>
        </w:rPr>
        <w:t>P</w:t>
      </w:r>
      <w:r w:rsidRPr="000A75D3">
        <w:rPr>
          <w:rFonts w:ascii="Arial" w:hAnsi="Arial" w:cs="Arial"/>
          <w:color w:val="000000"/>
        </w:rPr>
        <w:t xml:space="preserve"> values were considered.</w:t>
      </w:r>
    </w:p>
    <w:p w14:paraId="196F75F8" w14:textId="77777777" w:rsidR="0041404E" w:rsidRPr="000A75D3" w:rsidRDefault="00000000">
      <w:pPr>
        <w:spacing w:after="0" w:line="240" w:lineRule="auto"/>
        <w:ind w:firstLine="720"/>
        <w:jc w:val="both"/>
        <w:rPr>
          <w:rFonts w:ascii="Arial" w:eastAsia="Times New Roman" w:hAnsi="Arial" w:cs="Arial"/>
          <w:color w:val="000000"/>
        </w:rPr>
      </w:pPr>
      <w:r w:rsidRPr="000A75D3">
        <w:rPr>
          <w:rFonts w:ascii="Arial" w:hAnsi="Arial" w:cs="Arial"/>
          <w:color w:val="000000"/>
        </w:rPr>
        <w:t xml:space="preserve">For </w:t>
      </w:r>
      <w:proofErr w:type="spellStart"/>
      <w:r w:rsidRPr="000A75D3">
        <w:rPr>
          <w:rFonts w:ascii="Arial" w:hAnsi="Arial" w:cs="Arial"/>
          <w:color w:val="000000"/>
        </w:rPr>
        <w:t>visualisation</w:t>
      </w:r>
      <w:proofErr w:type="spellEnd"/>
      <w:r w:rsidRPr="000A75D3">
        <w:rPr>
          <w:rFonts w:ascii="Arial" w:hAnsi="Arial" w:cs="Arial"/>
          <w:color w:val="000000"/>
        </w:rPr>
        <w:t xml:space="preserve">, replicate intensities for each peptide were </w:t>
      </w:r>
      <w:proofErr w:type="spellStart"/>
      <w:r w:rsidRPr="000A75D3">
        <w:rPr>
          <w:rFonts w:ascii="Arial" w:hAnsi="Arial" w:cs="Arial"/>
          <w:color w:val="000000"/>
        </w:rPr>
        <w:t>standardised</w:t>
      </w:r>
      <w:proofErr w:type="spellEnd"/>
      <w:r w:rsidRPr="000A75D3">
        <w:rPr>
          <w:rFonts w:ascii="Arial" w:hAnsi="Arial" w:cs="Arial"/>
          <w:color w:val="000000"/>
        </w:rPr>
        <w:t xml:space="preserve"> row-wise to zero mean and unit variance (Z-score transformation), using the grand mean and standard deviation calculated across all replicates and treatment groups combined. Group-level Z-scores were then derived by averaging the </w:t>
      </w:r>
      <w:proofErr w:type="spellStart"/>
      <w:r w:rsidRPr="000A75D3">
        <w:rPr>
          <w:rFonts w:ascii="Arial" w:hAnsi="Arial" w:cs="Arial"/>
          <w:color w:val="000000"/>
        </w:rPr>
        <w:t>standardised</w:t>
      </w:r>
      <w:proofErr w:type="spellEnd"/>
      <w:r w:rsidRPr="000A75D3">
        <w:rPr>
          <w:rFonts w:ascii="Arial" w:hAnsi="Arial" w:cs="Arial"/>
          <w:color w:val="000000"/>
        </w:rPr>
        <w:t xml:space="preserve"> values within each treatment group. Contrast Z-scores, used to </w:t>
      </w:r>
      <w:proofErr w:type="spellStart"/>
      <w:r w:rsidRPr="000A75D3">
        <w:rPr>
          <w:rFonts w:ascii="Arial" w:hAnsi="Arial" w:cs="Arial"/>
          <w:color w:val="000000"/>
        </w:rPr>
        <w:t>colour</w:t>
      </w:r>
      <w:proofErr w:type="spellEnd"/>
      <w:r w:rsidRPr="000A75D3">
        <w:rPr>
          <w:rFonts w:ascii="Arial" w:hAnsi="Arial" w:cs="Arial"/>
          <w:color w:val="000000"/>
        </w:rPr>
        <w:t xml:space="preserve"> the heatmap, represent the difference in group mean Z-scores between two conditions and reflect relative displacement in units of within-peptide standard deviation. All statistical inference was performed independently on raw log</w:t>
      </w:r>
      <w:r w:rsidRPr="000A75D3">
        <w:rPr>
          <w:rFonts w:ascii="Cambria Math" w:hAnsi="Cambria Math" w:cs="Cambria Math"/>
          <w:color w:val="000000"/>
        </w:rPr>
        <w:t>₂</w:t>
      </w:r>
      <w:r w:rsidRPr="000A75D3">
        <w:rPr>
          <w:rFonts w:ascii="Arial" w:hAnsi="Arial" w:cs="Arial"/>
          <w:color w:val="000000"/>
        </w:rPr>
        <w:t xml:space="preserve"> intensities using the </w:t>
      </w:r>
      <w:proofErr w:type="spellStart"/>
      <w:r w:rsidRPr="000A75D3">
        <w:rPr>
          <w:rFonts w:ascii="Arial" w:hAnsi="Arial" w:cs="Arial"/>
          <w:color w:val="000000"/>
        </w:rPr>
        <w:t>limma</w:t>
      </w:r>
      <w:proofErr w:type="spellEnd"/>
      <w:r w:rsidRPr="000A75D3">
        <w:rPr>
          <w:rFonts w:ascii="Arial" w:hAnsi="Arial" w:cs="Arial"/>
          <w:color w:val="000000"/>
        </w:rPr>
        <w:t xml:space="preserve"> </w:t>
      </w:r>
      <w:proofErr w:type="spellStart"/>
      <w:r w:rsidRPr="000A75D3">
        <w:rPr>
          <w:rFonts w:ascii="Arial" w:hAnsi="Arial" w:cs="Arial"/>
          <w:color w:val="000000"/>
        </w:rPr>
        <w:t>eBayes</w:t>
      </w:r>
      <w:proofErr w:type="spellEnd"/>
      <w:r w:rsidRPr="000A75D3">
        <w:rPr>
          <w:rFonts w:ascii="Arial" w:hAnsi="Arial" w:cs="Arial"/>
          <w:color w:val="000000"/>
        </w:rPr>
        <w:t xml:space="preserve"> framework described above. Log</w:t>
      </w:r>
      <w:r w:rsidRPr="000A75D3">
        <w:rPr>
          <w:rFonts w:ascii="Cambria Math" w:hAnsi="Cambria Math" w:cs="Cambria Math"/>
          <w:color w:val="000000"/>
        </w:rPr>
        <w:t>₂</w:t>
      </w:r>
      <w:r w:rsidRPr="000A75D3">
        <w:rPr>
          <w:rFonts w:ascii="Arial" w:hAnsi="Arial" w:cs="Arial"/>
          <w:color w:val="000000"/>
        </w:rPr>
        <w:t xml:space="preserve"> fold change (log</w:t>
      </w:r>
      <w:r w:rsidRPr="000A75D3">
        <w:rPr>
          <w:rFonts w:ascii="Cambria Math" w:hAnsi="Cambria Math" w:cs="Cambria Math"/>
          <w:color w:val="000000"/>
        </w:rPr>
        <w:t>₂</w:t>
      </w:r>
      <w:r w:rsidRPr="000A75D3">
        <w:rPr>
          <w:rFonts w:ascii="Arial" w:hAnsi="Arial" w:cs="Arial"/>
          <w:color w:val="000000"/>
        </w:rPr>
        <w:t xml:space="preserve"> FC), Z-scores, raw </w:t>
      </w:r>
      <w:r w:rsidRPr="000A75D3">
        <w:rPr>
          <w:rFonts w:ascii="Arial" w:hAnsi="Arial" w:cs="Arial"/>
          <w:i/>
          <w:iCs/>
          <w:color w:val="000000"/>
        </w:rPr>
        <w:t>P</w:t>
      </w:r>
      <w:r w:rsidRPr="000A75D3">
        <w:rPr>
          <w:rFonts w:ascii="Arial" w:hAnsi="Arial" w:cs="Arial"/>
          <w:color w:val="000000"/>
        </w:rPr>
        <w:t xml:space="preserve"> values, and BH adjusted </w:t>
      </w:r>
      <w:r w:rsidRPr="000A75D3">
        <w:rPr>
          <w:rFonts w:ascii="Arial" w:hAnsi="Arial" w:cs="Arial"/>
          <w:i/>
          <w:iCs/>
          <w:color w:val="000000"/>
        </w:rPr>
        <w:t>P</w:t>
      </w:r>
      <w:r w:rsidRPr="000A75D3">
        <w:rPr>
          <w:rFonts w:ascii="Arial" w:hAnsi="Arial" w:cs="Arial"/>
          <w:color w:val="000000"/>
        </w:rPr>
        <w:t xml:space="preserve"> values are provided for all tested peptides in Supplementary Data 1. For visualization, only peptides satisfying all filters for </w:t>
      </w:r>
      <w:proofErr w:type="gramStart"/>
      <w:r w:rsidRPr="000A75D3">
        <w:rPr>
          <w:rFonts w:ascii="Arial" w:hAnsi="Arial" w:cs="Arial"/>
          <w:color w:val="000000"/>
        </w:rPr>
        <w:t>either timepoints</w:t>
      </w:r>
      <w:proofErr w:type="gramEnd"/>
      <w:r w:rsidRPr="000A75D3">
        <w:rPr>
          <w:rFonts w:ascii="Arial" w:hAnsi="Arial" w:cs="Arial"/>
          <w:color w:val="000000"/>
        </w:rPr>
        <w:t xml:space="preserve"> were retained. Bar graphs with raw intensity values were plotted using Prism 11. Statistical significance (</w:t>
      </w:r>
      <w:r w:rsidRPr="000A75D3">
        <w:rPr>
          <w:rFonts w:ascii="Arial" w:hAnsi="Arial" w:cs="Arial"/>
          <w:i/>
          <w:iCs/>
          <w:color w:val="000000"/>
        </w:rPr>
        <w:t xml:space="preserve">P </w:t>
      </w:r>
      <w:r w:rsidRPr="000A75D3">
        <w:rPr>
          <w:rFonts w:ascii="Arial" w:hAnsi="Arial" w:cs="Arial"/>
          <w:color w:val="000000"/>
        </w:rPr>
        <w:t>≤ 0.05) is indicated with an asterisk.</w:t>
      </w:r>
      <w:r w:rsidRPr="000A75D3">
        <w:rPr>
          <w:rFonts w:ascii="Arial" w:eastAsia="Arial" w:hAnsi="Arial" w:cs="Arial"/>
          <w:color w:val="000000"/>
        </w:rPr>
        <w:t xml:space="preserve"> To identify conserved phosphopeptides, known TOR kinase target proteins that were reported previously in </w:t>
      </w:r>
      <w:r w:rsidRPr="000A75D3">
        <w:rPr>
          <w:rFonts w:ascii="Arial" w:eastAsia="Arial" w:hAnsi="Arial" w:cs="Arial"/>
          <w:i/>
          <w:iCs/>
          <w:color w:val="000000"/>
        </w:rPr>
        <w:t>C. reinhardtii</w:t>
      </w:r>
      <w:r w:rsidRPr="000A75D3">
        <w:rPr>
          <w:rFonts w:ascii="Arial" w:eastAsia="Arial" w:hAnsi="Arial" w:cs="Arial"/>
          <w:color w:val="000000"/>
        </w:rPr>
        <w:t xml:space="preserve"> and </w:t>
      </w:r>
      <w:r w:rsidRPr="000A75D3">
        <w:rPr>
          <w:rFonts w:ascii="Arial" w:eastAsia="Arial" w:hAnsi="Arial" w:cs="Arial"/>
          <w:i/>
          <w:iCs/>
          <w:color w:val="000000"/>
        </w:rPr>
        <w:t>A. thaliana</w:t>
      </w:r>
      <w:r w:rsidRPr="000A75D3">
        <w:rPr>
          <w:rFonts w:ascii="Arial" w:eastAsia="Arial" w:hAnsi="Arial" w:cs="Arial"/>
          <w:color w:val="000000"/>
          <w:vertAlign w:val="superscript"/>
        </w:rPr>
        <w:t>13-15</w:t>
      </w:r>
      <w:r w:rsidRPr="000A75D3">
        <w:rPr>
          <w:rFonts w:ascii="Arial" w:eastAsia="Arial" w:hAnsi="Arial" w:cs="Arial"/>
          <w:color w:val="000000"/>
        </w:rPr>
        <w:t xml:space="preserve"> were extracted using a selective literature screen and blasted against the </w:t>
      </w:r>
      <w:r w:rsidRPr="000A75D3">
        <w:rPr>
          <w:rFonts w:ascii="Arial" w:eastAsia="Arial" w:hAnsi="Arial" w:cs="Arial"/>
          <w:i/>
          <w:iCs/>
          <w:color w:val="000000"/>
        </w:rPr>
        <w:t>C. zofingiensis</w:t>
      </w:r>
      <w:r w:rsidRPr="000A75D3">
        <w:rPr>
          <w:rFonts w:ascii="Arial" w:eastAsia="Arial" w:hAnsi="Arial" w:cs="Arial"/>
          <w:color w:val="000000"/>
        </w:rPr>
        <w:t xml:space="preserve"> genome. The identified orthologs from </w:t>
      </w:r>
      <w:r w:rsidRPr="000A75D3">
        <w:rPr>
          <w:rFonts w:ascii="Arial" w:eastAsia="Arial" w:hAnsi="Arial" w:cs="Arial"/>
          <w:i/>
          <w:iCs/>
          <w:color w:val="000000"/>
        </w:rPr>
        <w:t>C. zofingiensis</w:t>
      </w:r>
      <w:r w:rsidRPr="000A75D3">
        <w:rPr>
          <w:rFonts w:ascii="Arial" w:eastAsia="Arial" w:hAnsi="Arial" w:cs="Arial"/>
          <w:color w:val="000000"/>
        </w:rPr>
        <w:t xml:space="preserve"> were then aligned to both </w:t>
      </w:r>
      <w:r w:rsidRPr="000A75D3">
        <w:rPr>
          <w:rFonts w:ascii="Arial" w:eastAsia="Arial" w:hAnsi="Arial" w:cs="Arial"/>
          <w:i/>
          <w:iCs/>
          <w:color w:val="000000"/>
        </w:rPr>
        <w:t>C. reinhardtii</w:t>
      </w:r>
      <w:r w:rsidRPr="000A75D3">
        <w:rPr>
          <w:rFonts w:ascii="Arial" w:eastAsia="Arial" w:hAnsi="Arial" w:cs="Arial"/>
          <w:color w:val="000000"/>
        </w:rPr>
        <w:t xml:space="preserve"> and </w:t>
      </w:r>
      <w:r w:rsidRPr="000A75D3">
        <w:rPr>
          <w:rFonts w:ascii="Arial" w:eastAsia="Arial" w:hAnsi="Arial" w:cs="Arial"/>
          <w:i/>
          <w:iCs/>
          <w:color w:val="000000"/>
        </w:rPr>
        <w:t>A. thaliana</w:t>
      </w:r>
      <w:r w:rsidRPr="000A75D3">
        <w:rPr>
          <w:rFonts w:ascii="Arial" w:eastAsia="Arial" w:hAnsi="Arial" w:cs="Arial"/>
          <w:color w:val="000000"/>
        </w:rPr>
        <w:t xml:space="preserve"> proteins and the conserved phosphopeptides were reported. To report conservation of phosphosites in </w:t>
      </w:r>
      <w:r w:rsidRPr="000A75D3">
        <w:rPr>
          <w:rFonts w:ascii="Arial" w:eastAsia="Arial" w:hAnsi="Arial" w:cs="Arial"/>
          <w:i/>
          <w:iCs/>
          <w:color w:val="000000"/>
        </w:rPr>
        <w:t>C. zofingiensis</w:t>
      </w:r>
      <w:r w:rsidRPr="000A75D3">
        <w:rPr>
          <w:rFonts w:ascii="Arial" w:eastAsia="Arial" w:hAnsi="Arial" w:cs="Arial"/>
          <w:color w:val="000000"/>
        </w:rPr>
        <w:t xml:space="preserve">, </w:t>
      </w:r>
      <w:r w:rsidRPr="000A75D3">
        <w:rPr>
          <w:rFonts w:ascii="Arial" w:eastAsia="Arial" w:hAnsi="Arial" w:cs="Arial"/>
          <w:i/>
          <w:iCs/>
          <w:color w:val="000000"/>
        </w:rPr>
        <w:t>C. reinhardtii</w:t>
      </w:r>
      <w:r w:rsidRPr="000A75D3">
        <w:rPr>
          <w:rFonts w:ascii="Arial" w:eastAsia="Arial" w:hAnsi="Arial" w:cs="Arial"/>
          <w:color w:val="000000"/>
        </w:rPr>
        <w:t xml:space="preserve">, </w:t>
      </w:r>
      <w:r w:rsidRPr="000A75D3">
        <w:rPr>
          <w:rFonts w:ascii="Arial" w:eastAsia="Arial" w:hAnsi="Arial" w:cs="Arial"/>
          <w:i/>
          <w:iCs/>
          <w:color w:val="000000"/>
        </w:rPr>
        <w:t xml:space="preserve">Auxenochlorella </w:t>
      </w:r>
      <w:r w:rsidRPr="000A75D3">
        <w:rPr>
          <w:rFonts w:ascii="Arial" w:eastAsia="Arial" w:hAnsi="Arial" w:cs="Arial"/>
          <w:color w:val="000000"/>
        </w:rPr>
        <w:t>UTEX 250-A</w:t>
      </w:r>
      <w:r w:rsidRPr="000A75D3">
        <w:rPr>
          <w:rFonts w:ascii="Arial" w:eastAsia="Arial" w:hAnsi="Arial" w:cs="Arial"/>
          <w:i/>
          <w:iCs/>
          <w:color w:val="000000"/>
        </w:rPr>
        <w:t xml:space="preserve"> </w:t>
      </w:r>
      <w:r w:rsidRPr="000A75D3">
        <w:rPr>
          <w:rFonts w:ascii="Arial" w:eastAsia="Arial" w:hAnsi="Arial" w:cs="Arial"/>
          <w:color w:val="000000"/>
        </w:rPr>
        <w:t xml:space="preserve">and </w:t>
      </w:r>
      <w:r w:rsidRPr="000A75D3">
        <w:rPr>
          <w:rFonts w:ascii="Arial" w:eastAsia="Arial" w:hAnsi="Arial" w:cs="Arial"/>
          <w:i/>
          <w:iCs/>
          <w:color w:val="000000"/>
        </w:rPr>
        <w:t>A. thaliana</w:t>
      </w:r>
      <w:r w:rsidRPr="000A75D3">
        <w:rPr>
          <w:rFonts w:ascii="Arial" w:eastAsia="Arial" w:hAnsi="Arial" w:cs="Arial"/>
          <w:color w:val="000000"/>
        </w:rPr>
        <w:t>, a sequence window of 8-12 residues surrounding the phosphosite was reported for selected targets of TOR kinase. </w:t>
      </w:r>
    </w:p>
    <w:p w14:paraId="640D59EC" w14:textId="77777777" w:rsidR="0041404E" w:rsidRPr="000A75D3" w:rsidRDefault="00000000">
      <w:pPr>
        <w:spacing w:after="0" w:line="240" w:lineRule="auto"/>
        <w:ind w:firstLine="720"/>
        <w:jc w:val="both"/>
        <w:rPr>
          <w:rFonts w:ascii="Arial" w:eastAsia="Times New Roman" w:hAnsi="Arial" w:cs="Arial"/>
          <w:color w:val="000000"/>
        </w:rPr>
      </w:pPr>
      <w:r>
        <w:rPr>
          <w:rFonts w:ascii="Arial" w:eastAsia="Arial" w:hAnsi="Arial" w:cs="Arial"/>
          <w:color w:val="000000"/>
        </w:rPr>
        <w:t xml:space="preserve">For global proteome analysis, peptide rollup was performed for all proteins to combine the intensities of all peptides of a protein. Contaminant rows and blank columns were removed for analysis. Rows with missing values were removed and further statistical analysis was performed on the resultant table of combined intensities as described above using the </w:t>
      </w:r>
      <w:proofErr w:type="spellStart"/>
      <w:r>
        <w:rPr>
          <w:rFonts w:ascii="Arial" w:eastAsia="Arial" w:hAnsi="Arial" w:cs="Arial"/>
          <w:color w:val="000000"/>
        </w:rPr>
        <w:t>limma</w:t>
      </w:r>
      <w:proofErr w:type="spellEnd"/>
      <w:r>
        <w:rPr>
          <w:rFonts w:ascii="Arial" w:eastAsia="Arial" w:hAnsi="Arial" w:cs="Arial"/>
          <w:color w:val="000000"/>
        </w:rPr>
        <w:t xml:space="preserve"> package. </w:t>
      </w:r>
      <w:r>
        <w:rPr>
          <w:rFonts w:ascii="Arial" w:eastAsia="Arial" w:hAnsi="Arial" w:cs="Arial"/>
          <w:i/>
          <w:iCs/>
          <w:color w:val="000000"/>
        </w:rPr>
        <w:t>P</w:t>
      </w:r>
      <w:r>
        <w:rPr>
          <w:rFonts w:ascii="Arial" w:eastAsia="Arial" w:hAnsi="Arial" w:cs="Arial"/>
          <w:color w:val="000000"/>
        </w:rPr>
        <w:t xml:space="preserve"> values and Z-scores were calculated using moderated </w:t>
      </w:r>
      <w:r>
        <w:rPr>
          <w:rFonts w:ascii="Arial" w:eastAsia="Arial" w:hAnsi="Arial" w:cs="Arial"/>
          <w:i/>
          <w:iCs/>
          <w:color w:val="000000"/>
        </w:rPr>
        <w:t>t</w:t>
      </w:r>
      <w:r>
        <w:rPr>
          <w:rFonts w:ascii="Arial" w:eastAsia="Arial" w:hAnsi="Arial" w:cs="Arial"/>
          <w:color w:val="000000"/>
        </w:rPr>
        <w:t xml:space="preserve">-statistics and provided (Supplementary Data 2) For PCA analysis of the global proteome, the raw intensity values were log transformed, and percent variance was calculated using the </w:t>
      </w:r>
      <w:proofErr w:type="spellStart"/>
      <w:r>
        <w:rPr>
          <w:rFonts w:ascii="Arial" w:eastAsia="Arial" w:hAnsi="Arial" w:cs="Arial"/>
          <w:color w:val="000000"/>
        </w:rPr>
        <w:t>prcomp</w:t>
      </w:r>
      <w:proofErr w:type="spellEnd"/>
      <w:r>
        <w:rPr>
          <w:rFonts w:ascii="Arial" w:eastAsia="Arial" w:hAnsi="Arial" w:cs="Arial"/>
          <w:color w:val="000000"/>
        </w:rPr>
        <w:t xml:space="preserve"> function in R using the </w:t>
      </w:r>
      <w:proofErr w:type="spellStart"/>
      <w:r>
        <w:rPr>
          <w:rFonts w:ascii="Arial" w:eastAsia="Arial" w:hAnsi="Arial" w:cs="Arial"/>
          <w:color w:val="000000"/>
        </w:rPr>
        <w:t>PCAtools</w:t>
      </w:r>
      <w:proofErr w:type="spellEnd"/>
      <w:r>
        <w:rPr>
          <w:rFonts w:ascii="Arial" w:eastAsia="Arial" w:hAnsi="Arial" w:cs="Arial"/>
          <w:color w:val="000000"/>
        </w:rPr>
        <w:t xml:space="preserve"> package (v2.18.0).  The first two principal component coordinates were then extracted and plotted through ggplot2 (v3.3.5) to </w:t>
      </w:r>
      <w:r>
        <w:rPr>
          <w:rFonts w:ascii="Arial" w:eastAsia="Arial" w:hAnsi="Arial" w:cs="Arial"/>
          <w:color w:val="000000"/>
        </w:rPr>
        <w:lastRenderedPageBreak/>
        <w:t>provide shape and color features consistent with the variables. For statistical analysis of the global proteome, Z-scores and log</w:t>
      </w:r>
      <w:r>
        <w:rPr>
          <w:rFonts w:ascii="Arial" w:eastAsia="Arial" w:hAnsi="Arial" w:cs="Arial"/>
          <w:color w:val="000000"/>
          <w:vertAlign w:val="subscript"/>
        </w:rPr>
        <w:t xml:space="preserve">2 </w:t>
      </w:r>
      <w:r>
        <w:rPr>
          <w:rFonts w:ascii="Arial" w:eastAsia="Arial" w:hAnsi="Arial" w:cs="Arial"/>
          <w:color w:val="000000"/>
        </w:rPr>
        <w:t xml:space="preserve">FC of the protein intensities were calculated for the above-mentioned contrasts and </w:t>
      </w:r>
      <w:r>
        <w:rPr>
          <w:rFonts w:ascii="Arial" w:eastAsia="Arial" w:hAnsi="Arial" w:cs="Arial"/>
          <w:i/>
          <w:iCs/>
          <w:color w:val="000000"/>
        </w:rPr>
        <w:t>t</w:t>
      </w:r>
      <w:r>
        <w:rPr>
          <w:rFonts w:ascii="Arial" w:eastAsia="Arial" w:hAnsi="Arial" w:cs="Arial"/>
          <w:color w:val="000000"/>
        </w:rPr>
        <w:t xml:space="preserve">-tests were performed in R to calculate the p value. </w:t>
      </w:r>
      <w:r w:rsidRPr="000A75D3">
        <w:rPr>
          <w:rFonts w:ascii="Arial" w:hAnsi="Arial" w:cs="Arial"/>
        </w:rPr>
        <w:t>A limit of quantitation (LOQ) was calculated per comparison as the mean of all averaged log</w:t>
      </w:r>
      <w:r w:rsidRPr="000A75D3">
        <w:rPr>
          <w:rFonts w:ascii="Arial" w:hAnsi="Arial" w:cs="Arial"/>
          <w:vertAlign w:val="subscript"/>
        </w:rPr>
        <w:t>2</w:t>
      </w:r>
      <w:r w:rsidRPr="000A75D3">
        <w:rPr>
          <w:rFonts w:ascii="Arial" w:hAnsi="Arial" w:cs="Arial"/>
        </w:rPr>
        <w:t xml:space="preserve"> protein abundances across both conditions minus two standard deviations ( individual proteomics feature is the result of averaging (individual proteomics values are the result of averaging of a  minimum of 2 protein intensity values), and only proteins exceeding the LOQ in comparable conditions were used to calculate protein Z-scores. Z-scores were computed using the same formula for both the proteomic and transcriptomic data and involves subtracting the mean log</w:t>
      </w:r>
      <w:r w:rsidRPr="000A75D3">
        <w:rPr>
          <w:rFonts w:ascii="Arial" w:hAnsi="Arial" w:cs="Arial"/>
          <w:vertAlign w:val="subscript"/>
        </w:rPr>
        <w:t>2</w:t>
      </w:r>
      <w:r w:rsidRPr="000A75D3">
        <w:rPr>
          <w:rFonts w:ascii="Arial" w:hAnsi="Arial" w:cs="Arial"/>
        </w:rPr>
        <w:t xml:space="preserve"> fold change of all features in that comparison from the individual feature’s log</w:t>
      </w:r>
      <w:r w:rsidRPr="000A75D3">
        <w:rPr>
          <w:rFonts w:ascii="Arial" w:hAnsi="Arial" w:cs="Arial"/>
          <w:vertAlign w:val="subscript"/>
        </w:rPr>
        <w:t>2</w:t>
      </w:r>
      <w:r w:rsidRPr="000A75D3">
        <w:rPr>
          <w:rFonts w:ascii="Arial" w:hAnsi="Arial" w:cs="Arial"/>
        </w:rPr>
        <w:t xml:space="preserve"> fold change, then dividing by the standard deviation of all log</w:t>
      </w:r>
      <w:r w:rsidRPr="000A75D3">
        <w:rPr>
          <w:rFonts w:ascii="Arial" w:hAnsi="Arial" w:cs="Arial"/>
          <w:vertAlign w:val="subscript"/>
        </w:rPr>
        <w:t>2</w:t>
      </w:r>
      <w:r w:rsidRPr="000A75D3">
        <w:rPr>
          <w:rFonts w:ascii="Arial" w:hAnsi="Arial" w:cs="Arial"/>
        </w:rPr>
        <w:t xml:space="preserve"> fold changes in that comparison, thereby the resulting protein and transcript Z-scores are directly comparable. </w:t>
      </w:r>
      <w:r w:rsidRPr="000A75D3">
        <w:rPr>
          <w:rFonts w:ascii="Arial" w:eastAsia="Arial" w:hAnsi="Arial" w:cs="Arial"/>
          <w:color w:val="000000"/>
        </w:rPr>
        <w:t xml:space="preserve">Pearson correlation was calculated between the Z-scores of </w:t>
      </w:r>
      <w:proofErr w:type="gramStart"/>
      <w:r w:rsidRPr="000A75D3">
        <w:rPr>
          <w:rFonts w:ascii="Arial" w:eastAsia="Arial" w:hAnsi="Arial" w:cs="Arial"/>
          <w:color w:val="000000"/>
        </w:rPr>
        <w:t>transcript</w:t>
      </w:r>
      <w:proofErr w:type="gramEnd"/>
      <w:r w:rsidRPr="000A75D3">
        <w:rPr>
          <w:rFonts w:ascii="Arial" w:eastAsia="Arial" w:hAnsi="Arial" w:cs="Arial"/>
          <w:color w:val="000000"/>
        </w:rPr>
        <w:t xml:space="preserve"> and protein for each gene. The correlation was plotted using Prism 11. Pathway enrichment was performed as described below. </w:t>
      </w:r>
    </w:p>
    <w:p w14:paraId="6F3FA0BA" w14:textId="77777777" w:rsidR="0041404E" w:rsidRDefault="0041404E">
      <w:pPr>
        <w:spacing w:after="0" w:line="240" w:lineRule="auto"/>
        <w:rPr>
          <w:rFonts w:ascii="Times New Roman" w:eastAsia="Times New Roman" w:hAnsi="Times New Roman" w:cs="Times New Roman"/>
          <w:color w:val="000000"/>
        </w:rPr>
      </w:pPr>
    </w:p>
    <w:p w14:paraId="7705F248" w14:textId="77777777" w:rsidR="0041404E" w:rsidRDefault="00000000">
      <w:pPr>
        <w:spacing w:after="0" w:line="240" w:lineRule="auto"/>
        <w:jc w:val="both"/>
        <w:rPr>
          <w:rFonts w:ascii="Times New Roman" w:eastAsia="Times New Roman" w:hAnsi="Times New Roman" w:cs="Times New Roman"/>
          <w:color w:val="000000"/>
        </w:rPr>
      </w:pPr>
      <w:r>
        <w:rPr>
          <w:rFonts w:ascii="Arial" w:eastAsia="Arial" w:hAnsi="Arial" w:cs="Arial"/>
          <w:b/>
          <w:bCs/>
          <w:color w:val="000000"/>
        </w:rPr>
        <w:t>Metabolomic sample preparation.</w:t>
      </w:r>
      <w:r>
        <w:rPr>
          <w:rFonts w:ascii="Arial" w:eastAsia="Arial" w:hAnsi="Arial" w:cs="Arial"/>
          <w:color w:val="000000"/>
        </w:rPr>
        <w:t xml:space="preserve"> For metabolite extraction, cells were pelleted at required time points for 5 min at 4000 rpm in a </w:t>
      </w:r>
      <w:proofErr w:type="spellStart"/>
      <w:r>
        <w:rPr>
          <w:rFonts w:ascii="Arial" w:eastAsia="Arial" w:hAnsi="Arial" w:cs="Arial"/>
          <w:color w:val="000000"/>
        </w:rPr>
        <w:t>GeneMate</w:t>
      </w:r>
      <w:proofErr w:type="spellEnd"/>
      <w:r>
        <w:rPr>
          <w:rFonts w:ascii="Arial" w:eastAsia="Arial" w:hAnsi="Arial" w:cs="Arial"/>
          <w:color w:val="000000"/>
        </w:rPr>
        <w:t xml:space="preserve"> 2 mL screw cap tubes. The supernatant was discarded and the cells were frozen in liquid nitrogen. Cell pellets were resuspended in 500</w:t>
      </w:r>
      <w:r>
        <w:rPr>
          <w:color w:val="000000"/>
        </w:rPr>
        <w:t>µ</w:t>
      </w:r>
      <w:r>
        <w:rPr>
          <w:rFonts w:ascii="Arial" w:eastAsia="Arial" w:hAnsi="Arial" w:cs="Arial"/>
          <w:color w:val="000000"/>
        </w:rPr>
        <w:t>L water and pipetted up and down to break apart cell pellet; the suspended pellets were then immediately frozen at -80</w:t>
      </w:r>
      <w:r>
        <w:rPr>
          <w:rFonts w:ascii="Arial" w:eastAsia="Arial" w:hAnsi="Arial" w:cs="Arial"/>
          <w:color w:val="000000"/>
          <w:vertAlign w:val="superscript"/>
        </w:rPr>
        <w:t>o</w:t>
      </w:r>
      <w:r>
        <w:rPr>
          <w:rFonts w:ascii="Arial" w:eastAsia="Arial" w:hAnsi="Arial" w:cs="Arial"/>
          <w:color w:val="000000"/>
        </w:rPr>
        <w:t>C and lyophilized.  The dried material was homogenized for 5 s, 3 times with 10 s breaks to prevent overheating with a 3.2 mm stainless steel bead (</w:t>
      </w:r>
      <w:proofErr w:type="spellStart"/>
      <w:r>
        <w:rPr>
          <w:rFonts w:ascii="Arial" w:eastAsia="Arial" w:hAnsi="Arial" w:cs="Arial"/>
          <w:color w:val="000000"/>
        </w:rPr>
        <w:t>BioSpec</w:t>
      </w:r>
      <w:proofErr w:type="spellEnd"/>
      <w:r>
        <w:rPr>
          <w:rFonts w:ascii="Arial" w:eastAsia="Arial" w:hAnsi="Arial" w:cs="Arial"/>
          <w:color w:val="000000"/>
        </w:rPr>
        <w:t xml:space="preserve"> Products) in each tube using a Mini-</w:t>
      </w:r>
      <w:proofErr w:type="spellStart"/>
      <w:r>
        <w:rPr>
          <w:rFonts w:ascii="Arial" w:eastAsia="Arial" w:hAnsi="Arial" w:cs="Arial"/>
          <w:color w:val="000000"/>
        </w:rPr>
        <w:t>Beadbeater</w:t>
      </w:r>
      <w:proofErr w:type="spellEnd"/>
      <w:r>
        <w:rPr>
          <w:rFonts w:ascii="Arial" w:eastAsia="Arial" w:hAnsi="Arial" w:cs="Arial"/>
          <w:color w:val="000000"/>
        </w:rPr>
        <w:t xml:space="preserve"> (</w:t>
      </w:r>
      <w:proofErr w:type="spellStart"/>
      <w:r>
        <w:rPr>
          <w:rFonts w:ascii="Arial" w:eastAsia="Arial" w:hAnsi="Arial" w:cs="Arial"/>
          <w:color w:val="000000"/>
        </w:rPr>
        <w:t>BioSpec</w:t>
      </w:r>
      <w:proofErr w:type="spellEnd"/>
      <w:r>
        <w:rPr>
          <w:rFonts w:ascii="Arial" w:eastAsia="Arial" w:hAnsi="Arial" w:cs="Arial"/>
          <w:color w:val="000000"/>
        </w:rPr>
        <w:t xml:space="preserve"> Products).  Homogenized dried cell material was then resuspended in 150</w:t>
      </w:r>
      <w:r>
        <w:rPr>
          <w:color w:val="000000"/>
        </w:rPr>
        <w:t>µ</w:t>
      </w:r>
      <w:r>
        <w:rPr>
          <w:rFonts w:ascii="Arial" w:eastAsia="Arial" w:hAnsi="Arial" w:cs="Arial"/>
          <w:color w:val="000000"/>
        </w:rPr>
        <w:t xml:space="preserve">L of methanol with internal standards (Supplementary Data 11), vortexed 2x 10 s, ice bath sonicated for 15 min, centrifuged (10,000 </w:t>
      </w:r>
      <w:proofErr w:type="spellStart"/>
      <w:r>
        <w:rPr>
          <w:rFonts w:ascii="Arial" w:eastAsia="Arial" w:hAnsi="Arial" w:cs="Arial"/>
          <w:color w:val="000000"/>
        </w:rPr>
        <w:t>rcf</w:t>
      </w:r>
      <w:proofErr w:type="spellEnd"/>
      <w:r>
        <w:rPr>
          <w:rFonts w:ascii="Arial" w:eastAsia="Arial" w:hAnsi="Arial" w:cs="Arial"/>
          <w:color w:val="000000"/>
        </w:rPr>
        <w:t>, 5 min, 10</w:t>
      </w:r>
      <w:r>
        <w:rPr>
          <w:rFonts w:ascii="Arial" w:eastAsia="Arial" w:hAnsi="Arial" w:cs="Arial"/>
          <w:color w:val="000000"/>
          <w:vertAlign w:val="superscript"/>
        </w:rPr>
        <w:t>o</w:t>
      </w:r>
      <w:r>
        <w:rPr>
          <w:rFonts w:ascii="Arial" w:eastAsia="Arial" w:hAnsi="Arial" w:cs="Arial"/>
          <w:color w:val="000000"/>
        </w:rPr>
        <w:t xml:space="preserve">C), and then supernatants were filtered (0.22um </w:t>
      </w:r>
      <w:proofErr w:type="spellStart"/>
      <w:r>
        <w:rPr>
          <w:rFonts w:ascii="Arial" w:eastAsia="Arial" w:hAnsi="Arial" w:cs="Arial"/>
          <w:color w:val="000000"/>
        </w:rPr>
        <w:t>pvdf</w:t>
      </w:r>
      <w:proofErr w:type="spellEnd"/>
      <w:r>
        <w:rPr>
          <w:rFonts w:ascii="Arial" w:eastAsia="Arial" w:hAnsi="Arial" w:cs="Arial"/>
          <w:color w:val="000000"/>
        </w:rPr>
        <w:t xml:space="preserve">) and transferred to amber glass vials for LCMS analysis. Briefly, metabolites were separated using hydrophilic liquid interaction chromatography on an Agilent 1290 HPLC and detected on a </w:t>
      </w:r>
      <w:proofErr w:type="spellStart"/>
      <w:r>
        <w:rPr>
          <w:rFonts w:ascii="Arial" w:eastAsia="Arial" w:hAnsi="Arial" w:cs="Arial"/>
          <w:color w:val="000000"/>
        </w:rPr>
        <w:t>Thermo</w:t>
      </w:r>
      <w:proofErr w:type="spellEnd"/>
      <w:r>
        <w:rPr>
          <w:rFonts w:ascii="Arial" w:eastAsia="Arial" w:hAnsi="Arial" w:cs="Arial"/>
          <w:color w:val="000000"/>
        </w:rPr>
        <w:t xml:space="preserve"> Q </w:t>
      </w:r>
      <w:proofErr w:type="spellStart"/>
      <w:r>
        <w:rPr>
          <w:rFonts w:ascii="Arial" w:eastAsia="Arial" w:hAnsi="Arial" w:cs="Arial"/>
          <w:color w:val="000000"/>
        </w:rPr>
        <w:t>Exactive</w:t>
      </w:r>
      <w:proofErr w:type="spellEnd"/>
      <w:r>
        <w:rPr>
          <w:rFonts w:ascii="Arial" w:eastAsia="Arial" w:hAnsi="Arial" w:cs="Arial"/>
          <w:color w:val="000000"/>
        </w:rPr>
        <w:t xml:space="preserve"> Hybrid Quadrupole-Orbitrap Mass spectrometer; LCMS parameters are available in Supplementary Data 11.  </w:t>
      </w:r>
    </w:p>
    <w:p w14:paraId="3A2CB7F5" w14:textId="77777777" w:rsidR="0041404E" w:rsidRDefault="0041404E">
      <w:pPr>
        <w:spacing w:after="0" w:line="240" w:lineRule="auto"/>
        <w:rPr>
          <w:rFonts w:ascii="Times New Roman" w:eastAsia="Times New Roman" w:hAnsi="Times New Roman" w:cs="Times New Roman"/>
          <w:color w:val="000000"/>
        </w:rPr>
      </w:pPr>
    </w:p>
    <w:p w14:paraId="6099F8F6" w14:textId="77777777" w:rsidR="0041404E" w:rsidRDefault="00000000">
      <w:pPr>
        <w:spacing w:after="0" w:line="240" w:lineRule="auto"/>
        <w:jc w:val="both"/>
        <w:rPr>
          <w:rFonts w:ascii="Times New Roman" w:eastAsia="Times New Roman" w:hAnsi="Times New Roman" w:cs="Times New Roman"/>
          <w:color w:val="000000"/>
        </w:rPr>
      </w:pPr>
      <w:r>
        <w:rPr>
          <w:rFonts w:ascii="Arial" w:eastAsia="Arial" w:hAnsi="Arial" w:cs="Arial"/>
          <w:b/>
          <w:bCs/>
          <w:color w:val="000000"/>
        </w:rPr>
        <w:t>Metabolomics data analysis.</w:t>
      </w:r>
      <w:r>
        <w:rPr>
          <w:rFonts w:ascii="Arial" w:eastAsia="Arial" w:hAnsi="Arial" w:cs="Arial"/>
          <w:color w:val="000000"/>
        </w:rPr>
        <w:t xml:space="preserve"> Targeted annotations of amino acids were made using Metatlas</w:t>
      </w:r>
      <w:r>
        <w:rPr>
          <w:rFonts w:ascii="Arial" w:eastAsia="Arial" w:hAnsi="Arial" w:cs="Arial"/>
          <w:color w:val="000000"/>
          <w:vertAlign w:val="superscript"/>
        </w:rPr>
        <w:t>26,27,28</w:t>
      </w:r>
      <w:r>
        <w:rPr>
          <w:rFonts w:ascii="Arial" w:eastAsia="Arial" w:hAnsi="Arial" w:cs="Arial"/>
          <w:color w:val="000000"/>
        </w:rPr>
        <w:t xml:space="preserve"> to extract peak heights using known m/z, retention time and fragmentation spectra based on reference standards analyzed on the same method, identification were determined per the Metabolomics Standards Initiative</w:t>
      </w:r>
      <w:r>
        <w:rPr>
          <w:rFonts w:ascii="Arial" w:eastAsia="Arial" w:hAnsi="Arial" w:cs="Arial"/>
          <w:color w:val="000000"/>
          <w:vertAlign w:val="superscript"/>
        </w:rPr>
        <w:t>18</w:t>
      </w:r>
      <w:r>
        <w:rPr>
          <w:rFonts w:ascii="Arial" w:eastAsia="Arial" w:hAnsi="Arial" w:cs="Arial"/>
          <w:color w:val="000000"/>
        </w:rPr>
        <w:t>; outputs including evidence of identifications and peak heights are available in Supplementary Data 9, 12. </w:t>
      </w:r>
    </w:p>
    <w:p w14:paraId="0DF0CFBC" w14:textId="77777777" w:rsidR="0041404E" w:rsidRDefault="00000000">
      <w:pPr>
        <w:spacing w:after="0" w:line="240" w:lineRule="auto"/>
        <w:jc w:val="both"/>
        <w:rPr>
          <w:rFonts w:ascii="Times New Roman" w:eastAsia="Times New Roman" w:hAnsi="Times New Roman" w:cs="Times New Roman"/>
          <w:color w:val="000000"/>
        </w:rPr>
      </w:pPr>
      <w:r>
        <w:rPr>
          <w:rFonts w:ascii="Arial" w:eastAsia="Arial" w:hAnsi="Arial" w:cs="Arial"/>
          <w:color w:val="000000"/>
        </w:rPr>
        <w:tab/>
        <w:t>Feature-based molecular networking (FBMN) was performed as described before using MZmine2 and GNPS</w:t>
      </w:r>
      <w:r>
        <w:rPr>
          <w:rFonts w:ascii="Arial" w:eastAsia="Arial" w:hAnsi="Arial" w:cs="Arial"/>
          <w:color w:val="000000"/>
          <w:vertAlign w:val="superscript"/>
        </w:rPr>
        <w:t>16,17</w:t>
      </w:r>
      <w:r>
        <w:rPr>
          <w:rFonts w:ascii="Arial" w:eastAsia="Arial" w:hAnsi="Arial" w:cs="Arial"/>
          <w:color w:val="000000"/>
        </w:rPr>
        <w:t>. Positive mode top GNPS annotations were accepted with cosine scores of MS/ MS spectral mirror match (</w:t>
      </w:r>
      <w:proofErr w:type="spellStart"/>
      <w:r>
        <w:rPr>
          <w:rFonts w:ascii="Arial" w:eastAsia="Arial" w:hAnsi="Arial" w:cs="Arial"/>
          <w:color w:val="000000"/>
        </w:rPr>
        <w:t>MQScore</w:t>
      </w:r>
      <w:proofErr w:type="spellEnd"/>
      <w:r>
        <w:rPr>
          <w:rFonts w:ascii="Arial" w:eastAsia="Arial" w:hAnsi="Arial" w:cs="Arial"/>
          <w:color w:val="000000"/>
        </w:rPr>
        <w:t xml:space="preserve">) to library reference of &gt;0.7. Additional filtering included removing known contaminants and adducts such as Phthalic anhydride, </w:t>
      </w:r>
      <w:proofErr w:type="spellStart"/>
      <w:r>
        <w:rPr>
          <w:rFonts w:ascii="Arial" w:eastAsia="Arial" w:hAnsi="Arial" w:cs="Arial"/>
          <w:color w:val="000000"/>
        </w:rPr>
        <w:t>Diocytl</w:t>
      </w:r>
      <w:proofErr w:type="spellEnd"/>
      <w:r>
        <w:rPr>
          <w:rFonts w:ascii="Arial" w:eastAsia="Arial" w:hAnsi="Arial" w:cs="Arial"/>
          <w:color w:val="000000"/>
        </w:rPr>
        <w:t xml:space="preserve"> phthalate and </w:t>
      </w:r>
      <w:proofErr w:type="spellStart"/>
      <w:r>
        <w:rPr>
          <w:rFonts w:ascii="Arial" w:eastAsia="Arial" w:hAnsi="Arial" w:cs="Arial"/>
          <w:color w:val="000000"/>
        </w:rPr>
        <w:t>Benzyltetradecyldimethylammonium</w:t>
      </w:r>
      <w:proofErr w:type="spellEnd"/>
      <w:r>
        <w:rPr>
          <w:rFonts w:ascii="Arial" w:eastAsia="Arial" w:hAnsi="Arial" w:cs="Arial"/>
          <w:color w:val="000000"/>
        </w:rPr>
        <w:t xml:space="preserve"> etc. Untargeted metabolites with retention time between 1 and 17.5 and with an </w:t>
      </w:r>
      <w:proofErr w:type="spellStart"/>
      <w:r>
        <w:rPr>
          <w:rFonts w:ascii="Arial" w:eastAsia="Arial" w:hAnsi="Arial" w:cs="Arial"/>
          <w:color w:val="000000"/>
        </w:rPr>
        <w:t>MZErrorPPM</w:t>
      </w:r>
      <w:proofErr w:type="spellEnd"/>
      <w:r>
        <w:rPr>
          <w:rFonts w:ascii="Arial" w:eastAsia="Arial" w:hAnsi="Arial" w:cs="Arial"/>
          <w:color w:val="000000"/>
        </w:rPr>
        <w:t xml:space="preserve"> values of less than 10 were used. Next, the </w:t>
      </w:r>
      <w:proofErr w:type="spellStart"/>
      <w:r>
        <w:rPr>
          <w:rFonts w:ascii="Arial" w:eastAsia="Arial" w:hAnsi="Arial" w:cs="Arial"/>
          <w:color w:val="000000"/>
        </w:rPr>
        <w:t>NPClassifier</w:t>
      </w:r>
      <w:proofErr w:type="spellEnd"/>
      <w:r>
        <w:rPr>
          <w:rFonts w:ascii="Arial" w:eastAsia="Arial" w:hAnsi="Arial" w:cs="Arial"/>
          <w:color w:val="000000"/>
        </w:rPr>
        <w:t xml:space="preserve"> determined metabolite classifications based on annotated features of biosynthetic pathways. For filtered features, peak heights with differential abundances between different treatments were compared to calculate log fold change values. The log</w:t>
      </w:r>
      <w:r>
        <w:rPr>
          <w:rFonts w:ascii="Arial" w:eastAsia="Arial" w:hAnsi="Arial" w:cs="Arial"/>
          <w:color w:val="000000"/>
          <w:vertAlign w:val="subscript"/>
        </w:rPr>
        <w:t xml:space="preserve">2 </w:t>
      </w:r>
      <w:r>
        <w:rPr>
          <w:rFonts w:ascii="Arial" w:eastAsia="Arial" w:hAnsi="Arial" w:cs="Arial"/>
          <w:color w:val="000000"/>
        </w:rPr>
        <w:t xml:space="preserve">FC values were then clustered using </w:t>
      </w:r>
      <w:r>
        <w:rPr>
          <w:rFonts w:ascii="Arial" w:eastAsia="Arial" w:hAnsi="Arial" w:cs="Arial"/>
          <w:i/>
          <w:iCs/>
          <w:color w:val="000000"/>
        </w:rPr>
        <w:t>k</w:t>
      </w:r>
      <w:r>
        <w:rPr>
          <w:rFonts w:ascii="Arial" w:eastAsia="Arial" w:hAnsi="Arial" w:cs="Arial"/>
          <w:color w:val="000000"/>
        </w:rPr>
        <w:t xml:space="preserve">-means clustering as </w:t>
      </w:r>
      <w:r>
        <w:rPr>
          <w:rFonts w:ascii="Arial" w:eastAsia="Arial" w:hAnsi="Arial" w:cs="Arial"/>
          <w:color w:val="000000"/>
        </w:rPr>
        <w:lastRenderedPageBreak/>
        <w:t xml:space="preserve">described below and the metabolite </w:t>
      </w:r>
      <w:proofErr w:type="spellStart"/>
      <w:r>
        <w:rPr>
          <w:rFonts w:ascii="Arial" w:eastAsia="Arial" w:hAnsi="Arial" w:cs="Arial"/>
          <w:color w:val="000000"/>
        </w:rPr>
        <w:t>NPclassifier</w:t>
      </w:r>
      <w:proofErr w:type="spellEnd"/>
      <w:r>
        <w:rPr>
          <w:rFonts w:ascii="Arial" w:eastAsia="Arial" w:hAnsi="Arial" w:cs="Arial"/>
          <w:color w:val="000000"/>
        </w:rPr>
        <w:t xml:space="preserve"> assignments from GNPS were labelled on the heatmap (Prism 11). Statistical analysis for log</w:t>
      </w:r>
      <w:r>
        <w:rPr>
          <w:rFonts w:ascii="Arial" w:eastAsia="Arial" w:hAnsi="Arial" w:cs="Arial"/>
          <w:color w:val="000000"/>
          <w:vertAlign w:val="subscript"/>
        </w:rPr>
        <w:t xml:space="preserve">2 </w:t>
      </w:r>
      <w:r>
        <w:rPr>
          <w:rFonts w:ascii="Arial" w:eastAsia="Arial" w:hAnsi="Arial" w:cs="Arial"/>
          <w:color w:val="000000"/>
        </w:rPr>
        <w:t xml:space="preserve">FC data was done using either Student’s </w:t>
      </w:r>
      <w:r>
        <w:rPr>
          <w:rFonts w:ascii="Arial" w:eastAsia="Arial" w:hAnsi="Arial" w:cs="Arial"/>
          <w:i/>
          <w:iCs/>
          <w:color w:val="000000"/>
        </w:rPr>
        <w:t>t</w:t>
      </w:r>
      <w:r>
        <w:rPr>
          <w:rFonts w:ascii="Arial" w:eastAsia="Arial" w:hAnsi="Arial" w:cs="Arial"/>
          <w:color w:val="000000"/>
        </w:rPr>
        <w:t xml:space="preserve">-test (for treatments: control, AZD, glucose, and glucose+AZD), Dunnett’s test (for comparisons involving control vs AZD, cycloheximide (CHX), AZD+CHX, MG-132, and AZD+MG-132), and ANOVA with Tukey test (for comparisons involving combinations of binary treatments between control, AZD, CHX, AZD+CHX, MG-132, and AZD+MG-132) to calculate </w:t>
      </w:r>
      <w:r>
        <w:rPr>
          <w:rFonts w:ascii="Arial" w:eastAsia="Arial" w:hAnsi="Arial" w:cs="Arial"/>
          <w:i/>
          <w:iCs/>
          <w:color w:val="000000"/>
        </w:rPr>
        <w:t>P</w:t>
      </w:r>
      <w:r>
        <w:rPr>
          <w:rFonts w:ascii="Arial" w:eastAsia="Arial" w:hAnsi="Arial" w:cs="Arial"/>
          <w:color w:val="000000"/>
        </w:rPr>
        <w:t xml:space="preserve"> values. Statistical calculations and plotting were performed using Prism 11. </w:t>
      </w:r>
    </w:p>
    <w:p w14:paraId="6A5E1505" w14:textId="77777777" w:rsidR="0041404E" w:rsidRDefault="0041404E">
      <w:pPr>
        <w:spacing w:after="0" w:line="240" w:lineRule="auto"/>
        <w:rPr>
          <w:rFonts w:ascii="Times New Roman" w:eastAsia="Times New Roman" w:hAnsi="Times New Roman" w:cs="Times New Roman"/>
          <w:color w:val="000000"/>
        </w:rPr>
      </w:pPr>
    </w:p>
    <w:p w14:paraId="365943B9" w14:textId="77777777" w:rsidR="0041404E" w:rsidRDefault="00000000">
      <w:pPr>
        <w:spacing w:after="0" w:line="240" w:lineRule="auto"/>
        <w:jc w:val="both"/>
        <w:rPr>
          <w:rFonts w:ascii="Times New Roman" w:eastAsia="Times New Roman" w:hAnsi="Times New Roman" w:cs="Times New Roman"/>
          <w:color w:val="000000"/>
        </w:rPr>
      </w:pPr>
      <w:r>
        <w:rPr>
          <w:rFonts w:ascii="Arial" w:eastAsia="Arial" w:hAnsi="Arial" w:cs="Arial"/>
          <w:b/>
          <w:bCs/>
          <w:color w:val="000000"/>
        </w:rPr>
        <w:t>Gene Ontology (GO), Pathway enrichment, and clustering analysis.</w:t>
      </w:r>
      <w:r>
        <w:rPr>
          <w:rFonts w:ascii="Arial" w:eastAsia="Arial" w:hAnsi="Arial" w:cs="Arial"/>
          <w:color w:val="000000"/>
        </w:rPr>
        <w:t xml:space="preserve"> GO annotation and pathway annotations per protein were downloaded from </w:t>
      </w:r>
      <w:proofErr w:type="spellStart"/>
      <w:r>
        <w:rPr>
          <w:rFonts w:ascii="Arial" w:eastAsia="Arial" w:hAnsi="Arial" w:cs="Arial"/>
          <w:color w:val="000000"/>
        </w:rPr>
        <w:t>Phytozome’s</w:t>
      </w:r>
      <w:proofErr w:type="spellEnd"/>
      <w:r>
        <w:rPr>
          <w:rFonts w:ascii="Arial" w:eastAsia="Arial" w:hAnsi="Arial" w:cs="Arial"/>
          <w:color w:val="000000"/>
        </w:rPr>
        <w:t xml:space="preserve"> </w:t>
      </w:r>
      <w:proofErr w:type="spellStart"/>
      <w:r>
        <w:rPr>
          <w:rFonts w:ascii="Arial" w:eastAsia="Arial" w:hAnsi="Arial" w:cs="Arial"/>
          <w:color w:val="000000"/>
        </w:rPr>
        <w:t>BioMart</w:t>
      </w:r>
      <w:proofErr w:type="spellEnd"/>
      <w:r>
        <w:rPr>
          <w:rFonts w:ascii="Arial" w:eastAsia="Arial" w:hAnsi="Arial" w:cs="Arial"/>
          <w:color w:val="000000"/>
        </w:rPr>
        <w:t xml:space="preserve">. GO term enrichment was performed with the </w:t>
      </w:r>
      <w:proofErr w:type="spellStart"/>
      <w:r>
        <w:rPr>
          <w:rFonts w:ascii="Arial" w:eastAsia="Arial" w:hAnsi="Arial" w:cs="Arial"/>
          <w:color w:val="000000"/>
        </w:rPr>
        <w:t>topGO</w:t>
      </w:r>
      <w:proofErr w:type="spellEnd"/>
      <w:r>
        <w:rPr>
          <w:rFonts w:ascii="Arial" w:eastAsia="Arial" w:hAnsi="Arial" w:cs="Arial"/>
          <w:color w:val="000000"/>
        </w:rPr>
        <w:t xml:space="preserve"> package (v1) using Fisher's exact test. Pathway enrichment was calculated in R using the enricher function that performs a hypergeometric test with BH multiple testing correction (</w:t>
      </w:r>
      <w:proofErr w:type="spellStart"/>
      <w:r>
        <w:rPr>
          <w:rFonts w:ascii="Arial" w:eastAsia="Arial" w:hAnsi="Arial" w:cs="Arial"/>
          <w:color w:val="000000"/>
        </w:rPr>
        <w:t>ClusterProfiler</w:t>
      </w:r>
      <w:proofErr w:type="spellEnd"/>
      <w:r>
        <w:rPr>
          <w:rFonts w:ascii="Arial" w:eastAsia="Arial" w:hAnsi="Arial" w:cs="Arial"/>
          <w:color w:val="000000"/>
        </w:rPr>
        <w:t xml:space="preserve"> package in R)</w:t>
      </w:r>
      <w:r>
        <w:rPr>
          <w:rFonts w:ascii="Arial" w:eastAsia="Arial" w:hAnsi="Arial" w:cs="Arial"/>
          <w:color w:val="000000"/>
          <w:vertAlign w:val="superscript"/>
        </w:rPr>
        <w:t>25</w:t>
      </w:r>
      <w:r>
        <w:rPr>
          <w:rFonts w:ascii="Arial" w:eastAsia="Arial" w:hAnsi="Arial" w:cs="Arial"/>
          <w:color w:val="000000"/>
        </w:rPr>
        <w:t xml:space="preserve">. GO terms and pathways were filtered using an FDR of </w:t>
      </w:r>
      <w:r>
        <w:rPr>
          <w:rFonts w:ascii="Arial Unicode MS" w:eastAsia="Arial Unicode MS" w:hAnsi="Arial Unicode MS" w:cs="Arial Unicode MS"/>
          <w:color w:val="000000"/>
          <w:highlight w:val="white"/>
        </w:rPr>
        <w:t>≤</w:t>
      </w:r>
      <w:r>
        <w:rPr>
          <w:rFonts w:ascii="Arial" w:eastAsia="Arial" w:hAnsi="Arial" w:cs="Arial"/>
          <w:color w:val="000000"/>
        </w:rPr>
        <w:t xml:space="preserve"> 0.05 and the lists were generated in R. </w:t>
      </w:r>
      <w:r>
        <w:rPr>
          <w:rFonts w:ascii="Arial" w:eastAsia="Arial" w:hAnsi="Arial" w:cs="Arial"/>
          <w:i/>
          <w:iCs/>
          <w:color w:val="000000"/>
        </w:rPr>
        <w:t>k</w:t>
      </w:r>
      <w:r>
        <w:rPr>
          <w:rFonts w:ascii="Arial" w:eastAsia="Arial" w:hAnsi="Arial" w:cs="Arial"/>
          <w:color w:val="000000"/>
        </w:rPr>
        <w:t xml:space="preserve">-means clustering was performed in R with the </w:t>
      </w:r>
      <w:proofErr w:type="spellStart"/>
      <w:r>
        <w:rPr>
          <w:rFonts w:ascii="Arial" w:eastAsia="Arial" w:hAnsi="Arial" w:cs="Arial"/>
          <w:color w:val="000000"/>
        </w:rPr>
        <w:t>amap</w:t>
      </w:r>
      <w:proofErr w:type="spellEnd"/>
      <w:r>
        <w:rPr>
          <w:rFonts w:ascii="Arial" w:eastAsia="Arial" w:hAnsi="Arial" w:cs="Arial"/>
          <w:color w:val="000000"/>
        </w:rPr>
        <w:t xml:space="preserve"> package (v0.8-14). Functional annotations for pathway analysis in Fig. 3-5 were adapted from</w:t>
      </w:r>
      <w:r>
        <w:rPr>
          <w:rFonts w:ascii="Arial" w:eastAsia="Arial" w:hAnsi="Arial" w:cs="Arial"/>
          <w:color w:val="000000"/>
          <w:vertAlign w:val="superscript"/>
        </w:rPr>
        <w:t>19</w:t>
      </w:r>
      <w:r>
        <w:rPr>
          <w:rFonts w:ascii="Arial" w:eastAsia="Arial" w:hAnsi="Arial" w:cs="Arial"/>
          <w:color w:val="000000"/>
        </w:rPr>
        <w:t>.</w:t>
      </w:r>
    </w:p>
    <w:p w14:paraId="1987E10F" w14:textId="77777777" w:rsidR="0041404E" w:rsidRDefault="0041404E">
      <w:pPr>
        <w:spacing w:after="0" w:line="240" w:lineRule="auto"/>
        <w:rPr>
          <w:rFonts w:ascii="Times New Roman" w:eastAsia="Times New Roman" w:hAnsi="Times New Roman" w:cs="Times New Roman"/>
          <w:color w:val="000000"/>
        </w:rPr>
      </w:pPr>
    </w:p>
    <w:p w14:paraId="0CD1AF8E" w14:textId="77777777" w:rsidR="0041404E" w:rsidRDefault="00000000">
      <w:pPr>
        <w:spacing w:after="0" w:line="240" w:lineRule="auto"/>
        <w:jc w:val="both"/>
        <w:rPr>
          <w:rFonts w:ascii="Times New Roman" w:eastAsia="Times New Roman" w:hAnsi="Times New Roman" w:cs="Times New Roman"/>
          <w:color w:val="000000"/>
        </w:rPr>
      </w:pPr>
      <w:r>
        <w:rPr>
          <w:rFonts w:ascii="Arial" w:eastAsia="Arial" w:hAnsi="Arial" w:cs="Arial"/>
          <w:b/>
          <w:bCs/>
          <w:color w:val="000000"/>
        </w:rPr>
        <w:t>DAP-seq experiment and analysis</w:t>
      </w:r>
      <w:r>
        <w:rPr>
          <w:rFonts w:ascii="Arial" w:eastAsia="Arial" w:hAnsi="Arial" w:cs="Arial"/>
          <w:color w:val="000000"/>
        </w:rPr>
        <w:t>. The DAP-seq experiment was performed as per standardized protocol at the Joint Genome Institute</w:t>
      </w:r>
      <w:r>
        <w:rPr>
          <w:rFonts w:ascii="Arial" w:eastAsia="Arial" w:hAnsi="Arial" w:cs="Arial"/>
          <w:color w:val="000000"/>
          <w:vertAlign w:val="superscript"/>
        </w:rPr>
        <w:t>20,21</w:t>
      </w:r>
      <w:r>
        <w:rPr>
          <w:rFonts w:ascii="Arial" w:eastAsia="Arial" w:hAnsi="Arial" w:cs="Arial"/>
          <w:color w:val="000000"/>
        </w:rPr>
        <w:t xml:space="preserve">. Briefly, genomic DNA (gDNA) was extracted from </w:t>
      </w:r>
      <w:r>
        <w:rPr>
          <w:rFonts w:ascii="Arial" w:eastAsia="Arial" w:hAnsi="Arial" w:cs="Arial"/>
          <w:i/>
          <w:iCs/>
          <w:color w:val="000000"/>
        </w:rPr>
        <w:t xml:space="preserve">C. zofingiensis </w:t>
      </w:r>
      <w:r>
        <w:rPr>
          <w:rFonts w:ascii="Arial" w:eastAsia="Arial" w:hAnsi="Arial" w:cs="Arial"/>
          <w:color w:val="000000"/>
        </w:rPr>
        <w:t xml:space="preserve">and UTEX 250-A cells using a CTAB protocol, fragmented to an average size of 150 bp and ligated with custom adapters. Coding sequence (CDS) of selected TFs were cloned into the </w:t>
      </w:r>
      <w:proofErr w:type="spellStart"/>
      <w:r>
        <w:rPr>
          <w:rFonts w:ascii="Arial" w:eastAsia="Arial" w:hAnsi="Arial" w:cs="Arial"/>
          <w:color w:val="000000"/>
        </w:rPr>
        <w:t>pIX</w:t>
      </w:r>
      <w:proofErr w:type="spellEnd"/>
      <w:r>
        <w:rPr>
          <w:rFonts w:ascii="Arial" w:eastAsia="Arial" w:hAnsi="Arial" w:cs="Arial"/>
          <w:color w:val="000000"/>
        </w:rPr>
        <w:t>-HALO-</w:t>
      </w:r>
      <w:proofErr w:type="spellStart"/>
      <w:r>
        <w:rPr>
          <w:rFonts w:ascii="Arial" w:eastAsia="Arial" w:hAnsi="Arial" w:cs="Arial"/>
          <w:color w:val="000000"/>
        </w:rPr>
        <w:t>PaqCI</w:t>
      </w:r>
      <w:proofErr w:type="spellEnd"/>
      <w:r>
        <w:rPr>
          <w:rFonts w:ascii="Arial" w:eastAsia="Arial" w:hAnsi="Arial" w:cs="Arial"/>
          <w:color w:val="000000"/>
        </w:rPr>
        <w:t xml:space="preserve"> vector directly downstream of the </w:t>
      </w:r>
      <w:proofErr w:type="spellStart"/>
      <w:r>
        <w:rPr>
          <w:rFonts w:ascii="Arial" w:eastAsia="Arial" w:hAnsi="Arial" w:cs="Arial"/>
          <w:color w:val="000000"/>
        </w:rPr>
        <w:t>HaloTagHalo</w:t>
      </w:r>
      <w:proofErr w:type="spellEnd"/>
      <w:r>
        <w:rPr>
          <w:rFonts w:ascii="Arial" w:eastAsia="Arial" w:hAnsi="Arial" w:cs="Arial"/>
          <w:color w:val="000000"/>
        </w:rPr>
        <w:t xml:space="preserve">-tagged. The T7 promoter driven </w:t>
      </w:r>
      <w:proofErr w:type="spellStart"/>
      <w:r>
        <w:rPr>
          <w:rFonts w:ascii="Arial" w:eastAsia="Arial" w:hAnsi="Arial" w:cs="Arial"/>
          <w:color w:val="000000"/>
        </w:rPr>
        <w:t>HaloTag</w:t>
      </w:r>
      <w:proofErr w:type="spellEnd"/>
      <w:r>
        <w:rPr>
          <w:rFonts w:ascii="Arial" w:eastAsia="Arial" w:hAnsi="Arial" w:cs="Arial"/>
          <w:color w:val="000000"/>
        </w:rPr>
        <w:t>-fused TF CDSs were amplified by using primers pIX-Halo-T7-fwd (5′-GTGAATTGTAATACGACTCACTATAGGG) </w:t>
      </w:r>
    </w:p>
    <w:p w14:paraId="6348896A" w14:textId="77777777" w:rsidR="0041404E" w:rsidRDefault="00000000">
      <w:pPr>
        <w:spacing w:after="0" w:line="240" w:lineRule="auto"/>
        <w:jc w:val="both"/>
        <w:rPr>
          <w:rFonts w:ascii="Times New Roman" w:eastAsia="Times New Roman" w:hAnsi="Times New Roman" w:cs="Times New Roman"/>
          <w:color w:val="000000"/>
        </w:rPr>
      </w:pPr>
      <w:r>
        <w:rPr>
          <w:rFonts w:ascii="Arial" w:eastAsia="Arial" w:hAnsi="Arial" w:cs="Arial"/>
          <w:color w:val="000000"/>
        </w:rPr>
        <w:t xml:space="preserve">and </w:t>
      </w:r>
      <w:proofErr w:type="spellStart"/>
      <w:r>
        <w:rPr>
          <w:rFonts w:ascii="Arial" w:eastAsia="Arial" w:hAnsi="Arial" w:cs="Arial"/>
          <w:color w:val="000000"/>
        </w:rPr>
        <w:t>pIX</w:t>
      </w:r>
      <w:proofErr w:type="spellEnd"/>
      <w:r>
        <w:rPr>
          <w:rFonts w:ascii="Arial" w:eastAsia="Arial" w:hAnsi="Arial" w:cs="Arial"/>
          <w:color w:val="000000"/>
        </w:rPr>
        <w:t>-Halo-</w:t>
      </w:r>
      <w:proofErr w:type="spellStart"/>
      <w:r>
        <w:rPr>
          <w:rFonts w:ascii="Arial" w:eastAsia="Arial" w:hAnsi="Arial" w:cs="Arial"/>
          <w:color w:val="000000"/>
        </w:rPr>
        <w:t>AfterPolyA</w:t>
      </w:r>
      <w:proofErr w:type="spellEnd"/>
      <w:r>
        <w:rPr>
          <w:rFonts w:ascii="Arial" w:eastAsia="Arial" w:hAnsi="Arial" w:cs="Arial"/>
          <w:color w:val="000000"/>
        </w:rPr>
        <w:t xml:space="preserve">-rev (5′-CAAGGGGTTATGCTAGTTATTGCTC), the resulting PCR products were purified, and the correct amplicon sizes were verified on a Fragment Analyzer system (Agilent). The TF proteins were then in vitro expressed using the </w:t>
      </w:r>
      <w:proofErr w:type="spellStart"/>
      <w:r>
        <w:rPr>
          <w:rFonts w:ascii="Arial" w:eastAsia="Arial" w:hAnsi="Arial" w:cs="Arial"/>
          <w:color w:val="000000"/>
        </w:rPr>
        <w:t>TnT</w:t>
      </w:r>
      <w:proofErr w:type="spellEnd"/>
      <w:r>
        <w:rPr>
          <w:rFonts w:ascii="Arial" w:eastAsia="Arial" w:hAnsi="Arial" w:cs="Arial"/>
          <w:color w:val="000000"/>
        </w:rPr>
        <w:t xml:space="preserve"> T7 Quick for PCR DNA system (Promega L5540) and bound to the Magne </w:t>
      </w:r>
      <w:proofErr w:type="spellStart"/>
      <w:r>
        <w:rPr>
          <w:rFonts w:ascii="Arial" w:eastAsia="Arial" w:hAnsi="Arial" w:cs="Arial"/>
          <w:color w:val="000000"/>
        </w:rPr>
        <w:t>HaloTag</w:t>
      </w:r>
      <w:proofErr w:type="spellEnd"/>
      <w:r>
        <w:rPr>
          <w:rFonts w:ascii="Arial" w:eastAsia="Arial" w:hAnsi="Arial" w:cs="Arial"/>
          <w:color w:val="000000"/>
        </w:rPr>
        <w:t xml:space="preserve"> Beads (Promega G7282) on a 96 well plate. The protein-bound beads were then incubated with </w:t>
      </w:r>
      <w:r>
        <w:rPr>
          <w:rFonts w:ascii="Arial" w:eastAsia="Arial" w:hAnsi="Arial" w:cs="Arial"/>
          <w:i/>
          <w:iCs/>
          <w:color w:val="000000"/>
        </w:rPr>
        <w:t>C. zofingiensis</w:t>
      </w:r>
      <w:r>
        <w:rPr>
          <w:rFonts w:ascii="Arial" w:eastAsia="Arial" w:hAnsi="Arial" w:cs="Arial"/>
          <w:color w:val="000000"/>
        </w:rPr>
        <w:t xml:space="preserve"> and UTEX 250-A  gDNA libraries and then gently washed to remove any unbound DNA. After the final wash, the beads were resuspended in diluted index primer mix and boiled at 95°C for 10 min to elute DNA off from beads. The eluate from each well was transferred to a new plate and mixed with the KAPA HiFi </w:t>
      </w:r>
      <w:proofErr w:type="spellStart"/>
      <w:r>
        <w:rPr>
          <w:rFonts w:ascii="Arial" w:eastAsia="Arial" w:hAnsi="Arial" w:cs="Arial"/>
          <w:color w:val="000000"/>
        </w:rPr>
        <w:t>HotStart</w:t>
      </w:r>
      <w:proofErr w:type="spellEnd"/>
      <w:r>
        <w:rPr>
          <w:rFonts w:ascii="Arial" w:eastAsia="Arial" w:hAnsi="Arial" w:cs="Arial"/>
          <w:color w:val="000000"/>
        </w:rPr>
        <w:t xml:space="preserve"> </w:t>
      </w:r>
      <w:proofErr w:type="spellStart"/>
      <w:r>
        <w:rPr>
          <w:rFonts w:ascii="Arial" w:eastAsia="Arial" w:hAnsi="Arial" w:cs="Arial"/>
          <w:color w:val="000000"/>
        </w:rPr>
        <w:t>ReadyMix</w:t>
      </w:r>
      <w:proofErr w:type="spellEnd"/>
      <w:r>
        <w:rPr>
          <w:rFonts w:ascii="Arial" w:eastAsia="Arial" w:hAnsi="Arial" w:cs="Arial"/>
          <w:color w:val="000000"/>
        </w:rPr>
        <w:t xml:space="preserve"> (Roche) for amplification. The PCR products were then gel purified and sequenced using Illumina </w:t>
      </w:r>
      <w:proofErr w:type="spellStart"/>
      <w:r>
        <w:rPr>
          <w:rFonts w:ascii="Arial" w:eastAsia="Arial" w:hAnsi="Arial" w:cs="Arial"/>
          <w:color w:val="000000"/>
        </w:rPr>
        <w:t>NovaSeq</w:t>
      </w:r>
      <w:proofErr w:type="spellEnd"/>
      <w:r>
        <w:rPr>
          <w:rFonts w:ascii="Arial" w:eastAsia="Arial" w:hAnsi="Arial" w:cs="Arial"/>
          <w:color w:val="000000"/>
        </w:rPr>
        <w:t xml:space="preserve"> 2X150 bp paired-end sequencing. </w:t>
      </w:r>
    </w:p>
    <w:p w14:paraId="70CC9580" w14:textId="77777777" w:rsidR="0041404E" w:rsidRDefault="00000000">
      <w:pPr>
        <w:spacing w:after="0" w:line="240" w:lineRule="auto"/>
        <w:ind w:firstLine="720"/>
        <w:jc w:val="both"/>
        <w:rPr>
          <w:rFonts w:ascii="Times New Roman" w:eastAsia="Times New Roman" w:hAnsi="Times New Roman" w:cs="Times New Roman"/>
          <w:color w:val="000000"/>
        </w:rPr>
      </w:pPr>
      <w:r>
        <w:rPr>
          <w:rFonts w:ascii="Arial" w:eastAsia="Arial" w:hAnsi="Arial" w:cs="Arial"/>
          <w:color w:val="000000"/>
        </w:rPr>
        <w:t xml:space="preserve">The sequencing </w:t>
      </w:r>
      <w:proofErr w:type="spellStart"/>
      <w:r>
        <w:rPr>
          <w:rFonts w:ascii="Arial" w:eastAsia="Arial" w:hAnsi="Arial" w:cs="Arial"/>
          <w:color w:val="000000"/>
        </w:rPr>
        <w:t>fastq</w:t>
      </w:r>
      <w:proofErr w:type="spellEnd"/>
      <w:r>
        <w:rPr>
          <w:rFonts w:ascii="Arial" w:eastAsia="Arial" w:hAnsi="Arial" w:cs="Arial"/>
          <w:color w:val="000000"/>
        </w:rPr>
        <w:t xml:space="preserve"> files were quality filtered and adapters were trimmed using </w:t>
      </w:r>
      <w:proofErr w:type="spellStart"/>
      <w:r>
        <w:rPr>
          <w:rFonts w:ascii="Arial" w:eastAsia="Arial" w:hAnsi="Arial" w:cs="Arial"/>
          <w:color w:val="000000"/>
        </w:rPr>
        <w:t>BBTools</w:t>
      </w:r>
      <w:proofErr w:type="spellEnd"/>
      <w:r>
        <w:rPr>
          <w:rFonts w:ascii="Arial" w:eastAsia="Arial" w:hAnsi="Arial" w:cs="Arial"/>
          <w:color w:val="000000"/>
        </w:rPr>
        <w:t xml:space="preserve"> and then aligned to the reference genome of </w:t>
      </w:r>
      <w:r>
        <w:rPr>
          <w:rFonts w:ascii="Arial" w:eastAsia="Arial" w:hAnsi="Arial" w:cs="Arial"/>
          <w:i/>
          <w:iCs/>
          <w:color w:val="000000"/>
        </w:rPr>
        <w:t>C. zofingiensis</w:t>
      </w:r>
      <w:r>
        <w:rPr>
          <w:rFonts w:ascii="Arial" w:eastAsia="Arial" w:hAnsi="Arial" w:cs="Arial"/>
          <w:color w:val="000000"/>
        </w:rPr>
        <w:t xml:space="preserve"> v5.3.2 and UTEX 250-A genome provided by Sabeeha Merchant</w:t>
      </w:r>
      <w:r>
        <w:rPr>
          <w:rFonts w:ascii="Arial" w:eastAsia="Arial" w:hAnsi="Arial" w:cs="Arial"/>
          <w:color w:val="000000"/>
          <w:vertAlign w:val="superscript"/>
        </w:rPr>
        <w:t>24</w:t>
      </w:r>
      <w:r>
        <w:rPr>
          <w:rFonts w:ascii="Arial" w:eastAsia="Arial" w:hAnsi="Arial" w:cs="Arial"/>
          <w:color w:val="000000"/>
        </w:rPr>
        <w:t xml:space="preserve"> using bowtie2 v2.4.2. The bam files were created using </w:t>
      </w:r>
      <w:proofErr w:type="spellStart"/>
      <w:r>
        <w:rPr>
          <w:rFonts w:ascii="Arial" w:eastAsia="Arial" w:hAnsi="Arial" w:cs="Arial"/>
          <w:color w:val="000000"/>
        </w:rPr>
        <w:t>samtools</w:t>
      </w:r>
      <w:proofErr w:type="spellEnd"/>
      <w:r>
        <w:rPr>
          <w:rFonts w:ascii="Arial" w:eastAsia="Arial" w:hAnsi="Arial" w:cs="Arial"/>
          <w:color w:val="000000"/>
        </w:rPr>
        <w:t xml:space="preserve"> v1.15.1</w:t>
      </w:r>
      <w:r>
        <w:rPr>
          <w:rFonts w:ascii="Arial" w:eastAsia="Arial" w:hAnsi="Arial" w:cs="Arial"/>
          <w:color w:val="000000"/>
          <w:vertAlign w:val="superscript"/>
        </w:rPr>
        <w:t>22</w:t>
      </w:r>
      <w:r>
        <w:rPr>
          <w:rFonts w:ascii="Arial" w:eastAsia="Arial" w:hAnsi="Arial" w:cs="Arial"/>
          <w:color w:val="000000"/>
        </w:rPr>
        <w:t xml:space="preserve">. The MACS3 v3.0.0a6 </w:t>
      </w:r>
      <w:proofErr w:type="spellStart"/>
      <w:r>
        <w:rPr>
          <w:rFonts w:ascii="Arial" w:eastAsia="Arial" w:hAnsi="Arial" w:cs="Arial"/>
          <w:color w:val="000000"/>
        </w:rPr>
        <w:t>callpeak</w:t>
      </w:r>
      <w:proofErr w:type="spellEnd"/>
      <w:r>
        <w:rPr>
          <w:rFonts w:ascii="Arial" w:eastAsia="Arial" w:hAnsi="Arial" w:cs="Arial"/>
          <w:color w:val="000000"/>
        </w:rPr>
        <w:t xml:space="preserve"> command was used to generate </w:t>
      </w:r>
      <w:proofErr w:type="spellStart"/>
      <w:r>
        <w:rPr>
          <w:rFonts w:ascii="Arial" w:eastAsia="Arial" w:hAnsi="Arial" w:cs="Arial"/>
          <w:color w:val="000000"/>
        </w:rPr>
        <w:t>narrowPeak</w:t>
      </w:r>
      <w:proofErr w:type="spellEnd"/>
      <w:r>
        <w:rPr>
          <w:rFonts w:ascii="Arial" w:eastAsia="Arial" w:hAnsi="Arial" w:cs="Arial"/>
          <w:color w:val="000000"/>
        </w:rPr>
        <w:t xml:space="preserve"> files, using a background control obtained from DAP-seq wells with a mock TF protein expression. Motifs were called using MEME suite v5.3.0</w:t>
      </w:r>
      <w:r>
        <w:rPr>
          <w:rFonts w:ascii="Arial" w:eastAsia="Arial" w:hAnsi="Arial" w:cs="Arial"/>
          <w:color w:val="000000"/>
          <w:vertAlign w:val="superscript"/>
        </w:rPr>
        <w:t>23</w:t>
      </w:r>
      <w:r>
        <w:rPr>
          <w:rFonts w:ascii="Arial" w:eastAsia="Arial" w:hAnsi="Arial" w:cs="Arial"/>
          <w:color w:val="000000"/>
        </w:rPr>
        <w:t xml:space="preserve"> command with the reference genome nucleotide frequency as the background model. The first positional weight matrix motif identified by MEME motif caller (MEME-1) from the summit regions of the top peaks was used. TFs that performed poorly in the DAP assay </w:t>
      </w:r>
      <w:r>
        <w:rPr>
          <w:rFonts w:ascii="Arial" w:eastAsia="Arial" w:hAnsi="Arial" w:cs="Arial"/>
          <w:color w:val="000000"/>
        </w:rPr>
        <w:lastRenderedPageBreak/>
        <w:t>were removed. Successful binding was calculated using the fraction of reads in peaks (FRIP) scores and only TFs with FRIP scores 0.05 were used for further analysis. The DAP-seq peaks identified in the analysis above were further processed to identify target genes for each TF. Using the gene annotation file (</w:t>
      </w:r>
      <w:proofErr w:type="spellStart"/>
      <w:r>
        <w:rPr>
          <w:rFonts w:ascii="Arial" w:eastAsia="Arial" w:hAnsi="Arial" w:cs="Arial"/>
          <w:color w:val="000000"/>
        </w:rPr>
        <w:t>gff</w:t>
      </w:r>
      <w:proofErr w:type="spellEnd"/>
      <w:r>
        <w:rPr>
          <w:rFonts w:ascii="Arial" w:eastAsia="Arial" w:hAnsi="Arial" w:cs="Arial"/>
          <w:color w:val="000000"/>
        </w:rPr>
        <w:t xml:space="preserve"> format), features corresponding to transcript/mRNA were filtered and assigned up to two gene targets. Finally, pathway enrichment was performed for the target genes of each TF using the </w:t>
      </w:r>
      <w:proofErr w:type="spellStart"/>
      <w:r>
        <w:rPr>
          <w:rFonts w:ascii="Arial" w:eastAsia="Arial" w:hAnsi="Arial" w:cs="Arial"/>
          <w:color w:val="000000"/>
        </w:rPr>
        <w:t>ClusterProfiler</w:t>
      </w:r>
      <w:proofErr w:type="spellEnd"/>
      <w:r>
        <w:rPr>
          <w:rFonts w:ascii="Arial" w:eastAsia="Arial" w:hAnsi="Arial" w:cs="Arial"/>
          <w:color w:val="000000"/>
        </w:rPr>
        <w:t xml:space="preserve"> package in R as previously described</w:t>
      </w:r>
      <w:r>
        <w:rPr>
          <w:rFonts w:ascii="Arial" w:eastAsia="Arial" w:hAnsi="Arial" w:cs="Arial"/>
          <w:color w:val="000000"/>
          <w:vertAlign w:val="superscript"/>
        </w:rPr>
        <w:t>25</w:t>
      </w:r>
      <w:r>
        <w:rPr>
          <w:rFonts w:ascii="Arial" w:eastAsia="Arial" w:hAnsi="Arial" w:cs="Arial"/>
          <w:color w:val="000000"/>
        </w:rPr>
        <w:t xml:space="preserve">. For consistency in pathway enrichment of </w:t>
      </w:r>
      <w:proofErr w:type="spellStart"/>
      <w:r>
        <w:rPr>
          <w:rFonts w:ascii="Arial" w:eastAsia="Arial" w:hAnsi="Arial" w:cs="Arial"/>
          <w:color w:val="000000"/>
        </w:rPr>
        <w:t>DAPseq</w:t>
      </w:r>
      <w:proofErr w:type="spellEnd"/>
      <w:r>
        <w:rPr>
          <w:rFonts w:ascii="Arial" w:eastAsia="Arial" w:hAnsi="Arial" w:cs="Arial"/>
          <w:color w:val="000000"/>
        </w:rPr>
        <w:t xml:space="preserve"> target genes, </w:t>
      </w:r>
      <w:r>
        <w:rPr>
          <w:rFonts w:ascii="Arial" w:eastAsia="Arial" w:hAnsi="Arial" w:cs="Arial"/>
          <w:i/>
          <w:iCs/>
          <w:color w:val="000000"/>
        </w:rPr>
        <w:t>C. zofingiensis</w:t>
      </w:r>
      <w:r>
        <w:rPr>
          <w:rFonts w:ascii="Arial" w:eastAsia="Arial" w:hAnsi="Arial" w:cs="Arial"/>
          <w:color w:val="000000"/>
        </w:rPr>
        <w:t xml:space="preserve"> and UTEX 250-A genes were annotated using the </w:t>
      </w:r>
      <w:proofErr w:type="spellStart"/>
      <w:r>
        <w:rPr>
          <w:rFonts w:ascii="Arial" w:eastAsia="Arial" w:hAnsi="Arial" w:cs="Arial"/>
          <w:color w:val="000000"/>
        </w:rPr>
        <w:t>eggNOG</w:t>
      </w:r>
      <w:proofErr w:type="spellEnd"/>
      <w:r>
        <w:rPr>
          <w:rFonts w:ascii="Arial" w:eastAsia="Arial" w:hAnsi="Arial" w:cs="Arial"/>
          <w:color w:val="000000"/>
        </w:rPr>
        <w:t xml:space="preserve"> mapper</w:t>
      </w:r>
      <w:r>
        <w:rPr>
          <w:rFonts w:ascii="Arial" w:eastAsia="Arial" w:hAnsi="Arial" w:cs="Arial"/>
          <w:color w:val="000000"/>
          <w:vertAlign w:val="superscript"/>
        </w:rPr>
        <w:t>30</w:t>
      </w:r>
      <w:r>
        <w:rPr>
          <w:rFonts w:ascii="Arial" w:eastAsia="Arial" w:hAnsi="Arial" w:cs="Arial"/>
          <w:color w:val="000000"/>
        </w:rPr>
        <w:t>. </w:t>
      </w:r>
    </w:p>
    <w:p w14:paraId="73904236" w14:textId="77777777" w:rsidR="0041404E" w:rsidRDefault="0041404E">
      <w:pPr>
        <w:spacing w:after="0" w:line="240" w:lineRule="auto"/>
        <w:rPr>
          <w:rFonts w:ascii="Times New Roman" w:eastAsia="Times New Roman" w:hAnsi="Times New Roman" w:cs="Times New Roman"/>
          <w:color w:val="000000"/>
        </w:rPr>
      </w:pPr>
    </w:p>
    <w:p w14:paraId="0049156C" w14:textId="77777777" w:rsidR="0041404E" w:rsidRDefault="00000000">
      <w:pPr>
        <w:spacing w:after="0" w:line="240" w:lineRule="auto"/>
        <w:jc w:val="both"/>
        <w:rPr>
          <w:rFonts w:ascii="Times New Roman" w:eastAsia="Times New Roman" w:hAnsi="Times New Roman" w:cs="Times New Roman"/>
          <w:color w:val="000000"/>
        </w:rPr>
      </w:pPr>
      <w:proofErr w:type="spellStart"/>
      <w:r>
        <w:rPr>
          <w:rFonts w:ascii="Arial" w:eastAsia="Arial" w:hAnsi="Arial" w:cs="Arial"/>
          <w:b/>
          <w:bCs/>
          <w:color w:val="000000"/>
        </w:rPr>
        <w:t>Orthology</w:t>
      </w:r>
      <w:proofErr w:type="spellEnd"/>
      <w:r>
        <w:rPr>
          <w:rFonts w:ascii="Arial" w:eastAsia="Arial" w:hAnsi="Arial" w:cs="Arial"/>
          <w:b/>
          <w:bCs/>
          <w:color w:val="000000"/>
        </w:rPr>
        <w:t xml:space="preserve"> analysis and identification of conserved motifs in promoters.</w:t>
      </w:r>
      <w:r>
        <w:rPr>
          <w:rFonts w:ascii="Arial" w:eastAsia="Arial" w:hAnsi="Arial" w:cs="Arial"/>
          <w:color w:val="000000"/>
        </w:rPr>
        <w:t xml:space="preserve"> Orthologs of proteins in Fig. 6 were identified by BLAST in </w:t>
      </w:r>
      <w:proofErr w:type="spellStart"/>
      <w:r>
        <w:rPr>
          <w:rFonts w:ascii="Arial" w:eastAsia="Arial" w:hAnsi="Arial" w:cs="Arial"/>
          <w:color w:val="000000"/>
        </w:rPr>
        <w:t>Phytozome</w:t>
      </w:r>
      <w:proofErr w:type="spellEnd"/>
      <w:r>
        <w:rPr>
          <w:rFonts w:ascii="Arial" w:eastAsia="Arial" w:hAnsi="Arial" w:cs="Arial"/>
          <w:color w:val="000000"/>
        </w:rPr>
        <w:t xml:space="preserve"> for the following species: </w:t>
      </w:r>
      <w:r>
        <w:rPr>
          <w:rFonts w:ascii="Arial" w:eastAsia="Arial" w:hAnsi="Arial" w:cs="Arial"/>
          <w:i/>
          <w:iCs/>
          <w:color w:val="000000"/>
        </w:rPr>
        <w:t>C. reinhardtii</w:t>
      </w:r>
      <w:r>
        <w:rPr>
          <w:rFonts w:ascii="Arial" w:eastAsia="Arial" w:hAnsi="Arial" w:cs="Arial"/>
          <w:color w:val="000000"/>
        </w:rPr>
        <w:t xml:space="preserve">, UTEX 250-A, </w:t>
      </w:r>
      <w:r>
        <w:rPr>
          <w:rFonts w:ascii="Arial" w:eastAsia="Arial" w:hAnsi="Arial" w:cs="Arial"/>
          <w:i/>
          <w:iCs/>
          <w:color w:val="000000"/>
        </w:rPr>
        <w:t>Volvox carteri</w:t>
      </w:r>
      <w:r>
        <w:rPr>
          <w:rFonts w:ascii="Arial" w:eastAsia="Arial" w:hAnsi="Arial" w:cs="Arial"/>
          <w:color w:val="000000"/>
        </w:rPr>
        <w:t xml:space="preserve">, </w:t>
      </w:r>
      <w:proofErr w:type="spellStart"/>
      <w:r>
        <w:rPr>
          <w:rFonts w:ascii="Arial" w:eastAsia="Arial" w:hAnsi="Arial" w:cs="Arial"/>
          <w:i/>
          <w:iCs/>
          <w:color w:val="000000"/>
        </w:rPr>
        <w:t>Monoraphidium</w:t>
      </w:r>
      <w:proofErr w:type="spellEnd"/>
      <w:r>
        <w:rPr>
          <w:rFonts w:ascii="Arial" w:eastAsia="Arial" w:hAnsi="Arial" w:cs="Arial"/>
          <w:i/>
          <w:iCs/>
          <w:color w:val="000000"/>
        </w:rPr>
        <w:t xml:space="preserve"> neglectum,</w:t>
      </w:r>
      <w:r>
        <w:rPr>
          <w:rFonts w:ascii="Arial" w:eastAsia="Arial" w:hAnsi="Arial" w:cs="Arial"/>
          <w:color w:val="000000"/>
        </w:rPr>
        <w:t xml:space="preserve"> </w:t>
      </w:r>
      <w:r>
        <w:rPr>
          <w:rFonts w:ascii="Arial" w:eastAsia="Arial" w:hAnsi="Arial" w:cs="Arial"/>
          <w:i/>
          <w:iCs/>
          <w:color w:val="000000"/>
        </w:rPr>
        <w:t>A. thaliana</w:t>
      </w:r>
      <w:r>
        <w:rPr>
          <w:rFonts w:ascii="Arial" w:eastAsia="Arial" w:hAnsi="Arial" w:cs="Arial"/>
          <w:color w:val="000000"/>
        </w:rPr>
        <w:t xml:space="preserve">, </w:t>
      </w:r>
      <w:r>
        <w:rPr>
          <w:rFonts w:ascii="Arial" w:eastAsia="Arial" w:hAnsi="Arial" w:cs="Arial"/>
          <w:i/>
          <w:iCs/>
          <w:color w:val="000000"/>
        </w:rPr>
        <w:t>Oryza sativa</w:t>
      </w:r>
      <w:r>
        <w:rPr>
          <w:rFonts w:ascii="Arial" w:eastAsia="Arial" w:hAnsi="Arial" w:cs="Arial"/>
          <w:color w:val="000000"/>
        </w:rPr>
        <w:t>. For UTEX 250-A, access to the genome sequence and annotations was kindly provided by the Merchant group</w:t>
      </w:r>
      <w:r>
        <w:rPr>
          <w:rFonts w:ascii="Arial" w:eastAsia="Arial" w:hAnsi="Arial" w:cs="Arial"/>
          <w:color w:val="000000"/>
          <w:vertAlign w:val="superscript"/>
        </w:rPr>
        <w:t>24</w:t>
      </w:r>
      <w:r>
        <w:rPr>
          <w:rFonts w:ascii="Arial" w:eastAsia="Arial" w:hAnsi="Arial" w:cs="Arial"/>
          <w:color w:val="000000"/>
        </w:rPr>
        <w:t xml:space="preserve">. For extraction of genome wide promoters, whole genomes and their annotation </w:t>
      </w:r>
      <w:proofErr w:type="spellStart"/>
      <w:r>
        <w:rPr>
          <w:rFonts w:ascii="Arial" w:eastAsia="Arial" w:hAnsi="Arial" w:cs="Arial"/>
          <w:color w:val="000000"/>
        </w:rPr>
        <w:t>gff</w:t>
      </w:r>
      <w:proofErr w:type="spellEnd"/>
      <w:r>
        <w:rPr>
          <w:rFonts w:ascii="Arial" w:eastAsia="Arial" w:hAnsi="Arial" w:cs="Arial"/>
          <w:color w:val="000000"/>
        </w:rPr>
        <w:t xml:space="preserve"> files were either downloaded from </w:t>
      </w:r>
      <w:proofErr w:type="spellStart"/>
      <w:r>
        <w:rPr>
          <w:rFonts w:ascii="Arial" w:eastAsia="Arial" w:hAnsi="Arial" w:cs="Arial"/>
          <w:color w:val="000000"/>
        </w:rPr>
        <w:t>Phytozome</w:t>
      </w:r>
      <w:proofErr w:type="spellEnd"/>
      <w:r>
        <w:rPr>
          <w:rFonts w:ascii="Arial" w:eastAsia="Arial" w:hAnsi="Arial" w:cs="Arial"/>
          <w:color w:val="000000"/>
        </w:rPr>
        <w:t xml:space="preserve"> or </w:t>
      </w:r>
      <w:proofErr w:type="spellStart"/>
      <w:r>
        <w:rPr>
          <w:rFonts w:ascii="Arial" w:eastAsia="Arial" w:hAnsi="Arial" w:cs="Arial"/>
          <w:color w:val="000000"/>
        </w:rPr>
        <w:t>Phycocosm</w:t>
      </w:r>
      <w:proofErr w:type="spellEnd"/>
      <w:r>
        <w:rPr>
          <w:rFonts w:ascii="Arial" w:eastAsia="Arial" w:hAnsi="Arial" w:cs="Arial"/>
          <w:color w:val="000000"/>
        </w:rPr>
        <w:t xml:space="preserve">. To extract the upstream and downstream promoter regions, -2000 bp and +500 bp from the protein start site, </w:t>
      </w:r>
      <w:proofErr w:type="spellStart"/>
      <w:r>
        <w:rPr>
          <w:rFonts w:ascii="Arial" w:eastAsia="Arial" w:hAnsi="Arial" w:cs="Arial"/>
          <w:color w:val="000000"/>
        </w:rPr>
        <w:t>geneIDs</w:t>
      </w:r>
      <w:proofErr w:type="spellEnd"/>
      <w:r>
        <w:rPr>
          <w:rFonts w:ascii="Arial" w:eastAsia="Arial" w:hAnsi="Arial" w:cs="Arial"/>
          <w:color w:val="000000"/>
        </w:rPr>
        <w:t xml:space="preserve"> were provided in </w:t>
      </w:r>
      <w:proofErr w:type="spellStart"/>
      <w:r>
        <w:rPr>
          <w:rFonts w:ascii="Arial" w:eastAsia="Arial" w:hAnsi="Arial" w:cs="Arial"/>
          <w:color w:val="000000"/>
        </w:rPr>
        <w:t>BioMart</w:t>
      </w:r>
      <w:proofErr w:type="spellEnd"/>
      <w:r>
        <w:rPr>
          <w:rFonts w:ascii="Arial" w:eastAsia="Arial" w:hAnsi="Arial" w:cs="Arial"/>
          <w:color w:val="000000"/>
        </w:rPr>
        <w:t xml:space="preserve"> for each species and then manually searched for the presence or absence of the CACGTG motifs. Genome wide motif search was performed using command line programming in UNIX. Odds ratio and Fisher’s exact test were calculated for the analysis of target promoters using Prism 11.   </w:t>
      </w:r>
    </w:p>
    <w:p w14:paraId="0EC770D5" w14:textId="77777777" w:rsidR="0041404E" w:rsidRDefault="0041404E">
      <w:pPr>
        <w:spacing w:after="0" w:line="240" w:lineRule="auto"/>
        <w:rPr>
          <w:rFonts w:ascii="Times New Roman" w:eastAsia="Times New Roman" w:hAnsi="Times New Roman" w:cs="Times New Roman"/>
          <w:color w:val="000000"/>
        </w:rPr>
      </w:pPr>
    </w:p>
    <w:p w14:paraId="14404F62" w14:textId="77777777" w:rsidR="0041404E" w:rsidRDefault="00000000">
      <w:pPr>
        <w:spacing w:after="0" w:line="240" w:lineRule="auto"/>
        <w:jc w:val="both"/>
        <w:rPr>
          <w:rFonts w:ascii="Times New Roman" w:eastAsia="Times New Roman" w:hAnsi="Times New Roman" w:cs="Times New Roman"/>
          <w:color w:val="000000"/>
        </w:rPr>
      </w:pPr>
      <w:r>
        <w:rPr>
          <w:rFonts w:ascii="Arial" w:eastAsia="Arial" w:hAnsi="Arial" w:cs="Arial"/>
          <w:b/>
          <w:bCs/>
          <w:color w:val="000000"/>
        </w:rPr>
        <w:t>Supplementary References</w:t>
      </w:r>
    </w:p>
    <w:p w14:paraId="023226B2" w14:textId="77777777" w:rsidR="0041404E" w:rsidRDefault="00000000">
      <w:pPr>
        <w:spacing w:after="240" w:line="240" w:lineRule="auto"/>
        <w:ind w:hanging="504"/>
        <w:jc w:val="both"/>
        <w:rPr>
          <w:rFonts w:ascii="Times New Roman" w:eastAsia="Times New Roman" w:hAnsi="Times New Roman" w:cs="Times New Roman"/>
          <w:color w:val="000000"/>
        </w:rPr>
      </w:pPr>
      <w:r>
        <w:rPr>
          <w:rFonts w:ascii="Arial" w:eastAsia="Arial" w:hAnsi="Arial" w:cs="Arial"/>
          <w:color w:val="000000"/>
        </w:rPr>
        <w:t xml:space="preserve">1. </w:t>
      </w:r>
      <w:r>
        <w:rPr>
          <w:rFonts w:ascii="Arial" w:eastAsia="Arial" w:hAnsi="Arial" w:cs="Arial"/>
          <w:color w:val="000000"/>
        </w:rPr>
        <w:tab/>
        <w:t xml:space="preserve">Roth, M. S. et al. Chromosome-level genome assembly and transcriptome of the green alga </w:t>
      </w:r>
      <w:r>
        <w:rPr>
          <w:rFonts w:ascii="Arial" w:eastAsia="Arial" w:hAnsi="Arial" w:cs="Arial"/>
          <w:i/>
          <w:iCs/>
          <w:color w:val="000000"/>
        </w:rPr>
        <w:t>Chromochloris zofingiensis</w:t>
      </w:r>
      <w:r>
        <w:rPr>
          <w:rFonts w:ascii="Arial" w:eastAsia="Arial" w:hAnsi="Arial" w:cs="Arial"/>
          <w:color w:val="000000"/>
        </w:rPr>
        <w:t xml:space="preserve"> illuminates astaxanthin production. </w:t>
      </w:r>
      <w:r>
        <w:rPr>
          <w:rFonts w:ascii="Arial" w:eastAsia="Arial" w:hAnsi="Arial" w:cs="Arial"/>
          <w:i/>
          <w:iCs/>
          <w:color w:val="000000"/>
        </w:rPr>
        <w:t>Proc. Natl. Acad. Sci. U.S.A.</w:t>
      </w:r>
      <w:r>
        <w:rPr>
          <w:rFonts w:ascii="Arial" w:eastAsia="Arial" w:hAnsi="Arial" w:cs="Arial"/>
          <w:color w:val="000000"/>
        </w:rPr>
        <w:t xml:space="preserve"> </w:t>
      </w:r>
      <w:r>
        <w:rPr>
          <w:rFonts w:ascii="Arial" w:eastAsia="Arial" w:hAnsi="Arial" w:cs="Arial"/>
          <w:b/>
          <w:bCs/>
          <w:color w:val="000000"/>
        </w:rPr>
        <w:t>114</w:t>
      </w:r>
      <w:r>
        <w:rPr>
          <w:rFonts w:ascii="Arial" w:eastAsia="Arial" w:hAnsi="Arial" w:cs="Arial"/>
          <w:color w:val="000000"/>
        </w:rPr>
        <w:t>, E4296–E4305 (2017).</w:t>
      </w:r>
    </w:p>
    <w:p w14:paraId="59033A42" w14:textId="77777777" w:rsidR="0041404E" w:rsidRDefault="00000000">
      <w:pPr>
        <w:spacing w:after="240" w:line="240" w:lineRule="auto"/>
        <w:ind w:hanging="504"/>
        <w:jc w:val="both"/>
        <w:rPr>
          <w:rFonts w:ascii="Times New Roman" w:eastAsia="Times New Roman" w:hAnsi="Times New Roman" w:cs="Times New Roman"/>
          <w:color w:val="000000"/>
        </w:rPr>
      </w:pPr>
      <w:r>
        <w:rPr>
          <w:rFonts w:ascii="Arial" w:eastAsia="Arial" w:hAnsi="Arial" w:cs="Arial"/>
          <w:color w:val="000000"/>
        </w:rPr>
        <w:t xml:space="preserve">2. </w:t>
      </w:r>
      <w:r>
        <w:rPr>
          <w:rFonts w:ascii="Arial" w:eastAsia="Arial" w:hAnsi="Arial" w:cs="Arial"/>
          <w:color w:val="000000"/>
        </w:rPr>
        <w:tab/>
        <w:t xml:space="preserve">Jeffers, T. L. et al. An algal nutrient-replete, optimized medium for fast growth and high triacylglycerol accumulation. </w:t>
      </w:r>
      <w:r>
        <w:rPr>
          <w:rFonts w:ascii="Arial" w:eastAsia="Arial" w:hAnsi="Arial" w:cs="Arial"/>
          <w:i/>
          <w:iCs/>
          <w:color w:val="000000"/>
        </w:rPr>
        <w:t>Plant Direct</w:t>
      </w:r>
      <w:r>
        <w:rPr>
          <w:rFonts w:ascii="Arial" w:eastAsia="Arial" w:hAnsi="Arial" w:cs="Arial"/>
          <w:color w:val="000000"/>
        </w:rPr>
        <w:t xml:space="preserve"> </w:t>
      </w:r>
      <w:r>
        <w:rPr>
          <w:rFonts w:ascii="Arial" w:eastAsia="Arial" w:hAnsi="Arial" w:cs="Arial"/>
          <w:b/>
          <w:bCs/>
          <w:color w:val="000000"/>
        </w:rPr>
        <w:t>9</w:t>
      </w:r>
      <w:r>
        <w:rPr>
          <w:rFonts w:ascii="Arial" w:eastAsia="Arial" w:hAnsi="Arial" w:cs="Arial"/>
          <w:color w:val="000000"/>
        </w:rPr>
        <w:t>, e70106 (2025).</w:t>
      </w:r>
    </w:p>
    <w:p w14:paraId="6BDEDFD5" w14:textId="77777777" w:rsidR="0041404E" w:rsidRDefault="00000000">
      <w:pPr>
        <w:spacing w:after="240" w:line="240" w:lineRule="auto"/>
        <w:ind w:hanging="504"/>
        <w:jc w:val="both"/>
        <w:rPr>
          <w:rFonts w:ascii="Times New Roman" w:eastAsia="Times New Roman" w:hAnsi="Times New Roman" w:cs="Times New Roman"/>
          <w:color w:val="000000"/>
        </w:rPr>
      </w:pPr>
      <w:r>
        <w:rPr>
          <w:rFonts w:ascii="Arial" w:eastAsia="Arial" w:hAnsi="Arial" w:cs="Arial"/>
          <w:color w:val="000000"/>
        </w:rPr>
        <w:t xml:space="preserve">3. </w:t>
      </w:r>
      <w:r>
        <w:rPr>
          <w:rFonts w:ascii="Arial" w:eastAsia="Arial" w:hAnsi="Arial" w:cs="Arial"/>
          <w:color w:val="000000"/>
        </w:rPr>
        <w:tab/>
        <w:t xml:space="preserve">Jeffers, T. L. et al. Iron rescues glucose-mediated photosynthesis repression during lipid accumulation in the green alga </w:t>
      </w:r>
      <w:r>
        <w:rPr>
          <w:rFonts w:ascii="Arial" w:eastAsia="Arial" w:hAnsi="Arial" w:cs="Arial"/>
          <w:i/>
          <w:iCs/>
          <w:color w:val="000000"/>
        </w:rPr>
        <w:t>Chromochloris zofingiensis</w:t>
      </w:r>
      <w:r>
        <w:rPr>
          <w:rFonts w:ascii="Arial" w:eastAsia="Arial" w:hAnsi="Arial" w:cs="Arial"/>
          <w:color w:val="000000"/>
        </w:rPr>
        <w:t xml:space="preserve">. </w:t>
      </w:r>
      <w:r>
        <w:rPr>
          <w:rFonts w:ascii="Arial" w:eastAsia="Arial" w:hAnsi="Arial" w:cs="Arial"/>
          <w:i/>
          <w:iCs/>
          <w:color w:val="000000"/>
        </w:rPr>
        <w:t>Nat. Commun.</w:t>
      </w:r>
      <w:r>
        <w:rPr>
          <w:rFonts w:ascii="Arial" w:eastAsia="Arial" w:hAnsi="Arial" w:cs="Arial"/>
          <w:color w:val="000000"/>
        </w:rPr>
        <w:t xml:space="preserve"> </w:t>
      </w:r>
      <w:r>
        <w:rPr>
          <w:rFonts w:ascii="Arial" w:eastAsia="Arial" w:hAnsi="Arial" w:cs="Arial"/>
          <w:b/>
          <w:bCs/>
          <w:color w:val="000000"/>
        </w:rPr>
        <w:t>15</w:t>
      </w:r>
      <w:r>
        <w:rPr>
          <w:rFonts w:ascii="Arial" w:eastAsia="Arial" w:hAnsi="Arial" w:cs="Arial"/>
          <w:color w:val="000000"/>
        </w:rPr>
        <w:t>, 6046 (2024).</w:t>
      </w:r>
    </w:p>
    <w:p w14:paraId="603DD9F9" w14:textId="77777777" w:rsidR="0041404E" w:rsidRDefault="00000000">
      <w:pPr>
        <w:spacing w:after="240" w:line="240" w:lineRule="auto"/>
        <w:ind w:hanging="504"/>
        <w:jc w:val="both"/>
        <w:rPr>
          <w:rFonts w:ascii="Times New Roman" w:eastAsia="Times New Roman" w:hAnsi="Times New Roman" w:cs="Times New Roman"/>
          <w:color w:val="000000"/>
        </w:rPr>
      </w:pPr>
      <w:r>
        <w:rPr>
          <w:rFonts w:ascii="Arial" w:eastAsia="Arial" w:hAnsi="Arial" w:cs="Arial"/>
          <w:color w:val="000000"/>
        </w:rPr>
        <w:t xml:space="preserve">4. </w:t>
      </w:r>
      <w:r>
        <w:rPr>
          <w:rFonts w:ascii="Arial" w:eastAsia="Arial" w:hAnsi="Arial" w:cs="Arial"/>
          <w:color w:val="000000"/>
        </w:rPr>
        <w:tab/>
        <w:t xml:space="preserve">Roth, M. S. et al. Regulation of oxygenic photosynthesis during trophic transitions in the green alga </w:t>
      </w:r>
      <w:r>
        <w:rPr>
          <w:rFonts w:ascii="Arial" w:eastAsia="Arial" w:hAnsi="Arial" w:cs="Arial"/>
          <w:i/>
          <w:iCs/>
          <w:color w:val="000000"/>
        </w:rPr>
        <w:t>Chromochloris zofingiensis</w:t>
      </w:r>
      <w:r>
        <w:rPr>
          <w:rFonts w:ascii="Arial" w:eastAsia="Arial" w:hAnsi="Arial" w:cs="Arial"/>
          <w:color w:val="000000"/>
        </w:rPr>
        <w:t xml:space="preserve">. </w:t>
      </w:r>
      <w:r>
        <w:rPr>
          <w:rFonts w:ascii="Arial" w:eastAsia="Arial" w:hAnsi="Arial" w:cs="Arial"/>
          <w:i/>
          <w:iCs/>
          <w:color w:val="000000"/>
        </w:rPr>
        <w:t>Plant Cell</w:t>
      </w:r>
      <w:r>
        <w:rPr>
          <w:rFonts w:ascii="Arial" w:eastAsia="Arial" w:hAnsi="Arial" w:cs="Arial"/>
          <w:color w:val="000000"/>
        </w:rPr>
        <w:t xml:space="preserve"> </w:t>
      </w:r>
      <w:r>
        <w:rPr>
          <w:rFonts w:ascii="Arial" w:eastAsia="Arial" w:hAnsi="Arial" w:cs="Arial"/>
          <w:b/>
          <w:bCs/>
          <w:color w:val="000000"/>
        </w:rPr>
        <w:t>31</w:t>
      </w:r>
      <w:r>
        <w:rPr>
          <w:rFonts w:ascii="Arial" w:eastAsia="Arial" w:hAnsi="Arial" w:cs="Arial"/>
          <w:color w:val="000000"/>
        </w:rPr>
        <w:t>, 579–601 (2019).</w:t>
      </w:r>
    </w:p>
    <w:p w14:paraId="3FE01F5E" w14:textId="77777777" w:rsidR="0041404E" w:rsidRDefault="00000000">
      <w:pPr>
        <w:spacing w:after="240" w:line="240" w:lineRule="auto"/>
        <w:ind w:hanging="504"/>
        <w:jc w:val="both"/>
        <w:rPr>
          <w:rFonts w:ascii="Times New Roman" w:eastAsia="Times New Roman" w:hAnsi="Times New Roman" w:cs="Times New Roman"/>
          <w:color w:val="000000"/>
        </w:rPr>
      </w:pPr>
      <w:r>
        <w:rPr>
          <w:rFonts w:ascii="Arial" w:eastAsia="Arial" w:hAnsi="Arial" w:cs="Arial"/>
          <w:color w:val="000000"/>
        </w:rPr>
        <w:t xml:space="preserve">5. </w:t>
      </w:r>
      <w:r>
        <w:rPr>
          <w:rFonts w:ascii="Arial" w:eastAsia="Arial" w:hAnsi="Arial" w:cs="Arial"/>
          <w:color w:val="000000"/>
        </w:rPr>
        <w:tab/>
        <w:t xml:space="preserve">Roth, M. S., Westcott, D. J., Iwai, M. &amp; Niyogi, K. K. Hexokinase is necessary for glucose-mediated photosynthesis repression and lipid accumulation in a green alga. </w:t>
      </w:r>
      <w:r>
        <w:rPr>
          <w:rFonts w:ascii="Arial" w:eastAsia="Arial" w:hAnsi="Arial" w:cs="Arial"/>
          <w:i/>
          <w:iCs/>
          <w:color w:val="000000"/>
        </w:rPr>
        <w:t>Commun. Biol.</w:t>
      </w:r>
      <w:r>
        <w:rPr>
          <w:rFonts w:ascii="Arial" w:eastAsia="Arial" w:hAnsi="Arial" w:cs="Arial"/>
          <w:color w:val="000000"/>
        </w:rPr>
        <w:t xml:space="preserve"> </w:t>
      </w:r>
      <w:r>
        <w:rPr>
          <w:rFonts w:ascii="Arial" w:eastAsia="Arial" w:hAnsi="Arial" w:cs="Arial"/>
          <w:b/>
          <w:bCs/>
          <w:color w:val="000000"/>
        </w:rPr>
        <w:t>2</w:t>
      </w:r>
      <w:r>
        <w:rPr>
          <w:rFonts w:ascii="Arial" w:eastAsia="Arial" w:hAnsi="Arial" w:cs="Arial"/>
          <w:color w:val="000000"/>
        </w:rPr>
        <w:t>, 347 (2019).</w:t>
      </w:r>
    </w:p>
    <w:p w14:paraId="142020EF" w14:textId="77777777" w:rsidR="0041404E" w:rsidRDefault="00000000">
      <w:pPr>
        <w:spacing w:after="240" w:line="240" w:lineRule="auto"/>
        <w:ind w:hanging="504"/>
        <w:jc w:val="both"/>
        <w:rPr>
          <w:rFonts w:ascii="Times New Roman" w:eastAsia="Times New Roman" w:hAnsi="Times New Roman" w:cs="Times New Roman"/>
          <w:color w:val="000000"/>
        </w:rPr>
      </w:pPr>
      <w:r>
        <w:rPr>
          <w:rFonts w:ascii="Arial" w:eastAsia="Arial" w:hAnsi="Arial" w:cs="Arial"/>
          <w:color w:val="000000"/>
        </w:rPr>
        <w:t xml:space="preserve">6. </w:t>
      </w:r>
      <w:r>
        <w:rPr>
          <w:rFonts w:ascii="Arial" w:eastAsia="Arial" w:hAnsi="Arial" w:cs="Arial"/>
          <w:color w:val="000000"/>
        </w:rPr>
        <w:tab/>
        <w:t xml:space="preserve">Gallaher, S. D. &amp; Roth, M. S. RNA purification from the unicellular green alga, </w:t>
      </w:r>
      <w:r>
        <w:rPr>
          <w:rFonts w:ascii="Arial" w:eastAsia="Arial" w:hAnsi="Arial" w:cs="Arial"/>
          <w:i/>
          <w:iCs/>
          <w:color w:val="000000"/>
        </w:rPr>
        <w:t>Chromochloris zofingiensis</w:t>
      </w:r>
      <w:r>
        <w:rPr>
          <w:rFonts w:ascii="Arial" w:eastAsia="Arial" w:hAnsi="Arial" w:cs="Arial"/>
          <w:color w:val="000000"/>
        </w:rPr>
        <w:t xml:space="preserve">. </w:t>
      </w:r>
      <w:r>
        <w:rPr>
          <w:rFonts w:ascii="Arial" w:eastAsia="Arial" w:hAnsi="Arial" w:cs="Arial"/>
          <w:i/>
          <w:iCs/>
          <w:color w:val="000000"/>
        </w:rPr>
        <w:t>Bio-protocol</w:t>
      </w:r>
      <w:r>
        <w:rPr>
          <w:rFonts w:ascii="Arial" w:eastAsia="Arial" w:hAnsi="Arial" w:cs="Arial"/>
          <w:color w:val="000000"/>
        </w:rPr>
        <w:t xml:space="preserve"> </w:t>
      </w:r>
      <w:r>
        <w:rPr>
          <w:rFonts w:ascii="Arial" w:eastAsia="Arial" w:hAnsi="Arial" w:cs="Arial"/>
          <w:b/>
          <w:bCs/>
          <w:color w:val="000000"/>
        </w:rPr>
        <w:t>8</w:t>
      </w:r>
      <w:r>
        <w:rPr>
          <w:rFonts w:ascii="Arial" w:eastAsia="Arial" w:hAnsi="Arial" w:cs="Arial"/>
          <w:color w:val="000000"/>
        </w:rPr>
        <w:t>, e2793 (2018).</w:t>
      </w:r>
    </w:p>
    <w:p w14:paraId="2F9C24C0" w14:textId="77777777" w:rsidR="0041404E" w:rsidRDefault="00000000">
      <w:pPr>
        <w:spacing w:after="240" w:line="240" w:lineRule="auto"/>
        <w:ind w:hanging="504"/>
        <w:jc w:val="both"/>
        <w:rPr>
          <w:rFonts w:ascii="Times New Roman" w:eastAsia="Times New Roman" w:hAnsi="Times New Roman" w:cs="Times New Roman"/>
          <w:color w:val="000000"/>
        </w:rPr>
      </w:pPr>
      <w:r>
        <w:rPr>
          <w:rFonts w:ascii="Arial" w:eastAsia="Arial" w:hAnsi="Arial" w:cs="Arial"/>
          <w:color w:val="000000"/>
        </w:rPr>
        <w:t xml:space="preserve">7. </w:t>
      </w:r>
      <w:r>
        <w:rPr>
          <w:rFonts w:ascii="Arial" w:eastAsia="Arial" w:hAnsi="Arial" w:cs="Arial"/>
          <w:color w:val="000000"/>
        </w:rPr>
        <w:tab/>
        <w:t xml:space="preserve">Gallaher, S. D. et al. Widespread polycistronic gene expression in green algae. </w:t>
      </w:r>
      <w:r>
        <w:rPr>
          <w:rFonts w:ascii="Arial" w:eastAsia="Arial" w:hAnsi="Arial" w:cs="Arial"/>
          <w:i/>
          <w:iCs/>
          <w:color w:val="000000"/>
        </w:rPr>
        <w:t>Proc. Natl. Acad. Sci. U.S.A.</w:t>
      </w:r>
      <w:r>
        <w:rPr>
          <w:rFonts w:ascii="Arial" w:eastAsia="Arial" w:hAnsi="Arial" w:cs="Arial"/>
          <w:color w:val="000000"/>
        </w:rPr>
        <w:t xml:space="preserve"> </w:t>
      </w:r>
      <w:r>
        <w:rPr>
          <w:rFonts w:ascii="Arial" w:eastAsia="Arial" w:hAnsi="Arial" w:cs="Arial"/>
          <w:b/>
          <w:bCs/>
          <w:color w:val="000000"/>
        </w:rPr>
        <w:t>118</w:t>
      </w:r>
      <w:r>
        <w:rPr>
          <w:rFonts w:ascii="Arial" w:eastAsia="Arial" w:hAnsi="Arial" w:cs="Arial"/>
          <w:color w:val="000000"/>
        </w:rPr>
        <w:t>, e2017714118 (2021).</w:t>
      </w:r>
    </w:p>
    <w:p w14:paraId="143AAEDF" w14:textId="77777777" w:rsidR="0041404E" w:rsidRDefault="00000000">
      <w:pPr>
        <w:spacing w:after="240" w:line="240" w:lineRule="auto"/>
        <w:ind w:hanging="504"/>
        <w:jc w:val="both"/>
        <w:rPr>
          <w:rFonts w:ascii="Times New Roman" w:eastAsia="Times New Roman" w:hAnsi="Times New Roman" w:cs="Times New Roman"/>
          <w:color w:val="000000"/>
        </w:rPr>
      </w:pPr>
      <w:r>
        <w:rPr>
          <w:rFonts w:ascii="Arial" w:eastAsia="Arial" w:hAnsi="Arial" w:cs="Arial"/>
          <w:color w:val="000000"/>
        </w:rPr>
        <w:lastRenderedPageBreak/>
        <w:t xml:space="preserve">8. </w:t>
      </w:r>
      <w:r>
        <w:rPr>
          <w:rFonts w:ascii="Arial" w:eastAsia="Arial" w:hAnsi="Arial" w:cs="Arial"/>
          <w:color w:val="000000"/>
        </w:rPr>
        <w:tab/>
        <w:t xml:space="preserve">Wang, Y. et al. Reversed-phase chromatography with multiple fraction concatenation strategy for proteome profiling of human MCF10A cells. </w:t>
      </w:r>
      <w:r>
        <w:rPr>
          <w:rFonts w:ascii="Arial" w:eastAsia="Arial" w:hAnsi="Arial" w:cs="Arial"/>
          <w:i/>
          <w:iCs/>
          <w:color w:val="000000"/>
        </w:rPr>
        <w:t>Proteomics</w:t>
      </w:r>
      <w:r>
        <w:rPr>
          <w:rFonts w:ascii="Arial" w:eastAsia="Arial" w:hAnsi="Arial" w:cs="Arial"/>
          <w:color w:val="000000"/>
        </w:rPr>
        <w:t xml:space="preserve"> </w:t>
      </w:r>
      <w:r>
        <w:rPr>
          <w:rFonts w:ascii="Arial" w:eastAsia="Arial" w:hAnsi="Arial" w:cs="Arial"/>
          <w:b/>
          <w:bCs/>
          <w:color w:val="000000"/>
        </w:rPr>
        <w:t>11</w:t>
      </w:r>
      <w:r>
        <w:rPr>
          <w:rFonts w:ascii="Arial" w:eastAsia="Arial" w:hAnsi="Arial" w:cs="Arial"/>
          <w:color w:val="000000"/>
        </w:rPr>
        <w:t>, 2019–2026 (2011).</w:t>
      </w:r>
    </w:p>
    <w:p w14:paraId="2A5361AD" w14:textId="77777777" w:rsidR="0041404E" w:rsidRDefault="00000000">
      <w:pPr>
        <w:spacing w:after="240" w:line="240" w:lineRule="auto"/>
        <w:ind w:hanging="504"/>
        <w:jc w:val="both"/>
        <w:rPr>
          <w:rFonts w:ascii="Times New Roman" w:eastAsia="Times New Roman" w:hAnsi="Times New Roman" w:cs="Times New Roman"/>
          <w:color w:val="000000"/>
        </w:rPr>
      </w:pPr>
      <w:r>
        <w:rPr>
          <w:rFonts w:ascii="Arial" w:eastAsia="Arial" w:hAnsi="Arial" w:cs="Arial"/>
          <w:color w:val="000000"/>
        </w:rPr>
        <w:t xml:space="preserve">9. </w:t>
      </w:r>
      <w:r>
        <w:rPr>
          <w:rFonts w:ascii="Arial" w:eastAsia="Arial" w:hAnsi="Arial" w:cs="Arial"/>
          <w:color w:val="000000"/>
        </w:rPr>
        <w:tab/>
        <w:t xml:space="preserve">Eng, J. K., McCormack, A. L. &amp; Yates, J. R. An approach to correlate tandem mass spectral data of peptides with amino acid sequences in a protein database. </w:t>
      </w:r>
      <w:r>
        <w:rPr>
          <w:rFonts w:ascii="Arial" w:eastAsia="Arial" w:hAnsi="Arial" w:cs="Arial"/>
          <w:i/>
          <w:iCs/>
          <w:color w:val="000000"/>
        </w:rPr>
        <w:t xml:space="preserve">J. Am. Soc. Mass </w:t>
      </w:r>
      <w:proofErr w:type="spellStart"/>
      <w:r>
        <w:rPr>
          <w:rFonts w:ascii="Arial" w:eastAsia="Arial" w:hAnsi="Arial" w:cs="Arial"/>
          <w:i/>
          <w:iCs/>
          <w:color w:val="000000"/>
        </w:rPr>
        <w:t>Spectrom</w:t>
      </w:r>
      <w:proofErr w:type="spellEnd"/>
      <w:r>
        <w:rPr>
          <w:rFonts w:ascii="Arial" w:eastAsia="Arial" w:hAnsi="Arial" w:cs="Arial"/>
          <w:i/>
          <w:iCs/>
          <w:color w:val="000000"/>
        </w:rPr>
        <w:t>.</w:t>
      </w:r>
      <w:r>
        <w:rPr>
          <w:rFonts w:ascii="Arial" w:eastAsia="Arial" w:hAnsi="Arial" w:cs="Arial"/>
          <w:color w:val="000000"/>
        </w:rPr>
        <w:t xml:space="preserve"> </w:t>
      </w:r>
      <w:r>
        <w:rPr>
          <w:rFonts w:ascii="Arial" w:eastAsia="Arial" w:hAnsi="Arial" w:cs="Arial"/>
          <w:b/>
          <w:bCs/>
          <w:color w:val="000000"/>
        </w:rPr>
        <w:t>5</w:t>
      </w:r>
      <w:r>
        <w:rPr>
          <w:rFonts w:ascii="Arial" w:eastAsia="Arial" w:hAnsi="Arial" w:cs="Arial"/>
          <w:color w:val="000000"/>
        </w:rPr>
        <w:t>, 976–989 (1994).</w:t>
      </w:r>
    </w:p>
    <w:p w14:paraId="5BD6FA52" w14:textId="77777777" w:rsidR="0041404E" w:rsidRDefault="00000000">
      <w:pPr>
        <w:spacing w:after="240" w:line="240" w:lineRule="auto"/>
        <w:ind w:hanging="504"/>
        <w:jc w:val="both"/>
        <w:rPr>
          <w:rFonts w:ascii="Times New Roman" w:eastAsia="Times New Roman" w:hAnsi="Times New Roman" w:cs="Times New Roman"/>
          <w:color w:val="000000"/>
        </w:rPr>
      </w:pPr>
      <w:r>
        <w:rPr>
          <w:rFonts w:ascii="Arial" w:eastAsia="Arial" w:hAnsi="Arial" w:cs="Arial"/>
          <w:color w:val="000000"/>
        </w:rPr>
        <w:t xml:space="preserve">10. </w:t>
      </w:r>
      <w:r>
        <w:rPr>
          <w:rFonts w:ascii="Arial" w:eastAsia="Arial" w:hAnsi="Arial" w:cs="Arial"/>
          <w:color w:val="000000"/>
        </w:rPr>
        <w:tab/>
        <w:t xml:space="preserve">Beausoleil, S. A., Villén, J., Gerber, S. A., Rush, J. &amp; Gygi, S. P. A probability-based approach for high-throughput protein phosphorylation analysis and site localization. </w:t>
      </w:r>
      <w:r>
        <w:rPr>
          <w:rFonts w:ascii="Arial" w:eastAsia="Arial" w:hAnsi="Arial" w:cs="Arial"/>
          <w:i/>
          <w:iCs/>
          <w:color w:val="000000"/>
        </w:rPr>
        <w:t xml:space="preserve">Nat. </w:t>
      </w:r>
      <w:proofErr w:type="spellStart"/>
      <w:r>
        <w:rPr>
          <w:rFonts w:ascii="Arial" w:eastAsia="Arial" w:hAnsi="Arial" w:cs="Arial"/>
          <w:i/>
          <w:iCs/>
          <w:color w:val="000000"/>
        </w:rPr>
        <w:t>Biotechnol</w:t>
      </w:r>
      <w:proofErr w:type="spellEnd"/>
      <w:r>
        <w:rPr>
          <w:rFonts w:ascii="Arial" w:eastAsia="Arial" w:hAnsi="Arial" w:cs="Arial"/>
          <w:i/>
          <w:iCs/>
          <w:color w:val="000000"/>
        </w:rPr>
        <w:t>.</w:t>
      </w:r>
      <w:r>
        <w:rPr>
          <w:rFonts w:ascii="Arial" w:eastAsia="Arial" w:hAnsi="Arial" w:cs="Arial"/>
          <w:color w:val="000000"/>
        </w:rPr>
        <w:t xml:space="preserve"> </w:t>
      </w:r>
      <w:r>
        <w:rPr>
          <w:rFonts w:ascii="Arial" w:eastAsia="Arial" w:hAnsi="Arial" w:cs="Arial"/>
          <w:b/>
          <w:bCs/>
          <w:color w:val="000000"/>
        </w:rPr>
        <w:t>24</w:t>
      </w:r>
      <w:r>
        <w:rPr>
          <w:rFonts w:ascii="Arial" w:eastAsia="Arial" w:hAnsi="Arial" w:cs="Arial"/>
          <w:color w:val="000000"/>
        </w:rPr>
        <w:t>, 1285–1292 (2006).</w:t>
      </w:r>
    </w:p>
    <w:p w14:paraId="614DF8C6" w14:textId="77777777" w:rsidR="0041404E" w:rsidRDefault="00000000">
      <w:pPr>
        <w:spacing w:after="240" w:line="240" w:lineRule="auto"/>
        <w:ind w:hanging="504"/>
        <w:jc w:val="both"/>
        <w:rPr>
          <w:rFonts w:ascii="Times New Roman" w:eastAsia="Times New Roman" w:hAnsi="Times New Roman" w:cs="Times New Roman"/>
          <w:color w:val="000000"/>
        </w:rPr>
      </w:pPr>
      <w:r>
        <w:rPr>
          <w:rFonts w:ascii="Arial" w:eastAsia="Arial" w:hAnsi="Arial" w:cs="Arial"/>
          <w:color w:val="000000"/>
        </w:rPr>
        <w:t xml:space="preserve">11. </w:t>
      </w:r>
      <w:r>
        <w:rPr>
          <w:rFonts w:ascii="Arial" w:eastAsia="Arial" w:hAnsi="Arial" w:cs="Arial"/>
          <w:color w:val="000000"/>
        </w:rPr>
        <w:tab/>
        <w:t xml:space="preserve">Elias, J. E. &amp; Gygi, S. P. Target-decoy search strategy for increased confidence in large-scale protein identifications by mass spectrometry. </w:t>
      </w:r>
      <w:r>
        <w:rPr>
          <w:rFonts w:ascii="Arial" w:eastAsia="Arial" w:hAnsi="Arial" w:cs="Arial"/>
          <w:i/>
          <w:iCs/>
          <w:color w:val="000000"/>
        </w:rPr>
        <w:t>Nat. Methods</w:t>
      </w:r>
      <w:r>
        <w:rPr>
          <w:rFonts w:ascii="Arial" w:eastAsia="Arial" w:hAnsi="Arial" w:cs="Arial"/>
          <w:color w:val="000000"/>
        </w:rPr>
        <w:t xml:space="preserve"> </w:t>
      </w:r>
      <w:r>
        <w:rPr>
          <w:rFonts w:ascii="Arial" w:eastAsia="Arial" w:hAnsi="Arial" w:cs="Arial"/>
          <w:b/>
          <w:bCs/>
          <w:color w:val="000000"/>
        </w:rPr>
        <w:t>4</w:t>
      </w:r>
      <w:r>
        <w:rPr>
          <w:rFonts w:ascii="Arial" w:eastAsia="Arial" w:hAnsi="Arial" w:cs="Arial"/>
          <w:color w:val="000000"/>
        </w:rPr>
        <w:t>, 207–214 (2007).</w:t>
      </w:r>
    </w:p>
    <w:p w14:paraId="074DADBB" w14:textId="77777777" w:rsidR="0041404E" w:rsidRDefault="00000000">
      <w:pPr>
        <w:spacing w:after="240" w:line="240" w:lineRule="auto"/>
        <w:ind w:hanging="504"/>
        <w:jc w:val="both"/>
        <w:rPr>
          <w:rFonts w:ascii="Times New Roman" w:eastAsia="Times New Roman" w:hAnsi="Times New Roman" w:cs="Times New Roman"/>
          <w:color w:val="000000"/>
        </w:rPr>
      </w:pPr>
      <w:r>
        <w:rPr>
          <w:rFonts w:ascii="Arial" w:eastAsia="Arial" w:hAnsi="Arial" w:cs="Arial"/>
          <w:color w:val="000000"/>
        </w:rPr>
        <w:t xml:space="preserve">12. </w:t>
      </w:r>
      <w:r>
        <w:rPr>
          <w:rFonts w:ascii="Arial" w:eastAsia="Arial" w:hAnsi="Arial" w:cs="Arial"/>
          <w:color w:val="000000"/>
        </w:rPr>
        <w:tab/>
        <w:t xml:space="preserve">Monroe, M. E., Shaw, J. L., Daly, D. S., Adkins, J. N. &amp; Smith, R. D. MASIC: a software program for fast quantitation and flexible visualization of chromatographic profiles from detected LC-MS(/MS) features. </w:t>
      </w:r>
      <w:proofErr w:type="spellStart"/>
      <w:r>
        <w:rPr>
          <w:rFonts w:ascii="Arial" w:eastAsia="Arial" w:hAnsi="Arial" w:cs="Arial"/>
          <w:i/>
          <w:iCs/>
          <w:color w:val="000000"/>
        </w:rPr>
        <w:t>Comput</w:t>
      </w:r>
      <w:proofErr w:type="spellEnd"/>
      <w:r>
        <w:rPr>
          <w:rFonts w:ascii="Arial" w:eastAsia="Arial" w:hAnsi="Arial" w:cs="Arial"/>
          <w:i/>
          <w:iCs/>
          <w:color w:val="000000"/>
        </w:rPr>
        <w:t>. Biol. Chem.</w:t>
      </w:r>
      <w:r>
        <w:rPr>
          <w:rFonts w:ascii="Arial" w:eastAsia="Arial" w:hAnsi="Arial" w:cs="Arial"/>
          <w:color w:val="000000"/>
        </w:rPr>
        <w:t xml:space="preserve"> </w:t>
      </w:r>
      <w:r>
        <w:rPr>
          <w:rFonts w:ascii="Arial" w:eastAsia="Arial" w:hAnsi="Arial" w:cs="Arial"/>
          <w:b/>
          <w:bCs/>
          <w:color w:val="000000"/>
        </w:rPr>
        <w:t>32</w:t>
      </w:r>
      <w:r>
        <w:rPr>
          <w:rFonts w:ascii="Arial" w:eastAsia="Arial" w:hAnsi="Arial" w:cs="Arial"/>
          <w:color w:val="000000"/>
        </w:rPr>
        <w:t>, 215–217 (2008).</w:t>
      </w:r>
    </w:p>
    <w:p w14:paraId="4A0EA4B1" w14:textId="77777777" w:rsidR="0041404E" w:rsidRDefault="00000000">
      <w:pPr>
        <w:spacing w:after="240" w:line="240" w:lineRule="auto"/>
        <w:ind w:hanging="504"/>
        <w:jc w:val="both"/>
        <w:rPr>
          <w:rFonts w:ascii="Times New Roman" w:eastAsia="Times New Roman" w:hAnsi="Times New Roman" w:cs="Times New Roman"/>
          <w:color w:val="000000"/>
        </w:rPr>
      </w:pPr>
      <w:r>
        <w:rPr>
          <w:rFonts w:ascii="Arial" w:eastAsia="Arial" w:hAnsi="Arial" w:cs="Arial"/>
          <w:color w:val="000000"/>
        </w:rPr>
        <w:t xml:space="preserve">13. </w:t>
      </w:r>
      <w:r>
        <w:rPr>
          <w:rFonts w:ascii="Arial" w:eastAsia="Arial" w:hAnsi="Arial" w:cs="Arial"/>
          <w:color w:val="000000"/>
        </w:rPr>
        <w:tab/>
        <w:t xml:space="preserve">Werth, E. G. et al. Investigating the effect of target of rapamycin kinase inhibition on the </w:t>
      </w:r>
      <w:r>
        <w:rPr>
          <w:rFonts w:ascii="Arial" w:eastAsia="Arial" w:hAnsi="Arial" w:cs="Arial"/>
          <w:i/>
          <w:iCs/>
          <w:color w:val="000000"/>
        </w:rPr>
        <w:t>Chlamydomonas reinhardtii</w:t>
      </w:r>
      <w:r>
        <w:rPr>
          <w:rFonts w:ascii="Arial" w:eastAsia="Arial" w:hAnsi="Arial" w:cs="Arial"/>
          <w:color w:val="000000"/>
        </w:rPr>
        <w:t xml:space="preserve"> phosphoproteome: from known homologs to new targets. </w:t>
      </w:r>
      <w:r>
        <w:rPr>
          <w:rFonts w:ascii="Arial" w:eastAsia="Arial" w:hAnsi="Arial" w:cs="Arial"/>
          <w:i/>
          <w:iCs/>
          <w:color w:val="000000"/>
        </w:rPr>
        <w:t>New Phytol.</w:t>
      </w:r>
      <w:r>
        <w:rPr>
          <w:rFonts w:ascii="Arial" w:eastAsia="Arial" w:hAnsi="Arial" w:cs="Arial"/>
          <w:color w:val="000000"/>
        </w:rPr>
        <w:t xml:space="preserve"> </w:t>
      </w:r>
      <w:r>
        <w:rPr>
          <w:rFonts w:ascii="Arial" w:eastAsia="Arial" w:hAnsi="Arial" w:cs="Arial"/>
          <w:b/>
          <w:bCs/>
          <w:color w:val="000000"/>
        </w:rPr>
        <w:t>221</w:t>
      </w:r>
      <w:r>
        <w:rPr>
          <w:rFonts w:ascii="Arial" w:eastAsia="Arial" w:hAnsi="Arial" w:cs="Arial"/>
          <w:color w:val="000000"/>
        </w:rPr>
        <w:t>, 247–260 (2019).</w:t>
      </w:r>
    </w:p>
    <w:p w14:paraId="2ED0F843" w14:textId="77777777" w:rsidR="0041404E" w:rsidRDefault="00000000">
      <w:pPr>
        <w:spacing w:after="240" w:line="240" w:lineRule="auto"/>
        <w:ind w:hanging="504"/>
        <w:jc w:val="both"/>
        <w:rPr>
          <w:rFonts w:ascii="Times New Roman" w:eastAsia="Times New Roman" w:hAnsi="Times New Roman" w:cs="Times New Roman"/>
          <w:color w:val="000000"/>
        </w:rPr>
      </w:pPr>
      <w:r>
        <w:rPr>
          <w:rFonts w:ascii="Arial" w:eastAsia="Arial" w:hAnsi="Arial" w:cs="Arial"/>
          <w:color w:val="000000"/>
        </w:rPr>
        <w:t xml:space="preserve">14. </w:t>
      </w:r>
      <w:r>
        <w:rPr>
          <w:rFonts w:ascii="Arial" w:eastAsia="Arial" w:hAnsi="Arial" w:cs="Arial"/>
          <w:color w:val="000000"/>
        </w:rPr>
        <w:tab/>
      </w:r>
      <w:proofErr w:type="spellStart"/>
      <w:r>
        <w:rPr>
          <w:rFonts w:ascii="Arial" w:eastAsia="Arial" w:hAnsi="Arial" w:cs="Arial"/>
          <w:color w:val="000000"/>
        </w:rPr>
        <w:t>Roustan</w:t>
      </w:r>
      <w:proofErr w:type="spellEnd"/>
      <w:r>
        <w:rPr>
          <w:rFonts w:ascii="Arial" w:eastAsia="Arial" w:hAnsi="Arial" w:cs="Arial"/>
          <w:color w:val="000000"/>
        </w:rPr>
        <w:t xml:space="preserve">, V. &amp; Weckwerth, W. Quantitative </w:t>
      </w:r>
      <w:proofErr w:type="spellStart"/>
      <w:r>
        <w:rPr>
          <w:rFonts w:ascii="Arial" w:eastAsia="Arial" w:hAnsi="Arial" w:cs="Arial"/>
          <w:color w:val="000000"/>
        </w:rPr>
        <w:t>phosphoproteomic</w:t>
      </w:r>
      <w:proofErr w:type="spellEnd"/>
      <w:r>
        <w:rPr>
          <w:rFonts w:ascii="Arial" w:eastAsia="Arial" w:hAnsi="Arial" w:cs="Arial"/>
          <w:color w:val="000000"/>
        </w:rPr>
        <w:t xml:space="preserve"> and system-level analysis of TOR inhibition unravel distinct organellar acclimation in </w:t>
      </w:r>
      <w:r>
        <w:rPr>
          <w:rFonts w:ascii="Arial" w:eastAsia="Arial" w:hAnsi="Arial" w:cs="Arial"/>
          <w:i/>
          <w:iCs/>
          <w:color w:val="000000"/>
        </w:rPr>
        <w:t>Chlamydomonas reinhardtii</w:t>
      </w:r>
      <w:r>
        <w:rPr>
          <w:rFonts w:ascii="Arial" w:eastAsia="Arial" w:hAnsi="Arial" w:cs="Arial"/>
          <w:color w:val="000000"/>
        </w:rPr>
        <w:t xml:space="preserve">. </w:t>
      </w:r>
      <w:r>
        <w:rPr>
          <w:rFonts w:ascii="Arial" w:eastAsia="Arial" w:hAnsi="Arial" w:cs="Arial"/>
          <w:i/>
          <w:iCs/>
          <w:color w:val="000000"/>
        </w:rPr>
        <w:t>Front. Plant Sci.</w:t>
      </w:r>
      <w:r>
        <w:rPr>
          <w:rFonts w:ascii="Arial" w:eastAsia="Arial" w:hAnsi="Arial" w:cs="Arial"/>
          <w:color w:val="000000"/>
        </w:rPr>
        <w:t xml:space="preserve"> </w:t>
      </w:r>
      <w:r>
        <w:rPr>
          <w:rFonts w:ascii="Arial" w:eastAsia="Arial" w:hAnsi="Arial" w:cs="Arial"/>
          <w:b/>
          <w:bCs/>
          <w:color w:val="000000"/>
        </w:rPr>
        <w:t>9</w:t>
      </w:r>
      <w:r>
        <w:rPr>
          <w:rFonts w:ascii="Arial" w:eastAsia="Arial" w:hAnsi="Arial" w:cs="Arial"/>
          <w:color w:val="000000"/>
        </w:rPr>
        <w:t>, 1590 (2018).</w:t>
      </w:r>
    </w:p>
    <w:p w14:paraId="21D0F3A4" w14:textId="77777777" w:rsidR="0041404E" w:rsidRDefault="00000000">
      <w:pPr>
        <w:spacing w:after="240" w:line="240" w:lineRule="auto"/>
        <w:ind w:hanging="504"/>
        <w:jc w:val="both"/>
        <w:rPr>
          <w:rFonts w:ascii="Times New Roman" w:eastAsia="Times New Roman" w:hAnsi="Times New Roman" w:cs="Times New Roman"/>
          <w:color w:val="000000"/>
        </w:rPr>
      </w:pPr>
      <w:r>
        <w:rPr>
          <w:rFonts w:ascii="Arial" w:eastAsia="Arial" w:hAnsi="Arial" w:cs="Arial"/>
          <w:color w:val="000000"/>
        </w:rPr>
        <w:t xml:space="preserve">15. </w:t>
      </w:r>
      <w:r>
        <w:rPr>
          <w:rFonts w:ascii="Arial" w:eastAsia="Arial" w:hAnsi="Arial" w:cs="Arial"/>
          <w:color w:val="000000"/>
        </w:rPr>
        <w:tab/>
        <w:t xml:space="preserve">Van Leene, J. et al. Capturing the phosphorylation and protein interaction landscape of the plant TOR kinase. </w:t>
      </w:r>
      <w:r>
        <w:rPr>
          <w:rFonts w:ascii="Arial" w:eastAsia="Arial" w:hAnsi="Arial" w:cs="Arial"/>
          <w:i/>
          <w:iCs/>
          <w:color w:val="000000"/>
        </w:rPr>
        <w:t>Nat. Plants</w:t>
      </w:r>
      <w:r>
        <w:rPr>
          <w:rFonts w:ascii="Arial" w:eastAsia="Arial" w:hAnsi="Arial" w:cs="Arial"/>
          <w:color w:val="000000"/>
        </w:rPr>
        <w:t xml:space="preserve"> </w:t>
      </w:r>
      <w:r>
        <w:rPr>
          <w:rFonts w:ascii="Arial" w:eastAsia="Arial" w:hAnsi="Arial" w:cs="Arial"/>
          <w:b/>
          <w:bCs/>
          <w:color w:val="000000"/>
        </w:rPr>
        <w:t>5</w:t>
      </w:r>
      <w:r>
        <w:rPr>
          <w:rFonts w:ascii="Arial" w:eastAsia="Arial" w:hAnsi="Arial" w:cs="Arial"/>
          <w:color w:val="000000"/>
        </w:rPr>
        <w:t>, 316–327 (2019).</w:t>
      </w:r>
    </w:p>
    <w:p w14:paraId="681F9120" w14:textId="77777777" w:rsidR="0041404E" w:rsidRDefault="00000000">
      <w:pPr>
        <w:spacing w:after="240" w:line="240" w:lineRule="auto"/>
        <w:ind w:hanging="504"/>
        <w:jc w:val="both"/>
        <w:rPr>
          <w:rFonts w:ascii="Times New Roman" w:eastAsia="Times New Roman" w:hAnsi="Times New Roman" w:cs="Times New Roman"/>
          <w:color w:val="000000"/>
        </w:rPr>
      </w:pPr>
      <w:r>
        <w:rPr>
          <w:rFonts w:ascii="Arial" w:eastAsia="Arial" w:hAnsi="Arial" w:cs="Arial"/>
          <w:color w:val="000000"/>
        </w:rPr>
        <w:t xml:space="preserve">16. </w:t>
      </w:r>
      <w:r>
        <w:rPr>
          <w:rFonts w:ascii="Arial" w:eastAsia="Arial" w:hAnsi="Arial" w:cs="Arial"/>
          <w:color w:val="000000"/>
        </w:rPr>
        <w:tab/>
        <w:t xml:space="preserve">Novak, V. et al. Reproducible growth of </w:t>
      </w:r>
      <w:proofErr w:type="spellStart"/>
      <w:r>
        <w:rPr>
          <w:rFonts w:ascii="Arial" w:eastAsia="Arial" w:hAnsi="Arial" w:cs="Arial"/>
          <w:i/>
          <w:iCs/>
          <w:color w:val="000000"/>
        </w:rPr>
        <w:t>Brachypodium</w:t>
      </w:r>
      <w:proofErr w:type="spellEnd"/>
      <w:r>
        <w:rPr>
          <w:rFonts w:ascii="Arial" w:eastAsia="Arial" w:hAnsi="Arial" w:cs="Arial"/>
          <w:color w:val="000000"/>
        </w:rPr>
        <w:t xml:space="preserve"> in </w:t>
      </w:r>
      <w:proofErr w:type="spellStart"/>
      <w:r>
        <w:rPr>
          <w:rFonts w:ascii="Arial" w:eastAsia="Arial" w:hAnsi="Arial" w:cs="Arial"/>
          <w:color w:val="000000"/>
        </w:rPr>
        <w:t>EcoFAB</w:t>
      </w:r>
      <w:proofErr w:type="spellEnd"/>
      <w:r>
        <w:rPr>
          <w:rFonts w:ascii="Arial" w:eastAsia="Arial" w:hAnsi="Arial" w:cs="Arial"/>
          <w:color w:val="000000"/>
        </w:rPr>
        <w:t xml:space="preserve"> 2.0 reveals that nitrogen form and starvation modulate root exudation. </w:t>
      </w:r>
      <w:r>
        <w:rPr>
          <w:rFonts w:ascii="Arial" w:eastAsia="Arial" w:hAnsi="Arial" w:cs="Arial"/>
          <w:i/>
          <w:iCs/>
          <w:color w:val="000000"/>
        </w:rPr>
        <w:t>Sci. Adv.</w:t>
      </w:r>
      <w:r>
        <w:rPr>
          <w:rFonts w:ascii="Arial" w:eastAsia="Arial" w:hAnsi="Arial" w:cs="Arial"/>
          <w:color w:val="000000"/>
        </w:rPr>
        <w:t xml:space="preserve"> </w:t>
      </w:r>
      <w:r>
        <w:rPr>
          <w:rFonts w:ascii="Arial" w:eastAsia="Arial" w:hAnsi="Arial" w:cs="Arial"/>
          <w:b/>
          <w:bCs/>
          <w:color w:val="000000"/>
        </w:rPr>
        <w:t>10</w:t>
      </w:r>
      <w:r>
        <w:rPr>
          <w:rFonts w:ascii="Arial" w:eastAsia="Arial" w:hAnsi="Arial" w:cs="Arial"/>
          <w:color w:val="000000"/>
        </w:rPr>
        <w:t>, eadg7888 (2024).</w:t>
      </w:r>
    </w:p>
    <w:p w14:paraId="1E0F5B75" w14:textId="77777777" w:rsidR="0041404E" w:rsidRDefault="00000000">
      <w:pPr>
        <w:spacing w:after="240" w:line="240" w:lineRule="auto"/>
        <w:ind w:hanging="504"/>
        <w:jc w:val="both"/>
        <w:rPr>
          <w:rFonts w:ascii="Times New Roman" w:eastAsia="Times New Roman" w:hAnsi="Times New Roman" w:cs="Times New Roman"/>
          <w:color w:val="000000"/>
        </w:rPr>
      </w:pPr>
      <w:r>
        <w:rPr>
          <w:rFonts w:ascii="Arial" w:eastAsia="Arial" w:hAnsi="Arial" w:cs="Arial"/>
          <w:color w:val="000000"/>
        </w:rPr>
        <w:t xml:space="preserve">17. </w:t>
      </w:r>
      <w:r>
        <w:rPr>
          <w:rFonts w:ascii="Arial" w:eastAsia="Arial" w:hAnsi="Arial" w:cs="Arial"/>
          <w:color w:val="000000"/>
        </w:rPr>
        <w:tab/>
        <w:t xml:space="preserve">Wang, M. et al. Sharing and community curation of mass spectrometry data with Global Natural Products Social Molecular Networking. </w:t>
      </w:r>
      <w:r>
        <w:rPr>
          <w:rFonts w:ascii="Arial" w:eastAsia="Arial" w:hAnsi="Arial" w:cs="Arial"/>
          <w:i/>
          <w:iCs/>
          <w:color w:val="000000"/>
        </w:rPr>
        <w:t xml:space="preserve">Nat. </w:t>
      </w:r>
      <w:proofErr w:type="spellStart"/>
      <w:r>
        <w:rPr>
          <w:rFonts w:ascii="Arial" w:eastAsia="Arial" w:hAnsi="Arial" w:cs="Arial"/>
          <w:i/>
          <w:iCs/>
          <w:color w:val="000000"/>
        </w:rPr>
        <w:t>Biotechnol</w:t>
      </w:r>
      <w:proofErr w:type="spellEnd"/>
      <w:r>
        <w:rPr>
          <w:rFonts w:ascii="Arial" w:eastAsia="Arial" w:hAnsi="Arial" w:cs="Arial"/>
          <w:i/>
          <w:iCs/>
          <w:color w:val="000000"/>
        </w:rPr>
        <w:t>.</w:t>
      </w:r>
      <w:r>
        <w:rPr>
          <w:rFonts w:ascii="Arial" w:eastAsia="Arial" w:hAnsi="Arial" w:cs="Arial"/>
          <w:color w:val="000000"/>
        </w:rPr>
        <w:t xml:space="preserve"> </w:t>
      </w:r>
      <w:r>
        <w:rPr>
          <w:rFonts w:ascii="Arial" w:eastAsia="Arial" w:hAnsi="Arial" w:cs="Arial"/>
          <w:b/>
          <w:bCs/>
          <w:color w:val="000000"/>
        </w:rPr>
        <w:t>34</w:t>
      </w:r>
      <w:r>
        <w:rPr>
          <w:rFonts w:ascii="Arial" w:eastAsia="Arial" w:hAnsi="Arial" w:cs="Arial"/>
          <w:color w:val="000000"/>
        </w:rPr>
        <w:t>, 828–837 (2016).</w:t>
      </w:r>
    </w:p>
    <w:p w14:paraId="4E346162" w14:textId="77777777" w:rsidR="0041404E" w:rsidRDefault="00000000">
      <w:pPr>
        <w:spacing w:after="240" w:line="240" w:lineRule="auto"/>
        <w:ind w:hanging="504"/>
        <w:jc w:val="both"/>
        <w:rPr>
          <w:rFonts w:ascii="Times New Roman" w:eastAsia="Times New Roman" w:hAnsi="Times New Roman" w:cs="Times New Roman"/>
          <w:color w:val="000000"/>
        </w:rPr>
      </w:pPr>
      <w:r>
        <w:rPr>
          <w:rFonts w:ascii="Arial" w:eastAsia="Arial" w:hAnsi="Arial" w:cs="Arial"/>
          <w:color w:val="000000"/>
        </w:rPr>
        <w:t xml:space="preserve">18. </w:t>
      </w:r>
      <w:r>
        <w:rPr>
          <w:rFonts w:ascii="Arial" w:eastAsia="Arial" w:hAnsi="Arial" w:cs="Arial"/>
          <w:color w:val="000000"/>
        </w:rPr>
        <w:tab/>
        <w:t xml:space="preserve">Sumner, L. W. et al. Proposed minimum reporting standards for chemical analysis: Chemical Analysis Working Group (CAWG) Metabolomics Standards Initiative (MSI). </w:t>
      </w:r>
      <w:r>
        <w:rPr>
          <w:rFonts w:ascii="Arial" w:eastAsia="Arial" w:hAnsi="Arial" w:cs="Arial"/>
          <w:i/>
          <w:iCs/>
          <w:color w:val="000000"/>
        </w:rPr>
        <w:t>Metabolomics</w:t>
      </w:r>
      <w:r>
        <w:rPr>
          <w:rFonts w:ascii="Arial" w:eastAsia="Arial" w:hAnsi="Arial" w:cs="Arial"/>
          <w:color w:val="000000"/>
        </w:rPr>
        <w:t xml:space="preserve"> </w:t>
      </w:r>
      <w:r>
        <w:rPr>
          <w:rFonts w:ascii="Arial" w:eastAsia="Arial" w:hAnsi="Arial" w:cs="Arial"/>
          <w:b/>
          <w:bCs/>
          <w:color w:val="000000"/>
        </w:rPr>
        <w:t>3</w:t>
      </w:r>
      <w:r>
        <w:rPr>
          <w:rFonts w:ascii="Arial" w:eastAsia="Arial" w:hAnsi="Arial" w:cs="Arial"/>
          <w:color w:val="000000"/>
        </w:rPr>
        <w:t>, 211–221 (2007).</w:t>
      </w:r>
    </w:p>
    <w:p w14:paraId="4A88CA30" w14:textId="77777777" w:rsidR="0041404E" w:rsidRDefault="00000000">
      <w:pPr>
        <w:spacing w:after="240" w:line="240" w:lineRule="auto"/>
        <w:ind w:hanging="504"/>
        <w:jc w:val="both"/>
        <w:rPr>
          <w:rFonts w:ascii="Times New Roman" w:eastAsia="Times New Roman" w:hAnsi="Times New Roman" w:cs="Times New Roman"/>
          <w:color w:val="000000"/>
        </w:rPr>
      </w:pPr>
      <w:r>
        <w:rPr>
          <w:rFonts w:ascii="Arial" w:eastAsia="Arial" w:hAnsi="Arial" w:cs="Arial"/>
          <w:color w:val="000000"/>
        </w:rPr>
        <w:t xml:space="preserve">19. </w:t>
      </w:r>
      <w:r>
        <w:rPr>
          <w:rFonts w:ascii="Arial" w:eastAsia="Arial" w:hAnsi="Arial" w:cs="Arial"/>
          <w:color w:val="000000"/>
        </w:rPr>
        <w:tab/>
        <w:t xml:space="preserve">Liu, J. et al. Multiomics analysis reveals a distinct mechanism of oleaginousness in the emerging model alga </w:t>
      </w:r>
      <w:r>
        <w:rPr>
          <w:rFonts w:ascii="Arial" w:eastAsia="Arial" w:hAnsi="Arial" w:cs="Arial"/>
          <w:i/>
          <w:iCs/>
          <w:color w:val="000000"/>
        </w:rPr>
        <w:t>Chromochloris zofingiensis</w:t>
      </w:r>
      <w:r>
        <w:rPr>
          <w:rFonts w:ascii="Arial" w:eastAsia="Arial" w:hAnsi="Arial" w:cs="Arial"/>
          <w:color w:val="000000"/>
        </w:rPr>
        <w:t xml:space="preserve">. </w:t>
      </w:r>
      <w:r>
        <w:rPr>
          <w:rFonts w:ascii="Arial" w:eastAsia="Arial" w:hAnsi="Arial" w:cs="Arial"/>
          <w:i/>
          <w:iCs/>
          <w:color w:val="000000"/>
        </w:rPr>
        <w:t>Plant J.</w:t>
      </w:r>
      <w:r>
        <w:rPr>
          <w:rFonts w:ascii="Arial" w:eastAsia="Arial" w:hAnsi="Arial" w:cs="Arial"/>
          <w:color w:val="000000"/>
        </w:rPr>
        <w:t xml:space="preserve"> </w:t>
      </w:r>
      <w:r>
        <w:rPr>
          <w:rFonts w:ascii="Arial" w:eastAsia="Arial" w:hAnsi="Arial" w:cs="Arial"/>
          <w:b/>
          <w:bCs/>
          <w:color w:val="000000"/>
        </w:rPr>
        <w:t>98</w:t>
      </w:r>
      <w:r>
        <w:rPr>
          <w:rFonts w:ascii="Arial" w:eastAsia="Arial" w:hAnsi="Arial" w:cs="Arial"/>
          <w:color w:val="000000"/>
        </w:rPr>
        <w:t>, 1060–1077 (2019).</w:t>
      </w:r>
    </w:p>
    <w:p w14:paraId="7CC16841" w14:textId="77777777" w:rsidR="0041404E" w:rsidRDefault="00000000">
      <w:pPr>
        <w:spacing w:after="240" w:line="240" w:lineRule="auto"/>
        <w:ind w:hanging="504"/>
        <w:jc w:val="both"/>
        <w:rPr>
          <w:rFonts w:ascii="Times New Roman" w:eastAsia="Times New Roman" w:hAnsi="Times New Roman" w:cs="Times New Roman"/>
          <w:color w:val="000000"/>
        </w:rPr>
      </w:pPr>
      <w:r>
        <w:rPr>
          <w:rFonts w:ascii="Arial" w:eastAsia="Arial" w:hAnsi="Arial" w:cs="Arial"/>
          <w:color w:val="000000"/>
        </w:rPr>
        <w:t xml:space="preserve">20. </w:t>
      </w:r>
      <w:r>
        <w:rPr>
          <w:rFonts w:ascii="Arial" w:eastAsia="Arial" w:hAnsi="Arial" w:cs="Arial"/>
          <w:color w:val="000000"/>
        </w:rPr>
        <w:tab/>
        <w:t xml:space="preserve">Baumgart, L. A. et al. Recruitment, rewiring and deep conservation in flowering plant gene regulation. </w:t>
      </w:r>
      <w:r>
        <w:rPr>
          <w:rFonts w:ascii="Arial" w:eastAsia="Arial" w:hAnsi="Arial" w:cs="Arial"/>
          <w:i/>
          <w:iCs/>
          <w:color w:val="000000"/>
        </w:rPr>
        <w:t>Nat. Plants</w:t>
      </w:r>
      <w:r>
        <w:rPr>
          <w:rFonts w:ascii="Arial" w:eastAsia="Arial" w:hAnsi="Arial" w:cs="Arial"/>
          <w:color w:val="000000"/>
        </w:rPr>
        <w:t xml:space="preserve"> </w:t>
      </w:r>
      <w:r>
        <w:rPr>
          <w:rFonts w:ascii="Arial" w:eastAsia="Arial" w:hAnsi="Arial" w:cs="Arial"/>
          <w:b/>
          <w:bCs/>
          <w:color w:val="000000"/>
        </w:rPr>
        <w:t>11</w:t>
      </w:r>
      <w:r>
        <w:rPr>
          <w:rFonts w:ascii="Arial" w:eastAsia="Arial" w:hAnsi="Arial" w:cs="Arial"/>
          <w:color w:val="000000"/>
        </w:rPr>
        <w:t>, 1514–1527 (2025).</w:t>
      </w:r>
    </w:p>
    <w:p w14:paraId="22C97722" w14:textId="77777777" w:rsidR="0041404E" w:rsidRDefault="00000000">
      <w:pPr>
        <w:spacing w:after="240" w:line="240" w:lineRule="auto"/>
        <w:ind w:hanging="504"/>
        <w:jc w:val="both"/>
        <w:rPr>
          <w:rFonts w:ascii="Times New Roman" w:eastAsia="Times New Roman" w:hAnsi="Times New Roman" w:cs="Times New Roman"/>
          <w:color w:val="000000"/>
        </w:rPr>
      </w:pPr>
      <w:r>
        <w:rPr>
          <w:rFonts w:ascii="Arial" w:eastAsia="Arial" w:hAnsi="Arial" w:cs="Arial"/>
          <w:color w:val="000000"/>
        </w:rPr>
        <w:t xml:space="preserve">21. </w:t>
      </w:r>
      <w:r>
        <w:rPr>
          <w:rFonts w:ascii="Arial" w:eastAsia="Arial" w:hAnsi="Arial" w:cs="Arial"/>
          <w:color w:val="000000"/>
        </w:rPr>
        <w:tab/>
        <w:t xml:space="preserve">O’Malley, R. C. et al. </w:t>
      </w:r>
      <w:proofErr w:type="spellStart"/>
      <w:r>
        <w:rPr>
          <w:rFonts w:ascii="Arial" w:eastAsia="Arial" w:hAnsi="Arial" w:cs="Arial"/>
          <w:color w:val="000000"/>
        </w:rPr>
        <w:t>Cistrome</w:t>
      </w:r>
      <w:proofErr w:type="spellEnd"/>
      <w:r>
        <w:rPr>
          <w:rFonts w:ascii="Arial" w:eastAsia="Arial" w:hAnsi="Arial" w:cs="Arial"/>
          <w:color w:val="000000"/>
        </w:rPr>
        <w:t xml:space="preserve"> and </w:t>
      </w:r>
      <w:proofErr w:type="spellStart"/>
      <w:r>
        <w:rPr>
          <w:rFonts w:ascii="Arial" w:eastAsia="Arial" w:hAnsi="Arial" w:cs="Arial"/>
          <w:color w:val="000000"/>
        </w:rPr>
        <w:t>epicistrome</w:t>
      </w:r>
      <w:proofErr w:type="spellEnd"/>
      <w:r>
        <w:rPr>
          <w:rFonts w:ascii="Arial" w:eastAsia="Arial" w:hAnsi="Arial" w:cs="Arial"/>
          <w:color w:val="000000"/>
        </w:rPr>
        <w:t xml:space="preserve"> features shape the regulatory DNA landscape. </w:t>
      </w:r>
      <w:r>
        <w:rPr>
          <w:rFonts w:ascii="Arial" w:eastAsia="Arial" w:hAnsi="Arial" w:cs="Arial"/>
          <w:i/>
          <w:iCs/>
          <w:color w:val="000000"/>
        </w:rPr>
        <w:t>Cell</w:t>
      </w:r>
      <w:r>
        <w:rPr>
          <w:rFonts w:ascii="Arial" w:eastAsia="Arial" w:hAnsi="Arial" w:cs="Arial"/>
          <w:color w:val="000000"/>
        </w:rPr>
        <w:t xml:space="preserve"> </w:t>
      </w:r>
      <w:r>
        <w:rPr>
          <w:rFonts w:ascii="Arial" w:eastAsia="Arial" w:hAnsi="Arial" w:cs="Arial"/>
          <w:b/>
          <w:bCs/>
          <w:color w:val="000000"/>
        </w:rPr>
        <w:t>165</w:t>
      </w:r>
      <w:r>
        <w:rPr>
          <w:rFonts w:ascii="Arial" w:eastAsia="Arial" w:hAnsi="Arial" w:cs="Arial"/>
          <w:color w:val="000000"/>
        </w:rPr>
        <w:t>, 1280–1292 (2016).</w:t>
      </w:r>
    </w:p>
    <w:p w14:paraId="25EC0E06" w14:textId="77777777" w:rsidR="0041404E" w:rsidRDefault="00000000">
      <w:pPr>
        <w:spacing w:after="240" w:line="240" w:lineRule="auto"/>
        <w:ind w:hanging="504"/>
        <w:jc w:val="both"/>
        <w:rPr>
          <w:rFonts w:ascii="Times New Roman" w:eastAsia="Times New Roman" w:hAnsi="Times New Roman" w:cs="Times New Roman"/>
          <w:color w:val="000000"/>
        </w:rPr>
      </w:pPr>
      <w:r>
        <w:rPr>
          <w:rFonts w:ascii="Arial" w:eastAsia="Arial" w:hAnsi="Arial" w:cs="Arial"/>
          <w:color w:val="000000"/>
        </w:rPr>
        <w:lastRenderedPageBreak/>
        <w:t xml:space="preserve">22. </w:t>
      </w:r>
      <w:r>
        <w:rPr>
          <w:rFonts w:ascii="Arial" w:eastAsia="Arial" w:hAnsi="Arial" w:cs="Arial"/>
          <w:color w:val="000000"/>
        </w:rPr>
        <w:tab/>
        <w:t xml:space="preserve">Li, H. et al. The Sequence Alignment/Map format and </w:t>
      </w:r>
      <w:proofErr w:type="spellStart"/>
      <w:r>
        <w:rPr>
          <w:rFonts w:ascii="Arial" w:eastAsia="Arial" w:hAnsi="Arial" w:cs="Arial"/>
          <w:color w:val="000000"/>
        </w:rPr>
        <w:t>SAMtools</w:t>
      </w:r>
      <w:proofErr w:type="spellEnd"/>
      <w:r>
        <w:rPr>
          <w:rFonts w:ascii="Arial" w:eastAsia="Arial" w:hAnsi="Arial" w:cs="Arial"/>
          <w:color w:val="000000"/>
        </w:rPr>
        <w:t xml:space="preserve">. </w:t>
      </w:r>
      <w:r>
        <w:rPr>
          <w:rFonts w:ascii="Arial" w:eastAsia="Arial" w:hAnsi="Arial" w:cs="Arial"/>
          <w:i/>
          <w:iCs/>
          <w:color w:val="000000"/>
        </w:rPr>
        <w:t>Bioinformatics</w:t>
      </w:r>
      <w:r>
        <w:rPr>
          <w:rFonts w:ascii="Arial" w:eastAsia="Arial" w:hAnsi="Arial" w:cs="Arial"/>
          <w:color w:val="000000"/>
        </w:rPr>
        <w:t xml:space="preserve"> </w:t>
      </w:r>
      <w:r>
        <w:rPr>
          <w:rFonts w:ascii="Arial" w:eastAsia="Arial" w:hAnsi="Arial" w:cs="Arial"/>
          <w:b/>
          <w:bCs/>
          <w:color w:val="000000"/>
        </w:rPr>
        <w:t>25</w:t>
      </w:r>
      <w:r>
        <w:rPr>
          <w:rFonts w:ascii="Arial" w:eastAsia="Arial" w:hAnsi="Arial" w:cs="Arial"/>
          <w:color w:val="000000"/>
        </w:rPr>
        <w:t>, 2078–2079 (2009).</w:t>
      </w:r>
    </w:p>
    <w:p w14:paraId="6BE2B845" w14:textId="77777777" w:rsidR="0041404E" w:rsidRDefault="00000000">
      <w:pPr>
        <w:spacing w:after="240" w:line="240" w:lineRule="auto"/>
        <w:ind w:hanging="504"/>
        <w:jc w:val="both"/>
        <w:rPr>
          <w:rFonts w:ascii="Times New Roman" w:eastAsia="Times New Roman" w:hAnsi="Times New Roman" w:cs="Times New Roman"/>
          <w:color w:val="000000"/>
        </w:rPr>
      </w:pPr>
      <w:r>
        <w:rPr>
          <w:rFonts w:ascii="Arial" w:eastAsia="Arial" w:hAnsi="Arial" w:cs="Arial"/>
          <w:color w:val="000000"/>
        </w:rPr>
        <w:t xml:space="preserve">23. </w:t>
      </w:r>
      <w:r>
        <w:rPr>
          <w:rFonts w:ascii="Arial" w:eastAsia="Arial" w:hAnsi="Arial" w:cs="Arial"/>
          <w:color w:val="000000"/>
        </w:rPr>
        <w:tab/>
        <w:t xml:space="preserve">Bailey, T. L., Johnson, J., Grant, C. E. &amp; Noble, W. S. The MEME Suite. </w:t>
      </w:r>
      <w:r>
        <w:rPr>
          <w:rFonts w:ascii="Arial" w:eastAsia="Arial" w:hAnsi="Arial" w:cs="Arial"/>
          <w:i/>
          <w:iCs/>
          <w:color w:val="000000"/>
        </w:rPr>
        <w:t>Nucleic Acids Res.</w:t>
      </w:r>
      <w:r>
        <w:rPr>
          <w:rFonts w:ascii="Arial" w:eastAsia="Arial" w:hAnsi="Arial" w:cs="Arial"/>
          <w:color w:val="000000"/>
        </w:rPr>
        <w:t xml:space="preserve"> </w:t>
      </w:r>
      <w:r>
        <w:rPr>
          <w:rFonts w:ascii="Arial" w:eastAsia="Arial" w:hAnsi="Arial" w:cs="Arial"/>
          <w:b/>
          <w:bCs/>
          <w:color w:val="000000"/>
        </w:rPr>
        <w:t>43</w:t>
      </w:r>
      <w:r>
        <w:rPr>
          <w:rFonts w:ascii="Arial" w:eastAsia="Arial" w:hAnsi="Arial" w:cs="Arial"/>
          <w:color w:val="000000"/>
        </w:rPr>
        <w:t>, W39–W49 (2015).</w:t>
      </w:r>
    </w:p>
    <w:p w14:paraId="73C422D4" w14:textId="77777777" w:rsidR="0041404E" w:rsidRDefault="00000000">
      <w:pPr>
        <w:spacing w:after="240" w:line="240" w:lineRule="auto"/>
        <w:ind w:hanging="504"/>
        <w:jc w:val="both"/>
        <w:rPr>
          <w:rFonts w:ascii="Times New Roman" w:eastAsia="Times New Roman" w:hAnsi="Times New Roman" w:cs="Times New Roman"/>
          <w:color w:val="000000"/>
        </w:rPr>
      </w:pPr>
      <w:r>
        <w:rPr>
          <w:rFonts w:ascii="Arial" w:eastAsia="Arial" w:hAnsi="Arial" w:cs="Arial"/>
          <w:color w:val="000000"/>
        </w:rPr>
        <w:t xml:space="preserve">24. </w:t>
      </w:r>
      <w:r>
        <w:rPr>
          <w:rFonts w:ascii="Arial" w:eastAsia="Arial" w:hAnsi="Arial" w:cs="Arial"/>
          <w:color w:val="000000"/>
        </w:rPr>
        <w:tab/>
        <w:t xml:space="preserve">Craig, R. J. et al. Targeted genetic manipulation and yeast-like evolutionary genomics in the green alga </w:t>
      </w:r>
      <w:r>
        <w:rPr>
          <w:rFonts w:ascii="Arial" w:eastAsia="Arial" w:hAnsi="Arial" w:cs="Arial"/>
          <w:i/>
          <w:iCs/>
          <w:color w:val="000000"/>
        </w:rPr>
        <w:t>Auxenochlorella</w:t>
      </w:r>
      <w:r>
        <w:rPr>
          <w:rFonts w:ascii="Arial" w:eastAsia="Arial" w:hAnsi="Arial" w:cs="Arial"/>
          <w:color w:val="000000"/>
        </w:rPr>
        <w:t xml:space="preserve">. </w:t>
      </w:r>
      <w:r>
        <w:rPr>
          <w:rFonts w:ascii="Arial" w:eastAsia="Arial" w:hAnsi="Arial" w:cs="Arial"/>
          <w:i/>
          <w:iCs/>
          <w:color w:val="000000"/>
        </w:rPr>
        <w:t>Plant Cell</w:t>
      </w:r>
      <w:r>
        <w:rPr>
          <w:rFonts w:ascii="Arial" w:eastAsia="Arial" w:hAnsi="Arial" w:cs="Arial"/>
          <w:color w:val="000000"/>
        </w:rPr>
        <w:t xml:space="preserve"> </w:t>
      </w:r>
      <w:r>
        <w:rPr>
          <w:rFonts w:ascii="Arial" w:eastAsia="Arial" w:hAnsi="Arial" w:cs="Arial"/>
          <w:b/>
          <w:bCs/>
          <w:color w:val="000000"/>
        </w:rPr>
        <w:t>37</w:t>
      </w:r>
      <w:r>
        <w:rPr>
          <w:rFonts w:ascii="Arial" w:eastAsia="Arial" w:hAnsi="Arial" w:cs="Arial"/>
          <w:color w:val="000000"/>
        </w:rPr>
        <w:t>, koaf259 (2025).</w:t>
      </w:r>
    </w:p>
    <w:p w14:paraId="46791148" w14:textId="77777777" w:rsidR="0041404E" w:rsidRDefault="00000000">
      <w:pPr>
        <w:spacing w:after="240" w:line="240" w:lineRule="auto"/>
        <w:ind w:hanging="504"/>
        <w:jc w:val="both"/>
        <w:rPr>
          <w:rFonts w:ascii="Times New Roman" w:eastAsia="Times New Roman" w:hAnsi="Times New Roman" w:cs="Times New Roman"/>
          <w:color w:val="000000"/>
        </w:rPr>
      </w:pPr>
      <w:r>
        <w:rPr>
          <w:rFonts w:ascii="Arial" w:eastAsia="Arial" w:hAnsi="Arial" w:cs="Arial"/>
          <w:color w:val="000000"/>
        </w:rPr>
        <w:t xml:space="preserve">25. </w:t>
      </w:r>
      <w:r>
        <w:rPr>
          <w:rFonts w:ascii="Arial" w:eastAsia="Arial" w:hAnsi="Arial" w:cs="Arial"/>
          <w:color w:val="000000"/>
        </w:rPr>
        <w:tab/>
        <w:t xml:space="preserve">Yu, G., Wang, L.-G., Han, Y. &amp; He, Q.-Y. </w:t>
      </w:r>
      <w:proofErr w:type="spellStart"/>
      <w:r>
        <w:rPr>
          <w:rFonts w:ascii="Arial" w:eastAsia="Arial" w:hAnsi="Arial" w:cs="Arial"/>
          <w:color w:val="000000"/>
        </w:rPr>
        <w:t>clusterProfiler</w:t>
      </w:r>
      <w:proofErr w:type="spellEnd"/>
      <w:r>
        <w:rPr>
          <w:rFonts w:ascii="Arial" w:eastAsia="Arial" w:hAnsi="Arial" w:cs="Arial"/>
          <w:color w:val="000000"/>
        </w:rPr>
        <w:t xml:space="preserve">: an R package for comparing biological themes among gene clusters. </w:t>
      </w:r>
      <w:r>
        <w:rPr>
          <w:rFonts w:ascii="Arial" w:eastAsia="Arial" w:hAnsi="Arial" w:cs="Arial"/>
          <w:i/>
          <w:iCs/>
          <w:color w:val="000000"/>
        </w:rPr>
        <w:t>OMICS</w:t>
      </w:r>
      <w:r>
        <w:rPr>
          <w:rFonts w:ascii="Arial" w:eastAsia="Arial" w:hAnsi="Arial" w:cs="Arial"/>
          <w:color w:val="000000"/>
        </w:rPr>
        <w:t xml:space="preserve"> </w:t>
      </w:r>
      <w:r>
        <w:rPr>
          <w:rFonts w:ascii="Arial" w:eastAsia="Arial" w:hAnsi="Arial" w:cs="Arial"/>
          <w:b/>
          <w:bCs/>
          <w:color w:val="000000"/>
        </w:rPr>
        <w:t>16</w:t>
      </w:r>
      <w:r>
        <w:rPr>
          <w:rFonts w:ascii="Arial" w:eastAsia="Arial" w:hAnsi="Arial" w:cs="Arial"/>
          <w:color w:val="000000"/>
        </w:rPr>
        <w:t>, 284–287 (2012).</w:t>
      </w:r>
    </w:p>
    <w:p w14:paraId="2D98D126" w14:textId="77777777" w:rsidR="0041404E" w:rsidRDefault="00000000">
      <w:pPr>
        <w:spacing w:after="240" w:line="240" w:lineRule="auto"/>
        <w:ind w:hanging="504"/>
        <w:jc w:val="both"/>
        <w:rPr>
          <w:rFonts w:ascii="Times New Roman" w:eastAsia="Times New Roman" w:hAnsi="Times New Roman" w:cs="Times New Roman"/>
          <w:color w:val="000000"/>
        </w:rPr>
      </w:pPr>
      <w:r>
        <w:rPr>
          <w:rFonts w:ascii="Arial" w:eastAsia="Arial" w:hAnsi="Arial" w:cs="Arial"/>
          <w:color w:val="000000"/>
        </w:rPr>
        <w:t xml:space="preserve">26. </w:t>
      </w:r>
      <w:r>
        <w:rPr>
          <w:rFonts w:ascii="Arial" w:eastAsia="Arial" w:hAnsi="Arial" w:cs="Arial"/>
          <w:color w:val="000000"/>
        </w:rPr>
        <w:tab/>
        <w:t xml:space="preserve">Yao, Y. et al. Analysis of metabolomics datasets with high-performance computing and metabolite atlases. </w:t>
      </w:r>
      <w:r>
        <w:rPr>
          <w:rFonts w:ascii="Arial" w:eastAsia="Arial" w:hAnsi="Arial" w:cs="Arial"/>
          <w:i/>
          <w:iCs/>
          <w:color w:val="000000"/>
        </w:rPr>
        <w:t>Metabolites</w:t>
      </w:r>
      <w:r>
        <w:rPr>
          <w:rFonts w:ascii="Arial" w:eastAsia="Arial" w:hAnsi="Arial" w:cs="Arial"/>
          <w:color w:val="000000"/>
        </w:rPr>
        <w:t xml:space="preserve"> </w:t>
      </w:r>
      <w:r>
        <w:rPr>
          <w:rFonts w:ascii="Arial" w:eastAsia="Arial" w:hAnsi="Arial" w:cs="Arial"/>
          <w:b/>
          <w:bCs/>
          <w:color w:val="000000"/>
        </w:rPr>
        <w:t>5</w:t>
      </w:r>
      <w:r>
        <w:rPr>
          <w:rFonts w:ascii="Arial" w:eastAsia="Arial" w:hAnsi="Arial" w:cs="Arial"/>
          <w:color w:val="000000"/>
        </w:rPr>
        <w:t>, 431–442 (2015).</w:t>
      </w:r>
    </w:p>
    <w:p w14:paraId="5A9C580C" w14:textId="77777777" w:rsidR="0041404E" w:rsidRDefault="00000000">
      <w:pPr>
        <w:spacing w:after="240" w:line="240" w:lineRule="auto"/>
        <w:ind w:hanging="500"/>
        <w:rPr>
          <w:rFonts w:ascii="Times New Roman" w:eastAsia="Times New Roman" w:hAnsi="Times New Roman" w:cs="Times New Roman"/>
          <w:color w:val="000000"/>
        </w:rPr>
      </w:pPr>
      <w:r>
        <w:rPr>
          <w:rFonts w:ascii="Arial" w:eastAsia="Arial" w:hAnsi="Arial" w:cs="Arial"/>
          <w:color w:val="000000"/>
        </w:rPr>
        <w:t xml:space="preserve">27. </w:t>
      </w:r>
      <w:r>
        <w:rPr>
          <w:rFonts w:ascii="Arial" w:eastAsia="Arial" w:hAnsi="Arial" w:cs="Arial"/>
          <w:color w:val="000000"/>
        </w:rPr>
        <w:tab/>
        <w:t xml:space="preserve">Bowen, B. P. &amp; Northen, T. R. Dealing with the unknown: metabolomics and metabolite atlases. </w:t>
      </w:r>
      <w:r>
        <w:rPr>
          <w:rFonts w:ascii="Arial" w:eastAsia="Arial" w:hAnsi="Arial" w:cs="Arial"/>
          <w:i/>
          <w:iCs/>
          <w:color w:val="000000"/>
        </w:rPr>
        <w:t xml:space="preserve">J. Am. Soc. Mass </w:t>
      </w:r>
      <w:proofErr w:type="spellStart"/>
      <w:r>
        <w:rPr>
          <w:rFonts w:ascii="Arial" w:eastAsia="Arial" w:hAnsi="Arial" w:cs="Arial"/>
          <w:i/>
          <w:iCs/>
          <w:color w:val="000000"/>
        </w:rPr>
        <w:t>Spectrom</w:t>
      </w:r>
      <w:proofErr w:type="spellEnd"/>
      <w:r>
        <w:rPr>
          <w:rFonts w:ascii="Arial" w:eastAsia="Arial" w:hAnsi="Arial" w:cs="Arial"/>
          <w:i/>
          <w:iCs/>
          <w:color w:val="000000"/>
        </w:rPr>
        <w:t>.</w:t>
      </w:r>
      <w:r>
        <w:rPr>
          <w:rFonts w:ascii="Arial" w:eastAsia="Arial" w:hAnsi="Arial" w:cs="Arial"/>
          <w:color w:val="000000"/>
        </w:rPr>
        <w:t xml:space="preserve"> </w:t>
      </w:r>
      <w:r>
        <w:rPr>
          <w:rFonts w:ascii="Arial" w:eastAsia="Arial" w:hAnsi="Arial" w:cs="Arial"/>
          <w:b/>
          <w:bCs/>
          <w:color w:val="000000"/>
        </w:rPr>
        <w:t>21</w:t>
      </w:r>
      <w:r>
        <w:rPr>
          <w:rFonts w:ascii="Arial" w:eastAsia="Arial" w:hAnsi="Arial" w:cs="Arial"/>
          <w:color w:val="000000"/>
        </w:rPr>
        <w:t>, 1471–1476 (2010).</w:t>
      </w:r>
    </w:p>
    <w:p w14:paraId="3AEABBDF" w14:textId="77777777" w:rsidR="0041404E" w:rsidRDefault="00000000">
      <w:pPr>
        <w:spacing w:after="240" w:line="240" w:lineRule="auto"/>
        <w:ind w:hanging="500"/>
        <w:rPr>
          <w:rFonts w:ascii="Times New Roman" w:eastAsia="Times New Roman" w:hAnsi="Times New Roman" w:cs="Times New Roman"/>
          <w:color w:val="000000"/>
        </w:rPr>
      </w:pPr>
      <w:r>
        <w:rPr>
          <w:rFonts w:ascii="Arial" w:eastAsia="Arial" w:hAnsi="Arial" w:cs="Arial"/>
          <w:color w:val="000000"/>
        </w:rPr>
        <w:t xml:space="preserve">28. </w:t>
      </w:r>
      <w:r>
        <w:rPr>
          <w:rFonts w:ascii="Arial" w:eastAsia="Arial" w:hAnsi="Arial" w:cs="Arial"/>
          <w:color w:val="000000"/>
        </w:rPr>
        <w:tab/>
        <w:t xml:space="preserve">Kieft, B. </w:t>
      </w:r>
      <w:proofErr w:type="spellStart"/>
      <w:r>
        <w:rPr>
          <w:rFonts w:ascii="Arial" w:eastAsia="Arial" w:hAnsi="Arial" w:cs="Arial"/>
          <w:color w:val="000000"/>
        </w:rPr>
        <w:t>Metatlas</w:t>
      </w:r>
      <w:proofErr w:type="spellEnd"/>
      <w:r>
        <w:rPr>
          <w:rFonts w:ascii="Arial" w:eastAsia="Arial" w:hAnsi="Arial" w:cs="Arial"/>
          <w:color w:val="000000"/>
        </w:rPr>
        <w:t xml:space="preserve">. </w:t>
      </w:r>
      <w:r>
        <w:rPr>
          <w:rFonts w:ascii="Arial" w:eastAsia="Arial" w:hAnsi="Arial" w:cs="Arial"/>
          <w:i/>
          <w:iCs/>
          <w:color w:val="000000"/>
        </w:rPr>
        <w:t>GitHub</w:t>
      </w:r>
      <w:r>
        <w:rPr>
          <w:rFonts w:ascii="Arial" w:eastAsia="Arial" w:hAnsi="Arial" w:cs="Arial"/>
          <w:color w:val="000000"/>
        </w:rPr>
        <w:t xml:space="preserve"> https://github.com/biorack/metatlas/ (2025).</w:t>
      </w:r>
    </w:p>
    <w:p w14:paraId="5A3628FC" w14:textId="77777777" w:rsidR="0041404E" w:rsidRDefault="00000000">
      <w:pPr>
        <w:spacing w:after="240" w:line="240" w:lineRule="auto"/>
        <w:ind w:hanging="500"/>
        <w:jc w:val="both"/>
        <w:rPr>
          <w:rFonts w:ascii="Times New Roman" w:eastAsia="Times New Roman" w:hAnsi="Times New Roman" w:cs="Times New Roman"/>
          <w:color w:val="000000"/>
        </w:rPr>
      </w:pPr>
      <w:r>
        <w:rPr>
          <w:rFonts w:ascii="Arial" w:eastAsia="Arial" w:hAnsi="Arial" w:cs="Arial"/>
          <w:color w:val="000000"/>
        </w:rPr>
        <w:t xml:space="preserve">29. </w:t>
      </w:r>
      <w:r>
        <w:rPr>
          <w:rFonts w:ascii="Arial" w:eastAsia="Arial" w:hAnsi="Arial" w:cs="Arial"/>
          <w:color w:val="000000"/>
        </w:rPr>
        <w:tab/>
        <w:t xml:space="preserve">Gupta, P., Sreelakshmi, Y. &amp; Sharma, R. A rapid and sensitive method for determination of carotenoids in plant tissues by high performance liquid chromatography. </w:t>
      </w:r>
      <w:r>
        <w:rPr>
          <w:rFonts w:ascii="Arial" w:eastAsia="Arial" w:hAnsi="Arial" w:cs="Arial"/>
          <w:i/>
          <w:iCs/>
          <w:color w:val="000000"/>
        </w:rPr>
        <w:t>Plant Methods</w:t>
      </w:r>
      <w:r>
        <w:rPr>
          <w:rFonts w:ascii="Arial" w:eastAsia="Arial" w:hAnsi="Arial" w:cs="Arial"/>
          <w:color w:val="000000"/>
        </w:rPr>
        <w:t xml:space="preserve"> </w:t>
      </w:r>
      <w:r>
        <w:rPr>
          <w:rFonts w:ascii="Arial" w:eastAsia="Arial" w:hAnsi="Arial" w:cs="Arial"/>
          <w:b/>
          <w:bCs/>
          <w:color w:val="000000"/>
        </w:rPr>
        <w:t>11</w:t>
      </w:r>
      <w:r>
        <w:rPr>
          <w:rFonts w:ascii="Arial" w:eastAsia="Arial" w:hAnsi="Arial" w:cs="Arial"/>
          <w:color w:val="000000"/>
        </w:rPr>
        <w:t>, 5 (2015).</w:t>
      </w:r>
    </w:p>
    <w:p w14:paraId="6ACF369E" w14:textId="77777777" w:rsidR="0041404E" w:rsidRDefault="00000000">
      <w:pPr>
        <w:spacing w:after="240" w:line="240" w:lineRule="auto"/>
        <w:ind w:hanging="500"/>
        <w:jc w:val="both"/>
        <w:rPr>
          <w:rFonts w:ascii="Times New Roman" w:eastAsia="Times New Roman" w:hAnsi="Times New Roman" w:cs="Times New Roman"/>
          <w:color w:val="000000"/>
        </w:rPr>
      </w:pPr>
      <w:r>
        <w:rPr>
          <w:rFonts w:ascii="Arial" w:eastAsia="Arial" w:hAnsi="Arial" w:cs="Arial"/>
          <w:color w:val="000000"/>
        </w:rPr>
        <w:t xml:space="preserve">30. </w:t>
      </w:r>
      <w:r>
        <w:rPr>
          <w:rFonts w:ascii="Arial" w:eastAsia="Arial" w:hAnsi="Arial" w:cs="Arial"/>
          <w:color w:val="000000"/>
        </w:rPr>
        <w:tab/>
      </w:r>
      <w:proofErr w:type="spellStart"/>
      <w:r>
        <w:rPr>
          <w:rFonts w:ascii="Arial" w:eastAsia="Arial" w:hAnsi="Arial" w:cs="Arial"/>
          <w:color w:val="000000"/>
        </w:rPr>
        <w:t>Cantalapiedra</w:t>
      </w:r>
      <w:proofErr w:type="spellEnd"/>
      <w:r>
        <w:rPr>
          <w:rFonts w:ascii="Arial" w:eastAsia="Arial" w:hAnsi="Arial" w:cs="Arial"/>
          <w:color w:val="000000"/>
        </w:rPr>
        <w:t xml:space="preserve">, C. P., Hernández-Plaza, A., </w:t>
      </w:r>
      <w:proofErr w:type="spellStart"/>
      <w:r>
        <w:rPr>
          <w:rFonts w:ascii="Arial" w:eastAsia="Arial" w:hAnsi="Arial" w:cs="Arial"/>
          <w:color w:val="000000"/>
        </w:rPr>
        <w:t>Letunic</w:t>
      </w:r>
      <w:proofErr w:type="spellEnd"/>
      <w:r>
        <w:rPr>
          <w:rFonts w:ascii="Arial" w:eastAsia="Arial" w:hAnsi="Arial" w:cs="Arial"/>
          <w:color w:val="000000"/>
        </w:rPr>
        <w:t>, I., Bork, P. &amp; Huerta-</w:t>
      </w:r>
      <w:proofErr w:type="spellStart"/>
      <w:r>
        <w:rPr>
          <w:rFonts w:ascii="Arial" w:eastAsia="Arial" w:hAnsi="Arial" w:cs="Arial"/>
          <w:color w:val="000000"/>
        </w:rPr>
        <w:t>Cepas</w:t>
      </w:r>
      <w:proofErr w:type="spellEnd"/>
      <w:r>
        <w:rPr>
          <w:rFonts w:ascii="Arial" w:eastAsia="Arial" w:hAnsi="Arial" w:cs="Arial"/>
          <w:color w:val="000000"/>
        </w:rPr>
        <w:t xml:space="preserve">, J. </w:t>
      </w:r>
      <w:proofErr w:type="spellStart"/>
      <w:r>
        <w:rPr>
          <w:rFonts w:ascii="Arial" w:eastAsia="Arial" w:hAnsi="Arial" w:cs="Arial"/>
          <w:color w:val="000000"/>
        </w:rPr>
        <w:t>eggNOG</w:t>
      </w:r>
      <w:proofErr w:type="spellEnd"/>
      <w:r>
        <w:rPr>
          <w:rFonts w:ascii="Arial" w:eastAsia="Arial" w:hAnsi="Arial" w:cs="Arial"/>
          <w:color w:val="000000"/>
        </w:rPr>
        <w:t xml:space="preserve">-mapper v2: functional annotation, </w:t>
      </w:r>
      <w:proofErr w:type="spellStart"/>
      <w:r>
        <w:rPr>
          <w:rFonts w:ascii="Arial" w:eastAsia="Arial" w:hAnsi="Arial" w:cs="Arial"/>
          <w:color w:val="000000"/>
        </w:rPr>
        <w:t>orthology</w:t>
      </w:r>
      <w:proofErr w:type="spellEnd"/>
      <w:r>
        <w:rPr>
          <w:rFonts w:ascii="Arial" w:eastAsia="Arial" w:hAnsi="Arial" w:cs="Arial"/>
          <w:color w:val="000000"/>
        </w:rPr>
        <w:t xml:space="preserve"> assignments, and domain prediction at the metagenomic scale. </w:t>
      </w:r>
      <w:r>
        <w:rPr>
          <w:rFonts w:ascii="Arial" w:eastAsia="Arial" w:hAnsi="Arial" w:cs="Arial"/>
          <w:i/>
          <w:iCs/>
          <w:color w:val="000000"/>
        </w:rPr>
        <w:t>Mol. Biol. Evol.</w:t>
      </w:r>
      <w:r>
        <w:rPr>
          <w:rFonts w:ascii="Arial" w:eastAsia="Arial" w:hAnsi="Arial" w:cs="Arial"/>
          <w:color w:val="000000"/>
        </w:rPr>
        <w:t xml:space="preserve"> </w:t>
      </w:r>
      <w:r>
        <w:rPr>
          <w:rFonts w:ascii="Arial" w:eastAsia="Arial" w:hAnsi="Arial" w:cs="Arial"/>
          <w:b/>
          <w:bCs/>
          <w:color w:val="000000"/>
        </w:rPr>
        <w:t>38</w:t>
      </w:r>
      <w:r>
        <w:rPr>
          <w:rFonts w:ascii="Arial" w:eastAsia="Arial" w:hAnsi="Arial" w:cs="Arial"/>
          <w:color w:val="000000"/>
        </w:rPr>
        <w:t>, 5825–5829 (2021).</w:t>
      </w:r>
    </w:p>
    <w:p w14:paraId="2A6F3AE5" w14:textId="77777777" w:rsidR="0041404E" w:rsidRDefault="00000000">
      <w:pPr>
        <w:spacing w:after="240" w:line="240" w:lineRule="auto"/>
        <w:ind w:hanging="500"/>
        <w:jc w:val="both"/>
        <w:rPr>
          <w:rFonts w:ascii="Times New Roman" w:eastAsia="Times New Roman" w:hAnsi="Times New Roman" w:cs="Times New Roman"/>
          <w:color w:val="000000"/>
        </w:rPr>
      </w:pPr>
      <w:r>
        <w:rPr>
          <w:rFonts w:ascii="Arial" w:eastAsia="Arial" w:hAnsi="Arial" w:cs="Arial"/>
          <w:color w:val="000000"/>
        </w:rPr>
        <w:t xml:space="preserve">31. </w:t>
      </w:r>
      <w:r>
        <w:rPr>
          <w:rFonts w:ascii="Arial" w:eastAsia="Arial" w:hAnsi="Arial" w:cs="Arial"/>
          <w:color w:val="000000"/>
        </w:rPr>
        <w:tab/>
        <w:t xml:space="preserve">Kammers, K., Cole, R. N., </w:t>
      </w:r>
      <w:proofErr w:type="spellStart"/>
      <w:r>
        <w:rPr>
          <w:rFonts w:ascii="Arial" w:eastAsia="Arial" w:hAnsi="Arial" w:cs="Arial"/>
          <w:color w:val="000000"/>
        </w:rPr>
        <w:t>Tiengwe</w:t>
      </w:r>
      <w:proofErr w:type="spellEnd"/>
      <w:r>
        <w:rPr>
          <w:rFonts w:ascii="Arial" w:eastAsia="Arial" w:hAnsi="Arial" w:cs="Arial"/>
          <w:color w:val="000000"/>
        </w:rPr>
        <w:t xml:space="preserve">, C. &amp; </w:t>
      </w:r>
      <w:proofErr w:type="spellStart"/>
      <w:r>
        <w:rPr>
          <w:rFonts w:ascii="Arial" w:eastAsia="Arial" w:hAnsi="Arial" w:cs="Arial"/>
          <w:color w:val="000000"/>
        </w:rPr>
        <w:t>Ruczinski</w:t>
      </w:r>
      <w:proofErr w:type="spellEnd"/>
      <w:r>
        <w:rPr>
          <w:rFonts w:ascii="Arial" w:eastAsia="Arial" w:hAnsi="Arial" w:cs="Arial"/>
          <w:color w:val="000000"/>
        </w:rPr>
        <w:t xml:space="preserve">, I. Detecting significant changes in protein abundance. </w:t>
      </w:r>
      <w:proofErr w:type="spellStart"/>
      <w:r>
        <w:rPr>
          <w:rFonts w:ascii="Arial" w:eastAsia="Arial" w:hAnsi="Arial" w:cs="Arial"/>
          <w:i/>
          <w:iCs/>
          <w:color w:val="000000"/>
        </w:rPr>
        <w:t>EuPA</w:t>
      </w:r>
      <w:proofErr w:type="spellEnd"/>
      <w:r>
        <w:rPr>
          <w:rFonts w:ascii="Arial" w:eastAsia="Arial" w:hAnsi="Arial" w:cs="Arial"/>
          <w:i/>
          <w:iCs/>
          <w:color w:val="000000"/>
        </w:rPr>
        <w:t xml:space="preserve"> Open Proteomics</w:t>
      </w:r>
      <w:r>
        <w:rPr>
          <w:rFonts w:ascii="Arial" w:eastAsia="Arial" w:hAnsi="Arial" w:cs="Arial"/>
          <w:color w:val="000000"/>
        </w:rPr>
        <w:t xml:space="preserve"> </w:t>
      </w:r>
      <w:r>
        <w:rPr>
          <w:rFonts w:ascii="Arial" w:eastAsia="Arial" w:hAnsi="Arial" w:cs="Arial"/>
          <w:b/>
          <w:bCs/>
          <w:color w:val="000000"/>
        </w:rPr>
        <w:t>7</w:t>
      </w:r>
      <w:r>
        <w:rPr>
          <w:rFonts w:ascii="Arial" w:eastAsia="Arial" w:hAnsi="Arial" w:cs="Arial"/>
          <w:color w:val="000000"/>
        </w:rPr>
        <w:t>, 11–19 (2015).</w:t>
      </w:r>
    </w:p>
    <w:p w14:paraId="08332176" w14:textId="77777777" w:rsidR="0041404E" w:rsidRDefault="0041404E">
      <w:pPr>
        <w:spacing w:after="240" w:line="240" w:lineRule="auto"/>
        <w:rPr>
          <w:rFonts w:ascii="Times New Roman" w:eastAsia="Times New Roman" w:hAnsi="Times New Roman" w:cs="Times New Roman"/>
        </w:rPr>
      </w:pPr>
    </w:p>
    <w:p w14:paraId="2C975D2C" w14:textId="77777777" w:rsidR="0041404E" w:rsidRDefault="00000000">
      <w:r>
        <w:br w:type="page"/>
      </w:r>
    </w:p>
    <w:p w14:paraId="45DE2864" w14:textId="77777777" w:rsidR="0041404E" w:rsidRDefault="0041404E"/>
    <w:sectPr w:rsidR="0041404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embedRegular r:id="rId1" w:fontKey="{1A285BA2-6B52-E34B-AC9D-D3419ADFF5E6}"/>
    <w:embedItalic r:id="rId2" w:fontKey="{8852C3AA-AF13-4F40-A184-3911A8C6FD91}"/>
  </w:font>
  <w:font w:name="Play">
    <w:panose1 w:val="020B0604020202020204"/>
    <w:charset w:val="00"/>
    <w:family w:val="auto"/>
    <w:pitch w:val="default"/>
    <w:embedRegular r:id="rId3" w:fontKey="{FC2A1222-E50C-0742-A458-766D0CE7F2E7}"/>
  </w:font>
  <w:font w:name="Times New Roman">
    <w:panose1 w:val="02020603050405020304"/>
    <w:charset w:val="00"/>
    <w:family w:val="roman"/>
    <w:pitch w:val="variable"/>
    <w:sig w:usb0="E0002EFF" w:usb1="C000785B" w:usb2="00000009" w:usb3="00000000" w:csb0="000001FF" w:csb1="00000000"/>
    <w:embedRegular r:id="rId4" w:fontKey="{43C35797-5B1C-7F41-A87C-92ADC75D9C58}"/>
  </w:font>
  <w:font w:name="Arial">
    <w:panose1 w:val="020B0604020202020204"/>
    <w:charset w:val="00"/>
    <w:family w:val="swiss"/>
    <w:pitch w:val="variable"/>
    <w:sig w:usb0="E0002AFF" w:usb1="C0007843" w:usb2="00000009" w:usb3="00000000" w:csb0="000001FF" w:csb1="00000000"/>
    <w:embedRegular r:id="rId5" w:fontKey="{9637B11C-AB32-BF4C-86F9-CADAED8C55A2}"/>
    <w:embedBold r:id="rId6" w:fontKey="{DEB956F1-F6A8-0146-97F9-2536F15620E2}"/>
    <w:embedItalic r:id="rId7" w:fontKey="{CF858DC2-03F8-DD4A-923D-5A9B39720179}"/>
  </w:font>
  <w:font w:name="Arial Unicode MS">
    <w:panose1 w:val="020B0604020202020204"/>
    <w:charset w:val="80"/>
    <w:family w:val="swiss"/>
    <w:pitch w:val="variable"/>
    <w:sig w:usb0="F7FFAFFF" w:usb1="E9DFFFFF" w:usb2="0000003F" w:usb3="00000000" w:csb0="003F01FF" w:csb1="00000000"/>
    <w:embedRegular r:id="rId8" w:subsetted="1" w:fontKey="{08CEF64A-9937-CC49-A361-5EF292F1E050}"/>
    <w:embedItalic r:id="rId9" w:subsetted="1" w:fontKey="{C0D95631-A8F7-5F49-82DE-7627CD3571B8}"/>
  </w:font>
  <w:font w:name="Cambria Math">
    <w:panose1 w:val="02040503050406030204"/>
    <w:charset w:val="00"/>
    <w:family w:val="roman"/>
    <w:pitch w:val="variable"/>
    <w:sig w:usb0="E00002FF" w:usb1="420024FF" w:usb2="00000000" w:usb3="00000000" w:csb0="0000019F" w:csb1="00000000"/>
    <w:embedRegular r:id="rId10" w:fontKey="{F3FC4FFD-AED5-564C-A432-4E3CD71E286F}"/>
  </w:font>
  <w:font w:name="Calibri">
    <w:panose1 w:val="020F0502020204030204"/>
    <w:charset w:val="00"/>
    <w:family w:val="swiss"/>
    <w:pitch w:val="variable"/>
    <w:sig w:usb0="E0002AFF" w:usb1="C000ACFF" w:usb2="00000009" w:usb3="00000000" w:csb0="000001FF" w:csb1="00000000"/>
    <w:embedRegular r:id="rId11" w:fontKey="{0A004C7A-A22B-9546-AF66-181B7B3FD0F8}"/>
  </w:font>
  <w:font w:name="Cambria">
    <w:panose1 w:val="02040503050406030204"/>
    <w:charset w:val="00"/>
    <w:family w:val="roman"/>
    <w:pitch w:val="variable"/>
    <w:sig w:usb0="E00002FF" w:usb1="400004FF" w:usb2="00000000" w:usb3="00000000" w:csb0="0000019F" w:csb1="00000000"/>
    <w:embedRegular r:id="rId12" w:fontKey="{615513E8-CE9F-E64A-BB21-A9D32E14EFC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04E"/>
    <w:rsid w:val="000A75D3"/>
    <w:rsid w:val="0041404E"/>
    <w:rsid w:val="006A79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FBCBCA"/>
  <w15:docId w15:val="{E2D086AB-2D89-D444-A602-047E1118D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g"/><Relationship Id="rId18" Type="http://schemas.openxmlformats.org/officeDocument/2006/relationships/hyperlink" Target="https://phytozome.jgi.doe.gov/biomart" TargetMode="Externa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jp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6.png"/><Relationship Id="rId5" Type="http://schemas.openxmlformats.org/officeDocument/2006/relationships/hyperlink" Target="mailto:mroth@berkeley.edu" TargetMode="Externa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hyperlink" Target="mailto:shivani.u@berkeley.edu" TargetMode="External"/><Relationship Id="rId9" Type="http://schemas.openxmlformats.org/officeDocument/2006/relationships/image" Target="media/image4.png"/><Relationship Id="rId14" Type="http://schemas.openxmlformats.org/officeDocument/2006/relationships/image" Target="media/image9.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5961</Words>
  <Characters>33984</Characters>
  <Application>Microsoft Office Word</Application>
  <DocSecurity>0</DocSecurity>
  <Lines>283</Lines>
  <Paragraphs>79</Paragraphs>
  <ScaleCrop>false</ScaleCrop>
  <Company/>
  <LinksUpToDate>false</LinksUpToDate>
  <CharactersWithSpaces>39866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Shivani Upadhyaya</cp:lastModifiedBy>
  <cp:revision>2</cp:revision>
  <dcterms:created xsi:type="dcterms:W3CDTF">2026-09-14T01:04:00Z</dcterms:created>
  <dcterms:modified xsi:type="dcterms:W3CDTF">2026-09-14T01:05:00Z</dcterms:modified>
</cp:coreProperties>
</file>