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1F627" w14:textId="77777777" w:rsidR="005F4BD3" w:rsidRDefault="00000000">
      <w:pPr>
        <w:jc w:val="center"/>
      </w:pPr>
      <w:r>
        <w:rPr>
          <w:rFonts w:ascii="Arial" w:eastAsia="Arial" w:hAnsi="Arial"/>
          <w:b/>
        </w:rPr>
        <w:t>Additional file 2</w:t>
      </w:r>
    </w:p>
    <w:p w14:paraId="6E2D38B1" w14:textId="77777777" w:rsidR="00074DCD" w:rsidRPr="000E1916" w:rsidRDefault="00074DCD" w:rsidP="00074DCD">
      <w:pPr>
        <w:spacing w:after="0" w:line="480" w:lineRule="auto"/>
        <w:jc w:val="center"/>
        <w:rPr>
          <w:rFonts w:cs="Times New Roman"/>
          <w:b/>
          <w:bCs/>
          <w:sz w:val="22"/>
        </w:rPr>
      </w:pPr>
      <w:r w:rsidRPr="000E1916">
        <w:rPr>
          <w:rFonts w:ascii="Arial" w:eastAsia="Arial" w:hAnsi="Arial" w:cs="Times New Roman"/>
          <w:b/>
          <w:bCs/>
          <w:sz w:val="22"/>
        </w:rPr>
        <w:t>Antiseizure Medication Use and Multidimensional Biological Aging: A UK Biobank Study</w:t>
      </w:r>
    </w:p>
    <w:p w14:paraId="57E4C82C" w14:textId="77777777" w:rsidR="005F4BD3" w:rsidRDefault="00000000">
      <w:pPr>
        <w:jc w:val="center"/>
      </w:pPr>
      <w:r>
        <w:rPr>
          <w:rFonts w:ascii="Arial" w:eastAsia="Arial" w:hAnsi="Arial"/>
        </w:rPr>
        <w:t>BMC Pharmacology and Toxicology</w:t>
      </w:r>
    </w:p>
    <w:p w14:paraId="7EE03325" w14:textId="77777777" w:rsidR="005F4BD3" w:rsidRDefault="00000000">
      <w:pPr>
        <w:jc w:val="center"/>
      </w:pPr>
      <w:r>
        <w:rPr>
          <w:rFonts w:ascii="Arial" w:eastAsia="Arial" w:hAnsi="Arial"/>
        </w:rPr>
        <w:t>Jiayi Xing, Siqi Ding, Zixian Zhou, Yiqian Li, Yuqian Li, Yuchen Xu, Jiaxin Li, Yuxi Zhang, Yifei Chen, Minghao Li, Ang Guo, Lechen Pan, Yuxia Luo, and Xinshi Wang</w:t>
      </w:r>
    </w:p>
    <w:p w14:paraId="7A17199C" w14:textId="77777777" w:rsidR="005F4BD3" w:rsidRDefault="00000000">
      <w:pPr>
        <w:jc w:val="center"/>
      </w:pPr>
      <w:r>
        <w:rPr>
          <w:rFonts w:ascii="Arial" w:eastAsia="Arial" w:hAnsi="Arial"/>
        </w:rPr>
        <w:t>Corresponding author: Xinshi Wang, Department of Neurology, The First Affiliated Hospital of Wenzhou Medical University, Wenzhou, Zhejiang, China. Email: wang_xinshi@163.com</w:t>
      </w:r>
    </w:p>
    <w:p w14:paraId="633E6996" w14:textId="77777777" w:rsidR="005F4BD3" w:rsidRDefault="00000000">
      <w:pPr>
        <w:jc w:val="center"/>
      </w:pPr>
      <w:r>
        <w:rPr>
          <w:rFonts w:ascii="Arial" w:eastAsia="Arial" w:hAnsi="Arial"/>
          <w:b/>
        </w:rPr>
        <w:t>Supplementary Figures S1-S3</w:t>
      </w:r>
    </w:p>
    <w:p w14:paraId="6C657954" w14:textId="77777777" w:rsidR="005F4BD3" w:rsidRDefault="00000000">
      <w:r>
        <w:br w:type="page"/>
      </w:r>
    </w:p>
    <w:p w14:paraId="0BEC838E" w14:textId="77777777" w:rsidR="005F4BD3" w:rsidRDefault="00000000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7838A42" wp14:editId="5C5BBB2D">
            <wp:extent cx="6217920" cy="356140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rcRect t="9000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561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F91C4" w14:textId="77777777" w:rsidR="005F4BD3" w:rsidRDefault="00000000">
      <w:pPr>
        <w:keepLines/>
        <w:spacing w:before="80" w:after="160"/>
      </w:pPr>
      <w:r>
        <w:rPr>
          <w:rFonts w:ascii="Arial" w:eastAsia="Arial" w:hAnsi="Arial"/>
          <w:b/>
        </w:rPr>
        <w:t>Fig. S1 Association between ASM use and biological aging indicators before and after propensity score matching.</w:t>
      </w:r>
      <w:r>
        <w:rPr>
          <w:rFonts w:ascii="Arial" w:eastAsia="Arial" w:hAnsi="Arial"/>
        </w:rPr>
        <w:t xml:space="preserve"> Forest plots show adjusted β coefficients and 95% CIs for HD-log, KDM residual, PhenoAge residual, and Z-LTL. Squares indicate estimates before matching and circles estimates after matching. Models were adjusted for age, sex, race/ethnicity, Townsend Deprivation Index, epilepsy status, smoking status, and alcohol intake.</w:t>
      </w:r>
    </w:p>
    <w:p w14:paraId="3807C201" w14:textId="77777777" w:rsidR="005F4BD3" w:rsidRDefault="00000000">
      <w:r>
        <w:br w:type="page"/>
      </w:r>
    </w:p>
    <w:p w14:paraId="1CAA63E0" w14:textId="77777777" w:rsidR="00B44545" w:rsidRPr="00B44545" w:rsidRDefault="00B44545" w:rsidP="00B44545">
      <w:pPr>
        <w:keepNext/>
        <w:jc w:val="center"/>
      </w:pPr>
      <w:r w:rsidRPr="00B44545">
        <w:rPr>
          <w:noProof/>
        </w:rPr>
        <w:lastRenderedPageBreak/>
        <w:drawing>
          <wp:inline distT="0" distB="0" distL="0" distR="0" wp14:anchorId="772015AE" wp14:editId="65FC02B7">
            <wp:extent cx="6357784" cy="3467100"/>
            <wp:effectExtent l="0" t="0" r="5080" b="0"/>
            <wp:docPr id="15068361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8" t="6137" r="9166" b="8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600" cy="346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6551A" w14:textId="77777777" w:rsidR="005F4BD3" w:rsidRDefault="005F4BD3">
      <w:pPr>
        <w:keepNext/>
        <w:jc w:val="center"/>
      </w:pPr>
    </w:p>
    <w:p w14:paraId="06BBA04A" w14:textId="77777777" w:rsidR="005F4BD3" w:rsidRDefault="00000000">
      <w:pPr>
        <w:keepLines/>
        <w:spacing w:before="80" w:after="160"/>
      </w:pPr>
      <w:r>
        <w:rPr>
          <w:rFonts w:ascii="Arial" w:eastAsia="Arial" w:hAnsi="Arial"/>
          <w:b/>
        </w:rPr>
        <w:t>Fig. S2 Associations of individual ASM monotherapies with biological aging indicators before propensity score matching.</w:t>
      </w:r>
      <w:r>
        <w:rPr>
          <w:rFonts w:ascii="Arial" w:eastAsia="Arial" w:hAnsi="Arial"/>
        </w:rPr>
        <w:t xml:space="preserve"> Forest plots show adjusted β coefficients and 95% CIs comparing each monotherapy group with non-users. Positive coefficients indicate higher HD-log, KDM residual, or PhenoAge residual; negative coefficients for Z-LTL indicate shorter telomeres. Models were adjusted for age, sex, race/ethnicity, Townsend Deprivation Index, epilepsy status, smoking status, and alcohol intake.</w:t>
      </w:r>
    </w:p>
    <w:p w14:paraId="6700E230" w14:textId="77777777" w:rsidR="005F4BD3" w:rsidRDefault="00000000">
      <w:r>
        <w:br w:type="page"/>
      </w:r>
    </w:p>
    <w:p w14:paraId="27F24B31" w14:textId="77777777" w:rsidR="00920697" w:rsidRPr="00920697" w:rsidRDefault="009E5002" w:rsidP="00920697">
      <w:pPr>
        <w:keepNext/>
        <w:jc w:val="center"/>
      </w:pPr>
      <w:r>
        <w:rPr>
          <w:rFonts w:hint="eastAsia"/>
          <w:noProof/>
        </w:rPr>
        <w:lastRenderedPageBreak/>
        <mc:AlternateContent>
          <mc:Choice Requires="wps">
            <w:drawing>
              <wp:inline distT="0" distB="0" distL="0" distR="0" wp14:anchorId="5675E670" wp14:editId="25E80C9D">
                <wp:extent cx="304800" cy="304800"/>
                <wp:effectExtent l="0" t="0" r="0" b="0"/>
                <wp:docPr id="1089920578" name="矩形 5" descr="修改后的Figure S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B51A1F" id="矩形 5" o:spid="_x0000_s1026" alt="修改后的Figure S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920697" w:rsidRPr="00920697">
        <w:rPr>
          <w:noProof/>
        </w:rPr>
        <w:drawing>
          <wp:inline distT="0" distB="0" distL="0" distR="0" wp14:anchorId="4CB0971C" wp14:editId="71879C12">
            <wp:extent cx="6400800" cy="4267200"/>
            <wp:effectExtent l="0" t="0" r="0" b="0"/>
            <wp:docPr id="20218595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B6507" w14:textId="77777777" w:rsidR="005F4BD3" w:rsidRDefault="005F4BD3">
      <w:pPr>
        <w:keepNext/>
        <w:jc w:val="center"/>
      </w:pPr>
    </w:p>
    <w:p w14:paraId="229F894C" w14:textId="77777777" w:rsidR="005F4BD3" w:rsidRDefault="00000000">
      <w:pPr>
        <w:keepLines/>
        <w:spacing w:before="80" w:after="160"/>
      </w:pPr>
      <w:r>
        <w:rPr>
          <w:rFonts w:ascii="Arial" w:eastAsia="Arial" w:hAnsi="Arial"/>
          <w:b/>
        </w:rPr>
        <w:t>Fig. S3 Sensitivity analyses of associations between ASM use and biological aging indicators.</w:t>
      </w:r>
      <w:r>
        <w:rPr>
          <w:rFonts w:ascii="Arial" w:eastAsia="Arial" w:hAnsi="Arial"/>
        </w:rPr>
        <w:t xml:space="preserve"> Forest plots compare estimates from original and updated biological aging algorithms and from the primary and epilepsy-excluded analyses. Points indicate β coefficients and horizontal lines 95% CIs; the vertical dashed line indicates the null value (β = 0).</w:t>
      </w:r>
    </w:p>
    <w:sectPr w:rsidR="005F4BD3" w:rsidSect="00034616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02B64" w14:textId="77777777" w:rsidR="00AC54CE" w:rsidRDefault="00AC54CE">
      <w:pPr>
        <w:spacing w:after="0" w:line="240" w:lineRule="auto"/>
      </w:pPr>
      <w:r>
        <w:separator/>
      </w:r>
    </w:p>
  </w:endnote>
  <w:endnote w:type="continuationSeparator" w:id="0">
    <w:p w14:paraId="11715DA5" w14:textId="77777777" w:rsidR="00AC54CE" w:rsidRDefault="00AC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B2F1" w14:textId="77777777" w:rsidR="00C85159" w:rsidRDefault="00C851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6ACA2" w14:textId="77777777" w:rsidR="00AC54CE" w:rsidRDefault="00AC54CE">
      <w:pPr>
        <w:spacing w:after="0" w:line="240" w:lineRule="auto"/>
      </w:pPr>
      <w:r>
        <w:separator/>
      </w:r>
    </w:p>
  </w:footnote>
  <w:footnote w:type="continuationSeparator" w:id="0">
    <w:p w14:paraId="3205F474" w14:textId="77777777" w:rsidR="00AC54CE" w:rsidRDefault="00AC5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4E29B" w14:textId="77777777" w:rsidR="00C85159" w:rsidRDefault="00C851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7245431">
    <w:abstractNumId w:val="8"/>
  </w:num>
  <w:num w:numId="2" w16cid:durableId="608705840">
    <w:abstractNumId w:val="6"/>
  </w:num>
  <w:num w:numId="3" w16cid:durableId="272178803">
    <w:abstractNumId w:val="5"/>
  </w:num>
  <w:num w:numId="4" w16cid:durableId="94249144">
    <w:abstractNumId w:val="4"/>
  </w:num>
  <w:num w:numId="5" w16cid:durableId="1508446844">
    <w:abstractNumId w:val="7"/>
  </w:num>
  <w:num w:numId="6" w16cid:durableId="961770105">
    <w:abstractNumId w:val="3"/>
  </w:num>
  <w:num w:numId="7" w16cid:durableId="2073693352">
    <w:abstractNumId w:val="2"/>
  </w:num>
  <w:num w:numId="8" w16cid:durableId="564877399">
    <w:abstractNumId w:val="1"/>
  </w:num>
  <w:num w:numId="9" w16cid:durableId="46839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DCD"/>
    <w:rsid w:val="000C0197"/>
    <w:rsid w:val="0015074B"/>
    <w:rsid w:val="0029639D"/>
    <w:rsid w:val="00326F90"/>
    <w:rsid w:val="004E7AB5"/>
    <w:rsid w:val="005405A6"/>
    <w:rsid w:val="005F4BD3"/>
    <w:rsid w:val="0076559C"/>
    <w:rsid w:val="00920697"/>
    <w:rsid w:val="009D3671"/>
    <w:rsid w:val="009E5002"/>
    <w:rsid w:val="00A026A5"/>
    <w:rsid w:val="00A948F0"/>
    <w:rsid w:val="00AA1D8D"/>
    <w:rsid w:val="00AC54CE"/>
    <w:rsid w:val="00B44545"/>
    <w:rsid w:val="00B47730"/>
    <w:rsid w:val="00C8515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E5058E"/>
  <w14:defaultImageDpi w14:val="300"/>
  <w15:docId w15:val="{29646C62-300F-483D-94D4-403272D3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Normal (Web)"/>
    <w:basedOn w:val="a1"/>
    <w:uiPriority w:val="99"/>
    <w:semiHidden/>
    <w:unhideWhenUsed/>
    <w:rsid w:val="00920697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</Words>
  <Characters>1553</Characters>
  <Application>Microsoft Office Word</Application>
  <DocSecurity>0</DocSecurity>
  <Lines>31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Resource 2: Supplementary Figures S1-S3</dc:title>
  <dc:subject/>
  <dc:creator>python-docx</dc:creator>
  <cp:keywords/>
  <dc:description>generated by python-docx</dc:description>
  <cp:lastModifiedBy>佳祎 邢</cp:lastModifiedBy>
  <cp:revision>2</cp:revision>
  <dcterms:created xsi:type="dcterms:W3CDTF">2026-09-15T14:49:00Z</dcterms:created>
  <dcterms:modified xsi:type="dcterms:W3CDTF">2026-09-15T14:49:00Z</dcterms:modified>
  <cp:category/>
</cp:coreProperties>
</file>