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B53D89" w14:textId="77777777" w:rsidR="0054436C" w:rsidRPr="00341DF1" w:rsidRDefault="00B2329C" w:rsidP="00D478F2">
      <w:pPr>
        <w:pStyle w:val="Title"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Arial" w:hAnsi="Arial" w:cs="Arial"/>
          <w:color w:val="000000" w:themeColor="text1"/>
        </w:rPr>
      </w:pPr>
      <w:r w:rsidRPr="00341DF1">
        <w:rPr>
          <w:rFonts w:ascii="Arial" w:hAnsi="Arial" w:cs="Arial"/>
          <w:color w:val="000000" w:themeColor="text1"/>
        </w:rPr>
        <w:t>Supplementary File 5. CROSS checklist</w:t>
      </w:r>
    </w:p>
    <w:p w14:paraId="57068237" w14:textId="77777777" w:rsidR="0054436C" w:rsidRPr="00341DF1" w:rsidRDefault="00B2329C">
      <w:pPr>
        <w:jc w:val="center"/>
        <w:rPr>
          <w:rFonts w:cs="Arial"/>
          <w:color w:val="000000" w:themeColor="text1"/>
        </w:rPr>
      </w:pPr>
      <w:r w:rsidRPr="00341DF1">
        <w:rPr>
          <w:rFonts w:cs="Arial"/>
          <w:b/>
          <w:color w:val="000000" w:themeColor="text1"/>
        </w:rPr>
        <w:t>Night-shift frequency and loneliness among NHS employees: a multi-site cross-sectional analysis of the INTERACT study</w:t>
      </w:r>
    </w:p>
    <w:p w14:paraId="2FBE62D4" w14:textId="77777777" w:rsidR="0054436C" w:rsidRPr="00341DF1" w:rsidRDefault="00B2329C">
      <w:pPr>
        <w:jc w:val="center"/>
        <w:rPr>
          <w:rFonts w:cs="Arial"/>
          <w:color w:val="000000" w:themeColor="text1"/>
        </w:rPr>
      </w:pPr>
      <w:r w:rsidRPr="00341DF1">
        <w:rPr>
          <w:rFonts w:cs="Arial"/>
          <w:color w:val="000000" w:themeColor="text1"/>
        </w:rPr>
        <w:t>Consensus-Based Checklist for Reporting of Survey Studies</w:t>
      </w:r>
    </w:p>
    <w:p w14:paraId="35E2399B" w14:textId="546D6557" w:rsidR="0054436C" w:rsidRPr="00341DF1" w:rsidRDefault="0054436C">
      <w:pPr>
        <w:rPr>
          <w:rFonts w:cs="Arial"/>
          <w:color w:val="000000" w:themeColor="text1"/>
        </w:rPr>
      </w:pPr>
    </w:p>
    <w:tbl>
      <w:tblPr>
        <w:tblStyle w:val="TableGrid"/>
        <w:tblW w:w="14256" w:type="dxa"/>
        <w:tblLayout w:type="fixed"/>
        <w:tblLook w:val="04A0" w:firstRow="1" w:lastRow="0" w:firstColumn="1" w:lastColumn="0" w:noHBand="0" w:noVBand="1"/>
      </w:tblPr>
      <w:tblGrid>
        <w:gridCol w:w="1850"/>
        <w:gridCol w:w="650"/>
        <w:gridCol w:w="3250"/>
        <w:gridCol w:w="5982"/>
        <w:gridCol w:w="2524"/>
      </w:tblGrid>
      <w:tr w:rsidR="0054436C" w:rsidRPr="00341DF1" w14:paraId="19B3072E" w14:textId="77777777" w:rsidTr="003831F5">
        <w:tc>
          <w:tcPr>
            <w:tcW w:w="1850" w:type="dxa"/>
          </w:tcPr>
          <w:p w14:paraId="42C8B9F0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b/>
                <w:color w:val="000000" w:themeColor="text1"/>
                <w:sz w:val="14"/>
              </w:rPr>
              <w:t>Topic</w:t>
            </w:r>
          </w:p>
        </w:tc>
        <w:tc>
          <w:tcPr>
            <w:tcW w:w="650" w:type="dxa"/>
          </w:tcPr>
          <w:p w14:paraId="299202BB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b/>
                <w:color w:val="000000" w:themeColor="text1"/>
                <w:sz w:val="14"/>
              </w:rPr>
              <w:t>Item</w:t>
            </w:r>
          </w:p>
        </w:tc>
        <w:tc>
          <w:tcPr>
            <w:tcW w:w="3250" w:type="dxa"/>
          </w:tcPr>
          <w:p w14:paraId="617F91E7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b/>
                <w:color w:val="000000" w:themeColor="text1"/>
                <w:sz w:val="14"/>
              </w:rPr>
              <w:t>CROSS reporting item (abbreviated)</w:t>
            </w:r>
          </w:p>
        </w:tc>
        <w:tc>
          <w:tcPr>
            <w:tcW w:w="5982" w:type="dxa"/>
          </w:tcPr>
          <w:p w14:paraId="760D402E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b/>
                <w:color w:val="000000" w:themeColor="text1"/>
                <w:sz w:val="14"/>
              </w:rPr>
              <w:t>Location</w:t>
            </w:r>
          </w:p>
        </w:tc>
        <w:tc>
          <w:tcPr>
            <w:tcW w:w="2524" w:type="dxa"/>
          </w:tcPr>
          <w:p w14:paraId="756408D0" w14:textId="77777777" w:rsidR="0054436C" w:rsidRPr="00341DF1" w:rsidRDefault="00D478F2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  <w:sz w:val="14"/>
              </w:rPr>
              <w:t>Page number</w:t>
            </w:r>
          </w:p>
        </w:tc>
      </w:tr>
      <w:tr w:rsidR="0054436C" w:rsidRPr="00341DF1" w14:paraId="1444A91C" w14:textId="77777777" w:rsidTr="003831F5">
        <w:tc>
          <w:tcPr>
            <w:tcW w:w="1850" w:type="dxa"/>
          </w:tcPr>
          <w:p w14:paraId="04272DAE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Title/abstract</w:t>
            </w:r>
          </w:p>
        </w:tc>
        <w:tc>
          <w:tcPr>
            <w:tcW w:w="650" w:type="dxa"/>
          </w:tcPr>
          <w:p w14:paraId="6E102800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1a</w:t>
            </w:r>
          </w:p>
        </w:tc>
        <w:tc>
          <w:tcPr>
            <w:tcW w:w="3250" w:type="dxa"/>
          </w:tcPr>
          <w:p w14:paraId="7CDB8640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State ‘survey’ with a common study-design term in title or abstract.</w:t>
            </w:r>
          </w:p>
        </w:tc>
        <w:tc>
          <w:tcPr>
            <w:tcW w:w="5982" w:type="dxa"/>
          </w:tcPr>
          <w:p w14:paraId="0CBA4801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Abstract—Methods</w:t>
            </w:r>
          </w:p>
        </w:tc>
        <w:tc>
          <w:tcPr>
            <w:tcW w:w="2524" w:type="dxa"/>
          </w:tcPr>
          <w:p w14:paraId="6169007D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p. 2</w:t>
            </w:r>
          </w:p>
        </w:tc>
      </w:tr>
      <w:tr w:rsidR="0054436C" w:rsidRPr="00341DF1" w14:paraId="5284846D" w14:textId="77777777" w:rsidTr="003831F5">
        <w:tc>
          <w:tcPr>
            <w:tcW w:w="1850" w:type="dxa"/>
          </w:tcPr>
          <w:p w14:paraId="291847A7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Title/abstract</w:t>
            </w:r>
          </w:p>
        </w:tc>
        <w:tc>
          <w:tcPr>
            <w:tcW w:w="650" w:type="dxa"/>
          </w:tcPr>
          <w:p w14:paraId="23819927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1b</w:t>
            </w:r>
          </w:p>
        </w:tc>
        <w:tc>
          <w:tcPr>
            <w:tcW w:w="3250" w:type="dxa"/>
          </w:tcPr>
          <w:p w14:paraId="3DDD2B95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Provide an informative structured summary of background, objectives, methods, results, interpretation and conclusions.</w:t>
            </w:r>
          </w:p>
        </w:tc>
        <w:tc>
          <w:tcPr>
            <w:tcW w:w="5982" w:type="dxa"/>
          </w:tcPr>
          <w:p w14:paraId="68DDD8BB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Abstract</w:t>
            </w:r>
          </w:p>
        </w:tc>
        <w:tc>
          <w:tcPr>
            <w:tcW w:w="2524" w:type="dxa"/>
          </w:tcPr>
          <w:p w14:paraId="21D06377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p. 2</w:t>
            </w:r>
          </w:p>
        </w:tc>
      </w:tr>
      <w:tr w:rsidR="0054436C" w:rsidRPr="00341DF1" w14:paraId="41AADAA7" w14:textId="77777777" w:rsidTr="003831F5">
        <w:tc>
          <w:tcPr>
            <w:tcW w:w="1850" w:type="dxa"/>
          </w:tcPr>
          <w:p w14:paraId="40D92C47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Background</w:t>
            </w:r>
          </w:p>
        </w:tc>
        <w:tc>
          <w:tcPr>
            <w:tcW w:w="650" w:type="dxa"/>
          </w:tcPr>
          <w:p w14:paraId="66848219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2</w:t>
            </w:r>
          </w:p>
        </w:tc>
        <w:tc>
          <w:tcPr>
            <w:tcW w:w="3250" w:type="dxa"/>
          </w:tcPr>
          <w:p w14:paraId="047FDEEA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Explain rationale, prior work and why the survey is needed.</w:t>
            </w:r>
          </w:p>
        </w:tc>
        <w:tc>
          <w:tcPr>
            <w:tcW w:w="5982" w:type="dxa"/>
          </w:tcPr>
          <w:p w14:paraId="389764B7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Introduction</w:t>
            </w:r>
          </w:p>
        </w:tc>
        <w:tc>
          <w:tcPr>
            <w:tcW w:w="2524" w:type="dxa"/>
          </w:tcPr>
          <w:p w14:paraId="22FF92AE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pp. 3–4</w:t>
            </w:r>
          </w:p>
        </w:tc>
      </w:tr>
      <w:tr w:rsidR="0054436C" w:rsidRPr="00341DF1" w14:paraId="6A8EA7DD" w14:textId="77777777" w:rsidTr="003831F5">
        <w:tc>
          <w:tcPr>
            <w:tcW w:w="1850" w:type="dxa"/>
          </w:tcPr>
          <w:p w14:paraId="52931068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Purpose/aim</w:t>
            </w:r>
          </w:p>
        </w:tc>
        <w:tc>
          <w:tcPr>
            <w:tcW w:w="650" w:type="dxa"/>
          </w:tcPr>
          <w:p w14:paraId="6EE95A84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3</w:t>
            </w:r>
          </w:p>
        </w:tc>
        <w:tc>
          <w:tcPr>
            <w:tcW w:w="3250" w:type="dxa"/>
          </w:tcPr>
          <w:p w14:paraId="09427A02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Identify specific purposes/aims/objectives.</w:t>
            </w:r>
          </w:p>
        </w:tc>
        <w:tc>
          <w:tcPr>
            <w:tcW w:w="5982" w:type="dxa"/>
          </w:tcPr>
          <w:p w14:paraId="564F6289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Introduction, final paragraph</w:t>
            </w:r>
          </w:p>
        </w:tc>
        <w:tc>
          <w:tcPr>
            <w:tcW w:w="2524" w:type="dxa"/>
          </w:tcPr>
          <w:p w14:paraId="3E840A5F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p. 4</w:t>
            </w:r>
          </w:p>
        </w:tc>
      </w:tr>
      <w:tr w:rsidR="0054436C" w:rsidRPr="00341DF1" w14:paraId="45C55742" w14:textId="77777777" w:rsidTr="003831F5">
        <w:tc>
          <w:tcPr>
            <w:tcW w:w="1850" w:type="dxa"/>
          </w:tcPr>
          <w:p w14:paraId="7DCAC2D1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Study design</w:t>
            </w:r>
          </w:p>
        </w:tc>
        <w:tc>
          <w:tcPr>
            <w:tcW w:w="650" w:type="dxa"/>
          </w:tcPr>
          <w:p w14:paraId="66A0BD97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4</w:t>
            </w:r>
          </w:p>
        </w:tc>
        <w:tc>
          <w:tcPr>
            <w:tcW w:w="3250" w:type="dxa"/>
          </w:tcPr>
          <w:p w14:paraId="3F9638D3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Specify study design using a common term.</w:t>
            </w:r>
          </w:p>
        </w:tc>
        <w:tc>
          <w:tcPr>
            <w:tcW w:w="5982" w:type="dxa"/>
          </w:tcPr>
          <w:p w14:paraId="010ED0DF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Methods—Study design and reporting</w:t>
            </w:r>
          </w:p>
        </w:tc>
        <w:tc>
          <w:tcPr>
            <w:tcW w:w="2524" w:type="dxa"/>
          </w:tcPr>
          <w:p w14:paraId="306FA2CD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pp. 4–5</w:t>
            </w:r>
          </w:p>
        </w:tc>
      </w:tr>
      <w:tr w:rsidR="0054436C" w:rsidRPr="00341DF1" w14:paraId="3C863A7B" w14:textId="77777777" w:rsidTr="003831F5">
        <w:tc>
          <w:tcPr>
            <w:tcW w:w="1850" w:type="dxa"/>
          </w:tcPr>
          <w:p w14:paraId="3EB15A94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Data collection methods</w:t>
            </w:r>
          </w:p>
        </w:tc>
        <w:tc>
          <w:tcPr>
            <w:tcW w:w="650" w:type="dxa"/>
          </w:tcPr>
          <w:p w14:paraId="34ECA899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5a</w:t>
            </w:r>
          </w:p>
        </w:tc>
        <w:tc>
          <w:tcPr>
            <w:tcW w:w="3250" w:type="dxa"/>
          </w:tcPr>
          <w:p w14:paraId="760CBE56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Describe questionnaire structure, number of questions/sections and instruments.</w:t>
            </w:r>
          </w:p>
        </w:tc>
        <w:tc>
          <w:tcPr>
            <w:tcW w:w="5982" w:type="dxa"/>
          </w:tcPr>
          <w:p w14:paraId="61EED164" w14:textId="4FDAD65B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Methods—Survey measures through Exploratory pathway variables; Supplementary File 1—Survey structure (30 question objects, one block, three participant-facing pages)</w:t>
            </w:r>
          </w:p>
        </w:tc>
        <w:tc>
          <w:tcPr>
            <w:tcW w:w="2524" w:type="dxa"/>
          </w:tcPr>
          <w:p w14:paraId="21E3D59A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pp. 5–6; SF1 p. 1</w:t>
            </w:r>
          </w:p>
        </w:tc>
      </w:tr>
      <w:tr w:rsidR="0054436C" w:rsidRPr="00341DF1" w14:paraId="72B009E8" w14:textId="77777777" w:rsidTr="003831F5">
        <w:tc>
          <w:tcPr>
            <w:tcW w:w="1850" w:type="dxa"/>
          </w:tcPr>
          <w:p w14:paraId="047E49BE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Data collection methods</w:t>
            </w:r>
          </w:p>
        </w:tc>
        <w:tc>
          <w:tcPr>
            <w:tcW w:w="650" w:type="dxa"/>
          </w:tcPr>
          <w:p w14:paraId="7BDFB551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5b</w:t>
            </w:r>
          </w:p>
        </w:tc>
        <w:tc>
          <w:tcPr>
            <w:tcW w:w="3250" w:type="dxa"/>
          </w:tcPr>
          <w:p w14:paraId="503BE693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Describe instruments, target construct, validity/reliability, scoring/classification and references.</w:t>
            </w:r>
          </w:p>
        </w:tc>
        <w:tc>
          <w:tcPr>
            <w:tcW w:w="5982" w:type="dxa"/>
          </w:tcPr>
          <w:p w14:paraId="250982E0" w14:textId="4DE1286B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Methods—Loneliness outcomes and Exploratory pathway variables (emotional exhaustion: 3–18; all three items required; α=0.918); Supplementary File 2, Table S2. Emotional-exhaustion source/version and validation NR.</w:t>
            </w:r>
          </w:p>
        </w:tc>
        <w:tc>
          <w:tcPr>
            <w:tcW w:w="2524" w:type="dxa"/>
          </w:tcPr>
          <w:p w14:paraId="78EE8D4F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pp. 5–6; SF2 p. 2</w:t>
            </w:r>
          </w:p>
        </w:tc>
      </w:tr>
      <w:tr w:rsidR="0054436C" w:rsidRPr="00341DF1" w14:paraId="1B813399" w14:textId="77777777" w:rsidTr="003831F5">
        <w:tc>
          <w:tcPr>
            <w:tcW w:w="1850" w:type="dxa"/>
          </w:tcPr>
          <w:p w14:paraId="6678ED02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Data collection methods</w:t>
            </w:r>
          </w:p>
        </w:tc>
        <w:tc>
          <w:tcPr>
            <w:tcW w:w="650" w:type="dxa"/>
          </w:tcPr>
          <w:p w14:paraId="48295CF0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5c</w:t>
            </w:r>
          </w:p>
        </w:tc>
        <w:tc>
          <w:tcPr>
            <w:tcW w:w="3250" w:type="dxa"/>
          </w:tcPr>
          <w:p w14:paraId="75DF3CA6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Report questionnaire pretesting, including method and participants, if performed.</w:t>
            </w:r>
          </w:p>
        </w:tc>
        <w:tc>
          <w:tcPr>
            <w:tcW w:w="5982" w:type="dxa"/>
          </w:tcPr>
          <w:p w14:paraId="1026A7DD" w14:textId="51D8689D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Declarations—Patient and public involvement: three NHS secondary-care collaborators supported development, refinement and beta testing. Detailed testing procedures and resulting changes NR.</w:t>
            </w:r>
          </w:p>
        </w:tc>
        <w:tc>
          <w:tcPr>
            <w:tcW w:w="2524" w:type="dxa"/>
          </w:tcPr>
          <w:p w14:paraId="360290FE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p. 20</w:t>
            </w:r>
          </w:p>
        </w:tc>
      </w:tr>
      <w:tr w:rsidR="0054436C" w:rsidRPr="00341DF1" w14:paraId="53ACF7A4" w14:textId="77777777" w:rsidTr="003831F5">
        <w:tc>
          <w:tcPr>
            <w:tcW w:w="1850" w:type="dxa"/>
          </w:tcPr>
          <w:p w14:paraId="46A52775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Data collection methods</w:t>
            </w:r>
          </w:p>
        </w:tc>
        <w:tc>
          <w:tcPr>
            <w:tcW w:w="650" w:type="dxa"/>
          </w:tcPr>
          <w:p w14:paraId="48E79A28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5d</w:t>
            </w:r>
          </w:p>
        </w:tc>
        <w:tc>
          <w:tcPr>
            <w:tcW w:w="3250" w:type="dxa"/>
          </w:tcPr>
          <w:p w14:paraId="7811C486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Provide full questionnaire if possible.</w:t>
            </w:r>
          </w:p>
        </w:tc>
        <w:tc>
          <w:tcPr>
            <w:tcW w:w="5982" w:type="dxa"/>
          </w:tcPr>
          <w:p w14:paraId="5CAD3A45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Supplementary File 1</w:t>
            </w:r>
          </w:p>
        </w:tc>
        <w:tc>
          <w:tcPr>
            <w:tcW w:w="2524" w:type="dxa"/>
          </w:tcPr>
          <w:p w14:paraId="7CA150FD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SF1 pp. 1–3</w:t>
            </w:r>
          </w:p>
        </w:tc>
      </w:tr>
      <w:tr w:rsidR="0054436C" w:rsidRPr="00341DF1" w14:paraId="12533FFC" w14:textId="77777777" w:rsidTr="003831F5">
        <w:tc>
          <w:tcPr>
            <w:tcW w:w="1850" w:type="dxa"/>
          </w:tcPr>
          <w:p w14:paraId="2DA5207A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Sample characteristics</w:t>
            </w:r>
          </w:p>
        </w:tc>
        <w:tc>
          <w:tcPr>
            <w:tcW w:w="650" w:type="dxa"/>
          </w:tcPr>
          <w:p w14:paraId="32DBB041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6a</w:t>
            </w:r>
          </w:p>
        </w:tc>
        <w:tc>
          <w:tcPr>
            <w:tcW w:w="3250" w:type="dxa"/>
          </w:tcPr>
          <w:p w14:paraId="31056F7A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Describe study population, locations, inclusion/exclusion criteria.</w:t>
            </w:r>
          </w:p>
        </w:tc>
        <w:tc>
          <w:tcPr>
            <w:tcW w:w="5982" w:type="dxa"/>
          </w:tcPr>
          <w:p w14:paraId="38926833" w14:textId="76321D68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Methods—Source population and analytical sample; Survey measures (three organisations); Table 1 (seven site/service categories)</w:t>
            </w:r>
          </w:p>
        </w:tc>
        <w:tc>
          <w:tcPr>
            <w:tcW w:w="2524" w:type="dxa"/>
          </w:tcPr>
          <w:p w14:paraId="63B42DF0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pp. 4–5, 8–9</w:t>
            </w:r>
          </w:p>
        </w:tc>
      </w:tr>
      <w:tr w:rsidR="0054436C" w:rsidRPr="00341DF1" w14:paraId="507AC02F" w14:textId="77777777" w:rsidTr="003831F5">
        <w:tc>
          <w:tcPr>
            <w:tcW w:w="1850" w:type="dxa"/>
          </w:tcPr>
          <w:p w14:paraId="1ECA5A53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Sample characteristics</w:t>
            </w:r>
          </w:p>
        </w:tc>
        <w:tc>
          <w:tcPr>
            <w:tcW w:w="650" w:type="dxa"/>
          </w:tcPr>
          <w:p w14:paraId="53F7E955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6b</w:t>
            </w:r>
          </w:p>
        </w:tc>
        <w:tc>
          <w:tcPr>
            <w:tcW w:w="3250" w:type="dxa"/>
          </w:tcPr>
          <w:p w14:paraId="68BF5125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Describe sampling technique and clustered locations if applicable.</w:t>
            </w:r>
          </w:p>
        </w:tc>
        <w:tc>
          <w:tcPr>
            <w:tcW w:w="5982" w:type="dxa"/>
          </w:tcPr>
          <w:p w14:paraId="0E98EE88" w14:textId="226EBB8E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Methods—Study design and reporting (voluntary, non-probability participation); Table 1. Staff-specific invitation process NR.</w:t>
            </w:r>
          </w:p>
        </w:tc>
        <w:tc>
          <w:tcPr>
            <w:tcW w:w="2524" w:type="dxa"/>
          </w:tcPr>
          <w:p w14:paraId="1C039513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pp. 4–5, 8</w:t>
            </w:r>
          </w:p>
        </w:tc>
      </w:tr>
      <w:tr w:rsidR="0054436C" w:rsidRPr="00341DF1" w14:paraId="2FB37740" w14:textId="77777777" w:rsidTr="003831F5">
        <w:tc>
          <w:tcPr>
            <w:tcW w:w="1850" w:type="dxa"/>
          </w:tcPr>
          <w:p w14:paraId="102BB374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Sample characteristics</w:t>
            </w:r>
          </w:p>
        </w:tc>
        <w:tc>
          <w:tcPr>
            <w:tcW w:w="650" w:type="dxa"/>
          </w:tcPr>
          <w:p w14:paraId="77901D96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6c</w:t>
            </w:r>
          </w:p>
        </w:tc>
        <w:tc>
          <w:tcPr>
            <w:tcW w:w="3250" w:type="dxa"/>
          </w:tcPr>
          <w:p w14:paraId="6ECC0963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Report sample size and sample-size calculation.</w:t>
            </w:r>
          </w:p>
        </w:tc>
        <w:tc>
          <w:tcPr>
            <w:tcW w:w="5982" w:type="dxa"/>
          </w:tcPr>
          <w:p w14:paraId="24910B96" w14:textId="0D1DF8E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Methods—Source population and analytical sample: available eligible records; no a priori sample-size calculation reported.</w:t>
            </w:r>
          </w:p>
        </w:tc>
        <w:tc>
          <w:tcPr>
            <w:tcW w:w="2524" w:type="dxa"/>
          </w:tcPr>
          <w:p w14:paraId="6B762D44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p. 5</w:t>
            </w:r>
          </w:p>
        </w:tc>
      </w:tr>
      <w:tr w:rsidR="0054436C" w:rsidRPr="00341DF1" w14:paraId="04E9009E" w14:textId="77777777" w:rsidTr="003831F5">
        <w:tc>
          <w:tcPr>
            <w:tcW w:w="1850" w:type="dxa"/>
          </w:tcPr>
          <w:p w14:paraId="12F29B29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Sample characteristics</w:t>
            </w:r>
          </w:p>
        </w:tc>
        <w:tc>
          <w:tcPr>
            <w:tcW w:w="650" w:type="dxa"/>
          </w:tcPr>
          <w:p w14:paraId="00371D42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6d</w:t>
            </w:r>
          </w:p>
        </w:tc>
        <w:tc>
          <w:tcPr>
            <w:tcW w:w="3250" w:type="dxa"/>
          </w:tcPr>
          <w:p w14:paraId="5D6A2AA4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Describe representativeness of the sample.</w:t>
            </w:r>
          </w:p>
        </w:tc>
        <w:tc>
          <w:tcPr>
            <w:tcW w:w="5982" w:type="dxa"/>
          </w:tcPr>
          <w:p w14:paraId="4CF2C23A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Discussion—Strengths and limitations; Conclusion</w:t>
            </w:r>
          </w:p>
        </w:tc>
        <w:tc>
          <w:tcPr>
            <w:tcW w:w="2524" w:type="dxa"/>
          </w:tcPr>
          <w:p w14:paraId="1811FB79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pp. 17–19</w:t>
            </w:r>
          </w:p>
        </w:tc>
      </w:tr>
      <w:tr w:rsidR="0054436C" w:rsidRPr="00341DF1" w14:paraId="36B75F36" w14:textId="77777777" w:rsidTr="003831F5">
        <w:tc>
          <w:tcPr>
            <w:tcW w:w="1850" w:type="dxa"/>
          </w:tcPr>
          <w:p w14:paraId="79C94E97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Survey administration</w:t>
            </w:r>
          </w:p>
        </w:tc>
        <w:tc>
          <w:tcPr>
            <w:tcW w:w="650" w:type="dxa"/>
          </w:tcPr>
          <w:p w14:paraId="3AD8E29A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7a</w:t>
            </w:r>
          </w:p>
        </w:tc>
        <w:tc>
          <w:tcPr>
            <w:tcW w:w="3250" w:type="dxa"/>
          </w:tcPr>
          <w:p w14:paraId="2D7A0F6E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Describe mode of administration, contacts and location/platform.</w:t>
            </w:r>
          </w:p>
        </w:tc>
        <w:tc>
          <w:tcPr>
            <w:tcW w:w="5982" w:type="dxa"/>
          </w:tcPr>
          <w:p w14:paraId="3EAEAE80" w14:textId="748509C9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Methods—Study design and reporting (Qualtrics online survey); Supplementary File 1. Staff contact channels and reminders NR.</w:t>
            </w:r>
          </w:p>
        </w:tc>
        <w:tc>
          <w:tcPr>
            <w:tcW w:w="2524" w:type="dxa"/>
          </w:tcPr>
          <w:p w14:paraId="4E693F8A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pp. 4–5; SF1 p. 1</w:t>
            </w:r>
          </w:p>
        </w:tc>
      </w:tr>
      <w:tr w:rsidR="0054436C" w:rsidRPr="00341DF1" w14:paraId="0E49F251" w14:textId="77777777" w:rsidTr="003831F5">
        <w:tc>
          <w:tcPr>
            <w:tcW w:w="1850" w:type="dxa"/>
          </w:tcPr>
          <w:p w14:paraId="33CC586F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Survey administration</w:t>
            </w:r>
          </w:p>
        </w:tc>
        <w:tc>
          <w:tcPr>
            <w:tcW w:w="650" w:type="dxa"/>
          </w:tcPr>
          <w:p w14:paraId="41696E8B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7b</w:t>
            </w:r>
          </w:p>
        </w:tc>
        <w:tc>
          <w:tcPr>
            <w:tcW w:w="3250" w:type="dxa"/>
          </w:tcPr>
          <w:p w14:paraId="04C2AAA2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Provide survey timeframe / recruitment period.</w:t>
            </w:r>
          </w:p>
        </w:tc>
        <w:tc>
          <w:tcPr>
            <w:tcW w:w="5982" w:type="dxa"/>
          </w:tcPr>
          <w:p w14:paraId="3B18BE0D" w14:textId="2ED55610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Methods—Study design and reporting: 15 April 2025 to 13 August 2026.</w:t>
            </w:r>
          </w:p>
        </w:tc>
        <w:tc>
          <w:tcPr>
            <w:tcW w:w="2524" w:type="dxa"/>
          </w:tcPr>
          <w:p w14:paraId="3F3FD137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p. 4</w:t>
            </w:r>
          </w:p>
        </w:tc>
      </w:tr>
      <w:tr w:rsidR="0054436C" w:rsidRPr="00341DF1" w14:paraId="4F33E9D3" w14:textId="77777777" w:rsidTr="003831F5">
        <w:tc>
          <w:tcPr>
            <w:tcW w:w="1850" w:type="dxa"/>
          </w:tcPr>
          <w:p w14:paraId="45E1BDE8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Survey administration</w:t>
            </w:r>
          </w:p>
        </w:tc>
        <w:tc>
          <w:tcPr>
            <w:tcW w:w="650" w:type="dxa"/>
          </w:tcPr>
          <w:p w14:paraId="003F34C4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7c</w:t>
            </w:r>
          </w:p>
        </w:tc>
        <w:tc>
          <w:tcPr>
            <w:tcW w:w="3250" w:type="dxa"/>
          </w:tcPr>
          <w:p w14:paraId="13D8019F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For web surveys, describe measures preventing multiple participation.</w:t>
            </w:r>
          </w:p>
        </w:tc>
        <w:tc>
          <w:tcPr>
            <w:tcW w:w="5982" w:type="dxa"/>
          </w:tcPr>
          <w:p w14:paraId="60C2F000" w14:textId="495368D2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Supplementary File 3—Unique visitor definition and Duplicate prevention. Staff-specific configuration and duplicate-exclusion rules NR.</w:t>
            </w:r>
          </w:p>
        </w:tc>
        <w:tc>
          <w:tcPr>
            <w:tcW w:w="2524" w:type="dxa"/>
          </w:tcPr>
          <w:p w14:paraId="317E23E6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SF3 p. 2 (gaps)</w:t>
            </w:r>
          </w:p>
        </w:tc>
      </w:tr>
      <w:tr w:rsidR="0054436C" w:rsidRPr="00341DF1" w14:paraId="5E238AF6" w14:textId="77777777" w:rsidTr="003831F5">
        <w:tc>
          <w:tcPr>
            <w:tcW w:w="1850" w:type="dxa"/>
          </w:tcPr>
          <w:p w14:paraId="159E1122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Study preparation</w:t>
            </w:r>
          </w:p>
        </w:tc>
        <w:tc>
          <w:tcPr>
            <w:tcW w:w="650" w:type="dxa"/>
          </w:tcPr>
          <w:p w14:paraId="6C03F1C8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8</w:t>
            </w:r>
          </w:p>
        </w:tc>
        <w:tc>
          <w:tcPr>
            <w:tcW w:w="3250" w:type="dxa"/>
          </w:tcPr>
          <w:p w14:paraId="6E5F7AD7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Describe preparation before fielding, e.g., training/advertising.</w:t>
            </w:r>
          </w:p>
        </w:tc>
        <w:tc>
          <w:tcPr>
            <w:tcW w:w="5982" w:type="dxa"/>
          </w:tcPr>
          <w:p w14:paraId="5FF88D9A" w14:textId="12C23476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Declarations—Patient and public involvement (development, refinement and beta testing); Supplementary File 3—Recruitment and Development. Staff training/advertising details NR.</w:t>
            </w:r>
          </w:p>
        </w:tc>
        <w:tc>
          <w:tcPr>
            <w:tcW w:w="2524" w:type="dxa"/>
          </w:tcPr>
          <w:p w14:paraId="5D5D44C1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p. 20; SF3 p. 1</w:t>
            </w:r>
          </w:p>
        </w:tc>
      </w:tr>
      <w:tr w:rsidR="0054436C" w:rsidRPr="00341DF1" w14:paraId="0DD0FE08" w14:textId="77777777" w:rsidTr="003831F5">
        <w:tc>
          <w:tcPr>
            <w:tcW w:w="1850" w:type="dxa"/>
          </w:tcPr>
          <w:p w14:paraId="1496D9F5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Ethics</w:t>
            </w:r>
          </w:p>
        </w:tc>
        <w:tc>
          <w:tcPr>
            <w:tcW w:w="650" w:type="dxa"/>
          </w:tcPr>
          <w:p w14:paraId="7A3456A1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9a</w:t>
            </w:r>
          </w:p>
        </w:tc>
        <w:tc>
          <w:tcPr>
            <w:tcW w:w="3250" w:type="dxa"/>
          </w:tcPr>
          <w:p w14:paraId="44EC5B65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Report ethical approval, consent, Helsinki/GCP as appropriate.</w:t>
            </w:r>
          </w:p>
        </w:tc>
        <w:tc>
          <w:tcPr>
            <w:tcW w:w="5982" w:type="dxa"/>
          </w:tcPr>
          <w:p w14:paraId="3A7B03BD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Methods—Ethics and consent; Supplementary File 1, Q2</w:t>
            </w:r>
          </w:p>
        </w:tc>
        <w:tc>
          <w:tcPr>
            <w:tcW w:w="2524" w:type="dxa"/>
          </w:tcPr>
          <w:p w14:paraId="1C4B3F88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p. 7; SF1 p. 1</w:t>
            </w:r>
          </w:p>
        </w:tc>
      </w:tr>
      <w:tr w:rsidR="0054436C" w:rsidRPr="00341DF1" w14:paraId="1BB269FC" w14:textId="77777777" w:rsidTr="003831F5">
        <w:tc>
          <w:tcPr>
            <w:tcW w:w="1850" w:type="dxa"/>
          </w:tcPr>
          <w:p w14:paraId="25AE202C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Ethics</w:t>
            </w:r>
          </w:p>
        </w:tc>
        <w:tc>
          <w:tcPr>
            <w:tcW w:w="650" w:type="dxa"/>
          </w:tcPr>
          <w:p w14:paraId="2414F25B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9b</w:t>
            </w:r>
          </w:p>
        </w:tc>
        <w:tc>
          <w:tcPr>
            <w:tcW w:w="3250" w:type="dxa"/>
          </w:tcPr>
          <w:p w14:paraId="52A253A4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Report anonymity/confidentiality and access protection.</w:t>
            </w:r>
          </w:p>
        </w:tc>
        <w:tc>
          <w:tcPr>
            <w:tcW w:w="5982" w:type="dxa"/>
          </w:tcPr>
          <w:p w14:paraId="386F9877" w14:textId="3F63449F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Methods—Ethics and consent; Declarations—Data availability; Supplementary File 1. Staff-specific platform access/security settings NR.</w:t>
            </w:r>
          </w:p>
        </w:tc>
        <w:tc>
          <w:tcPr>
            <w:tcW w:w="2524" w:type="dxa"/>
          </w:tcPr>
          <w:p w14:paraId="2C38D790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pp. 7, 20; SF1 pp. 1, 3</w:t>
            </w:r>
          </w:p>
        </w:tc>
      </w:tr>
      <w:tr w:rsidR="0054436C" w:rsidRPr="00341DF1" w14:paraId="433CDCCD" w14:textId="77777777" w:rsidTr="003831F5">
        <w:tc>
          <w:tcPr>
            <w:tcW w:w="1850" w:type="dxa"/>
          </w:tcPr>
          <w:p w14:paraId="2698A4A4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Statistical analysis</w:t>
            </w:r>
          </w:p>
        </w:tc>
        <w:tc>
          <w:tcPr>
            <w:tcW w:w="650" w:type="dxa"/>
          </w:tcPr>
          <w:p w14:paraId="48F0F4FB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10a</w:t>
            </w:r>
          </w:p>
        </w:tc>
        <w:tc>
          <w:tcPr>
            <w:tcW w:w="3250" w:type="dxa"/>
          </w:tcPr>
          <w:p w14:paraId="5EF30D02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Describe statistical approach and software.</w:t>
            </w:r>
          </w:p>
        </w:tc>
        <w:tc>
          <w:tcPr>
            <w:tcW w:w="5982" w:type="dxa"/>
          </w:tcPr>
          <w:p w14:paraId="2D46FF09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Methods—Statistical analysis through Missing data and statistical software</w:t>
            </w:r>
          </w:p>
        </w:tc>
        <w:tc>
          <w:tcPr>
            <w:tcW w:w="2524" w:type="dxa"/>
          </w:tcPr>
          <w:p w14:paraId="17B2D909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pp. 6–7</w:t>
            </w:r>
          </w:p>
        </w:tc>
      </w:tr>
      <w:tr w:rsidR="0054436C" w:rsidRPr="00341DF1" w14:paraId="7511B9B3" w14:textId="77777777" w:rsidTr="003831F5">
        <w:tc>
          <w:tcPr>
            <w:tcW w:w="1850" w:type="dxa"/>
          </w:tcPr>
          <w:p w14:paraId="10EF7699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Statistical analysis</w:t>
            </w:r>
          </w:p>
        </w:tc>
        <w:tc>
          <w:tcPr>
            <w:tcW w:w="650" w:type="dxa"/>
          </w:tcPr>
          <w:p w14:paraId="4DA5820E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10b</w:t>
            </w:r>
          </w:p>
        </w:tc>
        <w:tc>
          <w:tcPr>
            <w:tcW w:w="3250" w:type="dxa"/>
          </w:tcPr>
          <w:p w14:paraId="617B2EF2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Report modifications/recoding of variables.</w:t>
            </w:r>
          </w:p>
        </w:tc>
        <w:tc>
          <w:tcPr>
            <w:tcW w:w="5982" w:type="dxa"/>
          </w:tcPr>
          <w:p w14:paraId="4DC4EE47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Methods—Exposure; Supplementary File 2, Tables S2–S3</w:t>
            </w:r>
          </w:p>
        </w:tc>
        <w:tc>
          <w:tcPr>
            <w:tcW w:w="2524" w:type="dxa"/>
          </w:tcPr>
          <w:p w14:paraId="16F5F702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p. 5; SF2 pp. 2–3</w:t>
            </w:r>
          </w:p>
        </w:tc>
      </w:tr>
      <w:tr w:rsidR="0054436C" w:rsidRPr="00341DF1" w14:paraId="17106D1C" w14:textId="77777777" w:rsidTr="003831F5">
        <w:tc>
          <w:tcPr>
            <w:tcW w:w="1850" w:type="dxa"/>
          </w:tcPr>
          <w:p w14:paraId="440E0E26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Statistical analysis</w:t>
            </w:r>
          </w:p>
        </w:tc>
        <w:tc>
          <w:tcPr>
            <w:tcW w:w="650" w:type="dxa"/>
          </w:tcPr>
          <w:p w14:paraId="6A41A6E3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10c</w:t>
            </w:r>
          </w:p>
        </w:tc>
        <w:tc>
          <w:tcPr>
            <w:tcW w:w="3250" w:type="dxa"/>
          </w:tcPr>
          <w:p w14:paraId="73AC3F8F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Report missing data rate/mechanism and handling.</w:t>
            </w:r>
          </w:p>
        </w:tc>
        <w:tc>
          <w:tcPr>
            <w:tcW w:w="5982" w:type="dxa"/>
          </w:tcPr>
          <w:p w14:paraId="320F3CC6" w14:textId="1A8CB1A1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Methods—Exploratory pathway variables and Missing data; Table 2 (valid denominators); Supplementary File 2, Tables S1/S4. Missingness mechanism NR.</w:t>
            </w:r>
          </w:p>
        </w:tc>
        <w:tc>
          <w:tcPr>
            <w:tcW w:w="2524" w:type="dxa"/>
          </w:tcPr>
          <w:p w14:paraId="0D9B3A18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pp. 6–7, 10; SF2 pp. 2, 4–8</w:t>
            </w:r>
          </w:p>
        </w:tc>
      </w:tr>
      <w:tr w:rsidR="0054436C" w:rsidRPr="00341DF1" w14:paraId="2FC9760D" w14:textId="77777777" w:rsidTr="003831F5">
        <w:tc>
          <w:tcPr>
            <w:tcW w:w="1850" w:type="dxa"/>
          </w:tcPr>
          <w:p w14:paraId="6C367C19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Statistical analysis</w:t>
            </w:r>
          </w:p>
        </w:tc>
        <w:tc>
          <w:tcPr>
            <w:tcW w:w="650" w:type="dxa"/>
          </w:tcPr>
          <w:p w14:paraId="0143BC61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10d</w:t>
            </w:r>
          </w:p>
        </w:tc>
        <w:tc>
          <w:tcPr>
            <w:tcW w:w="3250" w:type="dxa"/>
          </w:tcPr>
          <w:p w14:paraId="1E9E7AEE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State how non-response error was addressed.</w:t>
            </w:r>
          </w:p>
        </w:tc>
        <w:tc>
          <w:tcPr>
            <w:tcW w:w="5982" w:type="dxa"/>
          </w:tcPr>
          <w:p w14:paraId="40DEBDF3" w14:textId="2287235D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Discussion—Strengths and limitations: voluntary participation and complete-case selection discussed; no non-response adjustment reported.</w:t>
            </w:r>
          </w:p>
        </w:tc>
        <w:tc>
          <w:tcPr>
            <w:tcW w:w="2524" w:type="dxa"/>
          </w:tcPr>
          <w:p w14:paraId="3C29EF2D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pp. 17–18</w:t>
            </w:r>
          </w:p>
        </w:tc>
      </w:tr>
      <w:tr w:rsidR="0054436C" w:rsidRPr="00341DF1" w14:paraId="128CC039" w14:textId="77777777" w:rsidTr="003831F5">
        <w:tc>
          <w:tcPr>
            <w:tcW w:w="1850" w:type="dxa"/>
          </w:tcPr>
          <w:p w14:paraId="5EC2AF5B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Statistical analysis</w:t>
            </w:r>
          </w:p>
        </w:tc>
        <w:tc>
          <w:tcPr>
            <w:tcW w:w="650" w:type="dxa"/>
          </w:tcPr>
          <w:p w14:paraId="6DCE1FB4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10e</w:t>
            </w:r>
          </w:p>
        </w:tc>
        <w:tc>
          <w:tcPr>
            <w:tcW w:w="3250" w:type="dxa"/>
          </w:tcPr>
          <w:p w14:paraId="17A340F1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For longitudinal surveys, explain loss to follow-up.</w:t>
            </w:r>
          </w:p>
        </w:tc>
        <w:tc>
          <w:tcPr>
            <w:tcW w:w="5982" w:type="dxa"/>
          </w:tcPr>
          <w:p w14:paraId="6CFF1D76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Not applicable</w:t>
            </w:r>
          </w:p>
        </w:tc>
        <w:tc>
          <w:tcPr>
            <w:tcW w:w="2524" w:type="dxa"/>
          </w:tcPr>
          <w:p w14:paraId="121A35C0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N/A</w:t>
            </w:r>
          </w:p>
        </w:tc>
      </w:tr>
      <w:tr w:rsidR="0054436C" w:rsidRPr="00341DF1" w14:paraId="417E6444" w14:textId="77777777" w:rsidTr="003831F5">
        <w:tc>
          <w:tcPr>
            <w:tcW w:w="1850" w:type="dxa"/>
          </w:tcPr>
          <w:p w14:paraId="3CB70A66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Statistical analysis</w:t>
            </w:r>
          </w:p>
        </w:tc>
        <w:tc>
          <w:tcPr>
            <w:tcW w:w="650" w:type="dxa"/>
          </w:tcPr>
          <w:p w14:paraId="5516ADAA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10f</w:t>
            </w:r>
          </w:p>
        </w:tc>
        <w:tc>
          <w:tcPr>
            <w:tcW w:w="3250" w:type="dxa"/>
          </w:tcPr>
          <w:p w14:paraId="62113EF4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State whether weighting/propensity methods adjusted non-representativeness.</w:t>
            </w:r>
          </w:p>
        </w:tc>
        <w:tc>
          <w:tcPr>
            <w:tcW w:w="5982" w:type="dxa"/>
          </w:tcPr>
          <w:p w14:paraId="4AA8FB92" w14:textId="35647144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Methods—Statistical analysis; Discussion—Strengths and limitations. No weighting or propensity adjustment reported.</w:t>
            </w:r>
          </w:p>
        </w:tc>
        <w:tc>
          <w:tcPr>
            <w:tcW w:w="2524" w:type="dxa"/>
          </w:tcPr>
          <w:p w14:paraId="4FC7DD37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pp. 6–7, 17–18</w:t>
            </w:r>
          </w:p>
        </w:tc>
      </w:tr>
      <w:tr w:rsidR="0054436C" w:rsidRPr="00341DF1" w14:paraId="02A9A3DD" w14:textId="77777777" w:rsidTr="003831F5">
        <w:tc>
          <w:tcPr>
            <w:tcW w:w="1850" w:type="dxa"/>
          </w:tcPr>
          <w:p w14:paraId="28D96403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Statistical analysis</w:t>
            </w:r>
          </w:p>
        </w:tc>
        <w:tc>
          <w:tcPr>
            <w:tcW w:w="650" w:type="dxa"/>
          </w:tcPr>
          <w:p w14:paraId="36DEA2BA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10g</w:t>
            </w:r>
          </w:p>
        </w:tc>
        <w:tc>
          <w:tcPr>
            <w:tcW w:w="3250" w:type="dxa"/>
          </w:tcPr>
          <w:p w14:paraId="16159908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Describe sensitivity analyses.</w:t>
            </w:r>
          </w:p>
        </w:tc>
        <w:tc>
          <w:tcPr>
            <w:tcW w:w="5982" w:type="dxa"/>
          </w:tcPr>
          <w:p w14:paraId="559C8B1E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Methods—Secondary and sensitivity analyses</w:t>
            </w:r>
          </w:p>
        </w:tc>
        <w:tc>
          <w:tcPr>
            <w:tcW w:w="2524" w:type="dxa"/>
          </w:tcPr>
          <w:p w14:paraId="7191D51D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p. 7</w:t>
            </w:r>
          </w:p>
        </w:tc>
      </w:tr>
      <w:tr w:rsidR="0054436C" w:rsidRPr="00341DF1" w14:paraId="49BFFFC2" w14:textId="77777777" w:rsidTr="003831F5">
        <w:tc>
          <w:tcPr>
            <w:tcW w:w="1850" w:type="dxa"/>
          </w:tcPr>
          <w:p w14:paraId="40FFFF2C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Respondent characteristics</w:t>
            </w:r>
          </w:p>
        </w:tc>
        <w:tc>
          <w:tcPr>
            <w:tcW w:w="650" w:type="dxa"/>
          </w:tcPr>
          <w:p w14:paraId="37ED0312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11a</w:t>
            </w:r>
          </w:p>
        </w:tc>
        <w:tc>
          <w:tcPr>
            <w:tcW w:w="3250" w:type="dxa"/>
          </w:tcPr>
          <w:p w14:paraId="1A9B89FB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Report numbers at each stage; consider flow diagram.</w:t>
            </w:r>
          </w:p>
        </w:tc>
        <w:tc>
          <w:tcPr>
            <w:tcW w:w="5982" w:type="dxa"/>
          </w:tcPr>
          <w:p w14:paraId="5C091DC0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Results—Participant flow and night-shift exposure; Supplementary File 2, Figure S1/Table S1</w:t>
            </w:r>
          </w:p>
        </w:tc>
        <w:tc>
          <w:tcPr>
            <w:tcW w:w="2524" w:type="dxa"/>
          </w:tcPr>
          <w:p w14:paraId="64C73819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p. 8; SF2 pp. 1–2</w:t>
            </w:r>
          </w:p>
        </w:tc>
      </w:tr>
      <w:tr w:rsidR="0054436C" w:rsidRPr="00341DF1" w14:paraId="3FF9EDE0" w14:textId="77777777" w:rsidTr="003831F5">
        <w:tc>
          <w:tcPr>
            <w:tcW w:w="1850" w:type="dxa"/>
          </w:tcPr>
          <w:p w14:paraId="65C385CC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lastRenderedPageBreak/>
              <w:t>Respondent characteristics</w:t>
            </w:r>
          </w:p>
        </w:tc>
        <w:tc>
          <w:tcPr>
            <w:tcW w:w="650" w:type="dxa"/>
          </w:tcPr>
          <w:p w14:paraId="18F0D886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11b</w:t>
            </w:r>
          </w:p>
        </w:tc>
        <w:tc>
          <w:tcPr>
            <w:tcW w:w="3250" w:type="dxa"/>
          </w:tcPr>
          <w:p w14:paraId="6AAF585B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Give reasons for non-participation at each stage, if possible.</w:t>
            </w:r>
          </w:p>
        </w:tc>
        <w:tc>
          <w:tcPr>
            <w:tcW w:w="5982" w:type="dxa"/>
          </w:tcPr>
          <w:p w14:paraId="63DD866E" w14:textId="2CB8F550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Methods—Source population and Missing data; Results—Participant flow; Supplementary File 2, Table S1. Covariate exclusions reported; earlier non-participation reasons NR.</w:t>
            </w:r>
          </w:p>
        </w:tc>
        <w:tc>
          <w:tcPr>
            <w:tcW w:w="2524" w:type="dxa"/>
          </w:tcPr>
          <w:p w14:paraId="447B0EF7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pp. 5, 7–8; SF2 p. 2</w:t>
            </w:r>
          </w:p>
        </w:tc>
      </w:tr>
      <w:tr w:rsidR="0054436C" w:rsidRPr="00341DF1" w14:paraId="4B68FFBA" w14:textId="77777777" w:rsidTr="003831F5">
        <w:tc>
          <w:tcPr>
            <w:tcW w:w="1850" w:type="dxa"/>
          </w:tcPr>
          <w:p w14:paraId="72278389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Respondent characteristics</w:t>
            </w:r>
          </w:p>
        </w:tc>
        <w:tc>
          <w:tcPr>
            <w:tcW w:w="650" w:type="dxa"/>
          </w:tcPr>
          <w:p w14:paraId="70EE24D0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11c</w:t>
            </w:r>
          </w:p>
        </w:tc>
        <w:tc>
          <w:tcPr>
            <w:tcW w:w="3250" w:type="dxa"/>
          </w:tcPr>
          <w:p w14:paraId="7B073E1D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Report response rate and define formula used.</w:t>
            </w:r>
          </w:p>
        </w:tc>
        <w:tc>
          <w:tcPr>
            <w:tcW w:w="5982" w:type="dxa"/>
          </w:tcPr>
          <w:p w14:paraId="5FE6D6CB" w14:textId="4EA7B835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Supplementary File 2—Completion-rate qualification; Supplementary File 3—Response metrics. 818/904=90.5% is conditional arithmetic; a staff invitation response rate is not calculable.</w:t>
            </w:r>
          </w:p>
        </w:tc>
        <w:tc>
          <w:tcPr>
            <w:tcW w:w="2524" w:type="dxa"/>
          </w:tcPr>
          <w:p w14:paraId="35CB181E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SF2 p. 2; SF3 p. 2</w:t>
            </w:r>
          </w:p>
        </w:tc>
      </w:tr>
      <w:tr w:rsidR="0054436C" w:rsidRPr="00341DF1" w14:paraId="14EC4FF1" w14:textId="77777777" w:rsidTr="003831F5">
        <w:tc>
          <w:tcPr>
            <w:tcW w:w="1850" w:type="dxa"/>
          </w:tcPr>
          <w:p w14:paraId="162771B1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Respondent characteristics</w:t>
            </w:r>
          </w:p>
        </w:tc>
        <w:tc>
          <w:tcPr>
            <w:tcW w:w="650" w:type="dxa"/>
          </w:tcPr>
          <w:p w14:paraId="02415518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11d</w:t>
            </w:r>
          </w:p>
        </w:tc>
        <w:tc>
          <w:tcPr>
            <w:tcW w:w="3250" w:type="dxa"/>
          </w:tcPr>
          <w:p w14:paraId="1F6A1944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Define unique visitors and report relevant view/participation/completion proportions.</w:t>
            </w:r>
          </w:p>
        </w:tc>
        <w:tc>
          <w:tcPr>
            <w:tcW w:w="5982" w:type="dxa"/>
          </w:tcPr>
          <w:p w14:paraId="44580B3D" w14:textId="1352A14C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Supplementary File 3—Response metrics and Duplicate prevention. Unique-visitor rules and denominators NR; completion proportion remains conditional.</w:t>
            </w:r>
          </w:p>
        </w:tc>
        <w:tc>
          <w:tcPr>
            <w:tcW w:w="2524" w:type="dxa"/>
          </w:tcPr>
          <w:p w14:paraId="00B40339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SF3 p. 2 (gaps/conditions)</w:t>
            </w:r>
          </w:p>
        </w:tc>
      </w:tr>
      <w:tr w:rsidR="0054436C" w:rsidRPr="00341DF1" w14:paraId="04F34A45" w14:textId="77777777" w:rsidTr="003831F5">
        <w:tc>
          <w:tcPr>
            <w:tcW w:w="1850" w:type="dxa"/>
          </w:tcPr>
          <w:p w14:paraId="48C386CD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Descriptive results</w:t>
            </w:r>
          </w:p>
        </w:tc>
        <w:tc>
          <w:tcPr>
            <w:tcW w:w="650" w:type="dxa"/>
          </w:tcPr>
          <w:p w14:paraId="101738EF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12</w:t>
            </w:r>
          </w:p>
        </w:tc>
        <w:tc>
          <w:tcPr>
            <w:tcW w:w="3250" w:type="dxa"/>
          </w:tcPr>
          <w:p w14:paraId="65EFEB82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Report participant characteristics, potential confounders and outcomes.</w:t>
            </w:r>
          </w:p>
        </w:tc>
        <w:tc>
          <w:tcPr>
            <w:tcW w:w="5982" w:type="dxa"/>
          </w:tcPr>
          <w:p w14:paraId="402ACD64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Results—Participant characteristics and Loneliness findings; Tables 1–2; Supplementary File 2, Table S4</w:t>
            </w:r>
          </w:p>
        </w:tc>
        <w:tc>
          <w:tcPr>
            <w:tcW w:w="2524" w:type="dxa"/>
          </w:tcPr>
          <w:p w14:paraId="45165623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pp. 8–10; SF2 pp. 4–8</w:t>
            </w:r>
          </w:p>
        </w:tc>
      </w:tr>
      <w:tr w:rsidR="0054436C" w:rsidRPr="00341DF1" w14:paraId="2467A2A8" w14:textId="77777777" w:rsidTr="003831F5">
        <w:tc>
          <w:tcPr>
            <w:tcW w:w="1850" w:type="dxa"/>
          </w:tcPr>
          <w:p w14:paraId="0474EC79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Main findings</w:t>
            </w:r>
          </w:p>
        </w:tc>
        <w:tc>
          <w:tcPr>
            <w:tcW w:w="650" w:type="dxa"/>
          </w:tcPr>
          <w:p w14:paraId="14A0824D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13a</w:t>
            </w:r>
          </w:p>
        </w:tc>
        <w:tc>
          <w:tcPr>
            <w:tcW w:w="3250" w:type="dxa"/>
          </w:tcPr>
          <w:p w14:paraId="6CB37B1E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Give unadjusted and adjusted estimates with 95% CIs and p values.</w:t>
            </w:r>
          </w:p>
        </w:tc>
        <w:tc>
          <w:tcPr>
            <w:tcW w:w="5982" w:type="dxa"/>
          </w:tcPr>
          <w:p w14:paraId="3C87221D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Results—Association between night-shift frequency and loneliness; Table 3</w:t>
            </w:r>
          </w:p>
        </w:tc>
        <w:tc>
          <w:tcPr>
            <w:tcW w:w="2524" w:type="dxa"/>
          </w:tcPr>
          <w:p w14:paraId="273481E3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pp. 10–11</w:t>
            </w:r>
          </w:p>
        </w:tc>
      </w:tr>
      <w:tr w:rsidR="0054436C" w:rsidRPr="00341DF1" w14:paraId="4BFEC01F" w14:textId="77777777" w:rsidTr="003831F5">
        <w:tc>
          <w:tcPr>
            <w:tcW w:w="1850" w:type="dxa"/>
          </w:tcPr>
          <w:p w14:paraId="36D7BB8F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Main findings</w:t>
            </w:r>
          </w:p>
        </w:tc>
        <w:tc>
          <w:tcPr>
            <w:tcW w:w="650" w:type="dxa"/>
          </w:tcPr>
          <w:p w14:paraId="0D431D17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13b</w:t>
            </w:r>
          </w:p>
        </w:tc>
        <w:tc>
          <w:tcPr>
            <w:tcW w:w="3250" w:type="dxa"/>
          </w:tcPr>
          <w:p w14:paraId="62BFC169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For multivariable analyses, describe model building, model fit and assumptions as appropriate.</w:t>
            </w:r>
          </w:p>
        </w:tc>
        <w:tc>
          <w:tcPr>
            <w:tcW w:w="5982" w:type="dxa"/>
          </w:tcPr>
          <w:p w14:paraId="716BD2FA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Methods—Statistical analysis; Results—Association; Table 3</w:t>
            </w:r>
          </w:p>
        </w:tc>
        <w:tc>
          <w:tcPr>
            <w:tcW w:w="2524" w:type="dxa"/>
          </w:tcPr>
          <w:p w14:paraId="5089A7FF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pp. 6–7, 10–11</w:t>
            </w:r>
          </w:p>
        </w:tc>
      </w:tr>
      <w:tr w:rsidR="0054436C" w:rsidRPr="00341DF1" w14:paraId="7D6F00BC" w14:textId="77777777" w:rsidTr="003831F5">
        <w:tc>
          <w:tcPr>
            <w:tcW w:w="1850" w:type="dxa"/>
          </w:tcPr>
          <w:p w14:paraId="071D40FA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Main findings</w:t>
            </w:r>
          </w:p>
        </w:tc>
        <w:tc>
          <w:tcPr>
            <w:tcW w:w="650" w:type="dxa"/>
          </w:tcPr>
          <w:p w14:paraId="085276E3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13c</w:t>
            </w:r>
          </w:p>
        </w:tc>
        <w:tc>
          <w:tcPr>
            <w:tcW w:w="3250" w:type="dxa"/>
          </w:tcPr>
          <w:p w14:paraId="5EA7A18E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Describe sensitivity analyses and, when substantial missingness exists, compare imputed/complete-case results if possible.</w:t>
            </w:r>
          </w:p>
        </w:tc>
        <w:tc>
          <w:tcPr>
            <w:tcW w:w="5982" w:type="dxa"/>
          </w:tcPr>
          <w:p w14:paraId="5FED9C2D" w14:textId="6402A47E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Results—Association between night-shift frequency and loneliness; Supplementary File 2—Secondary analyses. No imputed analysis reported for comparison.</w:t>
            </w:r>
          </w:p>
        </w:tc>
        <w:tc>
          <w:tcPr>
            <w:tcW w:w="2524" w:type="dxa"/>
          </w:tcPr>
          <w:p w14:paraId="398D5126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p. 11; SF2 pp. 8–9</w:t>
            </w:r>
          </w:p>
        </w:tc>
      </w:tr>
      <w:tr w:rsidR="0054436C" w:rsidRPr="00341DF1" w14:paraId="2DE2AD3A" w14:textId="77777777" w:rsidTr="003831F5">
        <w:tc>
          <w:tcPr>
            <w:tcW w:w="1850" w:type="dxa"/>
          </w:tcPr>
          <w:p w14:paraId="267C15A6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Limitations</w:t>
            </w:r>
          </w:p>
        </w:tc>
        <w:tc>
          <w:tcPr>
            <w:tcW w:w="650" w:type="dxa"/>
          </w:tcPr>
          <w:p w14:paraId="0157439F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14</w:t>
            </w:r>
          </w:p>
        </w:tc>
        <w:tc>
          <w:tcPr>
            <w:tcW w:w="3250" w:type="dxa"/>
          </w:tcPr>
          <w:p w14:paraId="0BC9D4BA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Discuss biases, imprecision, non-representativeness, design and uncontrolled confounding.</w:t>
            </w:r>
          </w:p>
        </w:tc>
        <w:tc>
          <w:tcPr>
            <w:tcW w:w="5982" w:type="dxa"/>
          </w:tcPr>
          <w:p w14:paraId="58F28C42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Discussion—Strengths and limitations; Interpretation of pathway analyses</w:t>
            </w:r>
          </w:p>
        </w:tc>
        <w:tc>
          <w:tcPr>
            <w:tcW w:w="2524" w:type="dxa"/>
          </w:tcPr>
          <w:p w14:paraId="6BFB9727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pp. 16–18</w:t>
            </w:r>
          </w:p>
        </w:tc>
      </w:tr>
      <w:tr w:rsidR="0054436C" w:rsidRPr="00341DF1" w14:paraId="18CF89C5" w14:textId="77777777" w:rsidTr="003831F5">
        <w:tc>
          <w:tcPr>
            <w:tcW w:w="1850" w:type="dxa"/>
          </w:tcPr>
          <w:p w14:paraId="6C1C5FDC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Interpretation</w:t>
            </w:r>
          </w:p>
        </w:tc>
        <w:tc>
          <w:tcPr>
            <w:tcW w:w="650" w:type="dxa"/>
          </w:tcPr>
          <w:p w14:paraId="17967A4E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15</w:t>
            </w:r>
          </w:p>
        </w:tc>
        <w:tc>
          <w:tcPr>
            <w:tcW w:w="3250" w:type="dxa"/>
          </w:tcPr>
          <w:p w14:paraId="02DEADB9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Give cautious interpretation considering biases/imprecision and future research.</w:t>
            </w:r>
          </w:p>
        </w:tc>
        <w:tc>
          <w:tcPr>
            <w:tcW w:w="5982" w:type="dxa"/>
          </w:tcPr>
          <w:p w14:paraId="33BB4C34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Discussion; Conclusion</w:t>
            </w:r>
          </w:p>
        </w:tc>
        <w:tc>
          <w:tcPr>
            <w:tcW w:w="2524" w:type="dxa"/>
          </w:tcPr>
          <w:p w14:paraId="33673100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pp. 13–19</w:t>
            </w:r>
          </w:p>
        </w:tc>
      </w:tr>
      <w:tr w:rsidR="0054436C" w:rsidRPr="00341DF1" w14:paraId="49351784" w14:textId="77777777" w:rsidTr="003831F5">
        <w:tc>
          <w:tcPr>
            <w:tcW w:w="1850" w:type="dxa"/>
          </w:tcPr>
          <w:p w14:paraId="6CE509F4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Generalisability</w:t>
            </w:r>
          </w:p>
        </w:tc>
        <w:tc>
          <w:tcPr>
            <w:tcW w:w="650" w:type="dxa"/>
          </w:tcPr>
          <w:p w14:paraId="29BBC91B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16</w:t>
            </w:r>
          </w:p>
        </w:tc>
        <w:tc>
          <w:tcPr>
            <w:tcW w:w="3250" w:type="dxa"/>
          </w:tcPr>
          <w:p w14:paraId="241EE734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Discuss external validity.</w:t>
            </w:r>
          </w:p>
        </w:tc>
        <w:tc>
          <w:tcPr>
            <w:tcW w:w="5982" w:type="dxa"/>
          </w:tcPr>
          <w:p w14:paraId="509879ED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Discussion—Strengths and limitations; Conclusion</w:t>
            </w:r>
          </w:p>
        </w:tc>
        <w:tc>
          <w:tcPr>
            <w:tcW w:w="2524" w:type="dxa"/>
          </w:tcPr>
          <w:p w14:paraId="048A503E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pp. 17–19</w:t>
            </w:r>
          </w:p>
        </w:tc>
      </w:tr>
      <w:tr w:rsidR="0054436C" w:rsidRPr="00341DF1" w14:paraId="42ACB9DD" w14:textId="77777777" w:rsidTr="003831F5">
        <w:tc>
          <w:tcPr>
            <w:tcW w:w="1850" w:type="dxa"/>
          </w:tcPr>
          <w:p w14:paraId="14D3F740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Funding</w:t>
            </w:r>
          </w:p>
        </w:tc>
        <w:tc>
          <w:tcPr>
            <w:tcW w:w="650" w:type="dxa"/>
          </w:tcPr>
          <w:p w14:paraId="22C112FD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17</w:t>
            </w:r>
          </w:p>
        </w:tc>
        <w:tc>
          <w:tcPr>
            <w:tcW w:w="3250" w:type="dxa"/>
          </w:tcPr>
          <w:p w14:paraId="64024B59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State funder role in design, implementation and analysis.</w:t>
            </w:r>
          </w:p>
        </w:tc>
        <w:tc>
          <w:tcPr>
            <w:tcW w:w="5982" w:type="dxa"/>
          </w:tcPr>
          <w:p w14:paraId="4711948F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Declarations—Funding</w:t>
            </w:r>
          </w:p>
        </w:tc>
        <w:tc>
          <w:tcPr>
            <w:tcW w:w="2524" w:type="dxa"/>
          </w:tcPr>
          <w:p w14:paraId="087D1C20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p. 20</w:t>
            </w:r>
          </w:p>
        </w:tc>
      </w:tr>
      <w:tr w:rsidR="0054436C" w:rsidRPr="00341DF1" w14:paraId="4D2EBC37" w14:textId="77777777" w:rsidTr="003831F5">
        <w:tc>
          <w:tcPr>
            <w:tcW w:w="1850" w:type="dxa"/>
          </w:tcPr>
          <w:p w14:paraId="77631CA3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Conflict of interest</w:t>
            </w:r>
          </w:p>
        </w:tc>
        <w:tc>
          <w:tcPr>
            <w:tcW w:w="650" w:type="dxa"/>
          </w:tcPr>
          <w:p w14:paraId="304E92C0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18</w:t>
            </w:r>
          </w:p>
        </w:tc>
        <w:tc>
          <w:tcPr>
            <w:tcW w:w="3250" w:type="dxa"/>
          </w:tcPr>
          <w:p w14:paraId="51609B0D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Declare potential conflicts.</w:t>
            </w:r>
          </w:p>
        </w:tc>
        <w:tc>
          <w:tcPr>
            <w:tcW w:w="5982" w:type="dxa"/>
          </w:tcPr>
          <w:p w14:paraId="0229309F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Declarations—Competing interests</w:t>
            </w:r>
          </w:p>
        </w:tc>
        <w:tc>
          <w:tcPr>
            <w:tcW w:w="2524" w:type="dxa"/>
          </w:tcPr>
          <w:p w14:paraId="013AF0A6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p. 20</w:t>
            </w:r>
          </w:p>
        </w:tc>
      </w:tr>
      <w:tr w:rsidR="0054436C" w:rsidRPr="00341DF1" w14:paraId="21323954" w14:textId="77777777" w:rsidTr="003831F5">
        <w:tc>
          <w:tcPr>
            <w:tcW w:w="1850" w:type="dxa"/>
          </w:tcPr>
          <w:p w14:paraId="14F76564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Acknowledgements</w:t>
            </w:r>
          </w:p>
        </w:tc>
        <w:tc>
          <w:tcPr>
            <w:tcW w:w="650" w:type="dxa"/>
          </w:tcPr>
          <w:p w14:paraId="71F964C6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19</w:t>
            </w:r>
          </w:p>
        </w:tc>
        <w:tc>
          <w:tcPr>
            <w:tcW w:w="3250" w:type="dxa"/>
          </w:tcPr>
          <w:p w14:paraId="079BE9A8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 w:rsidRPr="00341DF1">
              <w:rPr>
                <w:rFonts w:cs="Arial"/>
                <w:color w:val="000000" w:themeColor="text1"/>
                <w:sz w:val="14"/>
              </w:rPr>
              <w:t>Name acknowledged persons/organisations and contribution.</w:t>
            </w:r>
          </w:p>
        </w:tc>
        <w:tc>
          <w:tcPr>
            <w:tcW w:w="5982" w:type="dxa"/>
          </w:tcPr>
          <w:p w14:paraId="035F90E6" w14:textId="77777777" w:rsidR="0054436C" w:rsidRPr="00341DF1" w:rsidRDefault="00B2329C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Declarations—Acknowledgements</w:t>
            </w:r>
          </w:p>
        </w:tc>
        <w:tc>
          <w:tcPr>
            <w:tcW w:w="2524" w:type="dxa"/>
          </w:tcPr>
          <w:p w14:paraId="04468A3F" w14:textId="77777777" w:rsidR="0054436C" w:rsidRPr="00341DF1" w:rsidRDefault="0054436C">
            <w:pPr>
              <w:spacing w:after="0"/>
              <w:rPr>
                <w:rFonts w:cs="Arial"/>
                <w:color w:val="000000" w:themeColor="text1"/>
              </w:rPr>
            </w:pPr>
            <w:r>
              <w:t>MS p. 20</w:t>
            </w:r>
          </w:p>
        </w:tc>
      </w:tr>
    </w:tbl>
    <w:p w14:paraId="1ECE05F6" w14:textId="77777777" w:rsidR="0054436C" w:rsidRPr="00341DF1" w:rsidRDefault="00B2329C">
      <w:pPr>
        <w:rPr>
          <w:rFonts w:cs="Arial"/>
          <w:color w:val="000000" w:themeColor="text1"/>
        </w:rPr>
      </w:pPr>
      <w:r w:rsidRPr="00341DF1">
        <w:rPr>
          <w:rFonts w:cs="Arial"/>
          <w:b/>
          <w:color w:val="000000" w:themeColor="text1"/>
        </w:rPr>
        <w:t xml:space="preserve">Guideline reference: </w:t>
      </w:r>
      <w:r w:rsidRPr="00341DF1">
        <w:rPr>
          <w:rFonts w:cs="Arial"/>
          <w:color w:val="000000" w:themeColor="text1"/>
        </w:rPr>
        <w:t xml:space="preserve">Sharma A, Minh Duc NT, Luu Lam Thang T, et al. A Consensus-Based Checklist for Reporting of Survey Studies (CROSS). J Gen Intern Med. 2021;36(10):3179–3187. doi:10.1007/s11606-021-06737-1. </w:t>
      </w:r>
      <w:hyperlink r:id="rId6">
        <w:r w:rsidRPr="00341DF1">
          <w:rPr>
            <w:rFonts w:cs="Arial"/>
            <w:color w:val="000000" w:themeColor="text1"/>
            <w:u w:val="single"/>
          </w:rPr>
          <w:t>EQUATOR guideline page</w:t>
        </w:r>
      </w:hyperlink>
    </w:p>
    <w:sectPr w:rsidR="0054436C" w:rsidRPr="00341DF1" w:rsidSect="00034616"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0731047">
    <w:abstractNumId w:val="8"/>
  </w:num>
  <w:num w:numId="2" w16cid:durableId="987827661">
    <w:abstractNumId w:val="6"/>
  </w:num>
  <w:num w:numId="3" w16cid:durableId="1291400574">
    <w:abstractNumId w:val="5"/>
  </w:num>
  <w:num w:numId="4" w16cid:durableId="654800738">
    <w:abstractNumId w:val="4"/>
  </w:num>
  <w:num w:numId="5" w16cid:durableId="738871240">
    <w:abstractNumId w:val="7"/>
  </w:num>
  <w:num w:numId="6" w16cid:durableId="1273395932">
    <w:abstractNumId w:val="3"/>
  </w:num>
  <w:num w:numId="7" w16cid:durableId="585502606">
    <w:abstractNumId w:val="2"/>
  </w:num>
  <w:num w:numId="8" w16cid:durableId="1773821728">
    <w:abstractNumId w:val="1"/>
  </w:num>
  <w:num w:numId="9" w16cid:durableId="15343435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DC8"/>
    <w:rsid w:val="00034616"/>
    <w:rsid w:val="0006063C"/>
    <w:rsid w:val="0015074B"/>
    <w:rsid w:val="00153017"/>
    <w:rsid w:val="0029639D"/>
    <w:rsid w:val="00326F90"/>
    <w:rsid w:val="00341DF1"/>
    <w:rsid w:val="003831F5"/>
    <w:rsid w:val="00386B95"/>
    <w:rsid w:val="0054436C"/>
    <w:rsid w:val="00827B49"/>
    <w:rsid w:val="00AA1D8D"/>
    <w:rsid w:val="00AB2527"/>
    <w:rsid w:val="00B2329C"/>
    <w:rsid w:val="00B47730"/>
    <w:rsid w:val="00CB0664"/>
    <w:rsid w:val="00D478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5D5F12"/>
  <w14:defaultImageDpi w14:val="300"/>
  <w15:docId w15:val="{D87DDF14-DC98-484A-B5EB-1EDDF0F11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eastAsia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eastAsia="Arial" w:hAnsi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478F2"/>
    <w:pPr>
      <w:spacing w:after="0" w:line="240" w:lineRule="auto"/>
    </w:pPr>
    <w:rPr>
      <w:rFonts w:ascii="Arial" w:eastAsia="Arial" w:hAnsi="Arial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equator-network.org/reporting-guidelines/a-consensus-based-checklist-for-reporting-of-survey-studies-cros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1243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EL-OSTA, Austen (IMPERIAL COLLEGE HEALTHCARE NHS TRUST)</cp:lastModifiedBy>
  <cp:revision>4</cp:revision>
  <dcterms:created xsi:type="dcterms:W3CDTF">2013-12-23T23:15:00Z</dcterms:created>
  <dcterms:modified xsi:type="dcterms:W3CDTF">2026-09-15T14:22:00Z</dcterms:modified>
  <cp:category/>
</cp:coreProperties>
</file>