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374F5A" w14:textId="77777777" w:rsidR="00BA38E9" w:rsidRPr="00571285" w:rsidRDefault="00EA661F" w:rsidP="006D0D48"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ascii="Arial" w:hAnsi="Arial" w:cs="Arial"/>
          <w:color w:val="000000" w:themeColor="text1"/>
        </w:rPr>
      </w:pPr>
      <w:r w:rsidRPr="00571285">
        <w:rPr>
          <w:rFonts w:ascii="Arial" w:hAnsi="Arial" w:cs="Arial"/>
          <w:color w:val="000000" w:themeColor="text1"/>
        </w:rPr>
        <w:t>Supplementary File 4. STROBE checklist</w:t>
      </w:r>
    </w:p>
    <w:p w14:paraId="2BEC2D94" w14:textId="77777777" w:rsidR="00BA38E9" w:rsidRPr="00571285" w:rsidRDefault="00EA661F">
      <w:pPr>
        <w:jc w:val="center"/>
        <w:rPr>
          <w:rFonts w:cs="Arial"/>
          <w:color w:val="000000" w:themeColor="text1"/>
        </w:rPr>
      </w:pPr>
      <w:r w:rsidRPr="00571285">
        <w:rPr>
          <w:rFonts w:cs="Arial"/>
          <w:b/>
          <w:color w:val="000000" w:themeColor="text1"/>
        </w:rPr>
        <w:t>Night-shift frequency and loneliness among NHS employees: a multi-site cross-sectional analysis of the INTERACT study</w:t>
      </w:r>
    </w:p>
    <w:p w14:paraId="1E9D403D" w14:textId="77777777" w:rsidR="00BA38E9" w:rsidRPr="00571285" w:rsidRDefault="00EA661F">
      <w:pPr>
        <w:jc w:val="center"/>
        <w:rPr>
          <w:rFonts w:cs="Arial"/>
          <w:color w:val="000000" w:themeColor="text1"/>
        </w:rPr>
      </w:pPr>
      <w:r w:rsidRPr="00571285">
        <w:rPr>
          <w:rFonts w:cs="Arial"/>
          <w:color w:val="000000" w:themeColor="text1"/>
        </w:rPr>
        <w:t>STROBE Statement — cross-sectional studies</w:t>
      </w:r>
    </w:p>
    <w:p w14:paraId="11B623DA" w14:textId="4A09C3FB" w:rsidR="00BA38E9" w:rsidRPr="00571285" w:rsidRDefault="00BA38E9">
      <w:pPr>
        <w:rPr>
          <w:rFonts w:cs="Arial"/>
          <w:color w:val="000000" w:themeColor="text1"/>
        </w:rPr>
      </w:pPr>
    </w:p>
    <w:tbl>
      <w:tblPr>
        <w:tblStyle w:val="TableGrid"/>
        <w:tblW w:w="14256" w:type="dxa"/>
        <w:tblLayout w:type="fixed"/>
        <w:tblLook w:val="04A0" w:firstRow="1" w:lastRow="0" w:firstColumn="1" w:lastColumn="0" w:noHBand="0" w:noVBand="1"/>
      </w:tblPr>
      <w:tblGrid>
        <w:gridCol w:w="1850"/>
        <w:gridCol w:w="650"/>
        <w:gridCol w:w="4200"/>
        <w:gridCol w:w="4956"/>
        <w:gridCol w:w="2600"/>
      </w:tblGrid>
      <w:tr w:rsidR="00BA38E9" w:rsidRPr="00571285" w14:paraId="63B52057" w14:textId="77777777" w:rsidTr="005A61AA">
        <w:trPr>
          <w:cantSplit/>
          <w:tblHeader/>
        </w:trPr>
        <w:tc>
          <w:tcPr>
            <w:tcW w:w="1850" w:type="dxa"/>
          </w:tcPr>
          <w:p w14:paraId="138A24C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b/>
                <w:color w:val="000000" w:themeColor="text1"/>
                <w:sz w:val="14"/>
              </w:rPr>
              <w:t>Section/topic</w:t>
            </w:r>
          </w:p>
        </w:tc>
        <w:tc>
          <w:tcPr>
            <w:tcW w:w="650" w:type="dxa"/>
          </w:tcPr>
          <w:p w14:paraId="35B2DF0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b/>
                <w:color w:val="000000" w:themeColor="text1"/>
                <w:sz w:val="14"/>
              </w:rPr>
              <w:t>Item</w:t>
            </w:r>
          </w:p>
        </w:tc>
        <w:tc>
          <w:tcPr>
            <w:tcW w:w="4200" w:type="dxa"/>
          </w:tcPr>
          <w:p w14:paraId="2A231AD6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b/>
                <w:color w:val="000000" w:themeColor="text1"/>
                <w:sz w:val="14"/>
              </w:rPr>
              <w:t>Recommendation (abbreviated)</w:t>
            </w:r>
          </w:p>
        </w:tc>
        <w:tc>
          <w:tcPr>
            <w:tcW w:w="4956" w:type="dxa"/>
          </w:tcPr>
          <w:p w14:paraId="1FC950E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  <w:sz w:val="14"/>
              </w:rPr>
              <w:t>Reported location</w:t>
            </w:r>
          </w:p>
        </w:tc>
        <w:tc>
          <w:tcPr>
            <w:tcW w:w="2600" w:type="dxa"/>
          </w:tcPr>
          <w:p w14:paraId="093224A9" w14:textId="77777777" w:rsidR="00BA38E9" w:rsidRPr="00571285" w:rsidRDefault="00E35C94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  <w:sz w:val="14"/>
              </w:rPr>
              <w:t>Page number</w:t>
            </w:r>
          </w:p>
        </w:tc>
      </w:tr>
      <w:tr w:rsidR="00BA38E9" w:rsidRPr="00571285" w14:paraId="511DA35F" w14:textId="77777777" w:rsidTr="005A61AA">
        <w:trPr>
          <w:cantSplit/>
        </w:trPr>
        <w:tc>
          <w:tcPr>
            <w:tcW w:w="1850" w:type="dxa"/>
          </w:tcPr>
          <w:p w14:paraId="36A6853E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Title and abstract</w:t>
            </w:r>
          </w:p>
        </w:tc>
        <w:tc>
          <w:tcPr>
            <w:tcW w:w="650" w:type="dxa"/>
          </w:tcPr>
          <w:p w14:paraId="2D527AF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1a</w:t>
            </w:r>
          </w:p>
        </w:tc>
        <w:tc>
          <w:tcPr>
            <w:tcW w:w="4200" w:type="dxa"/>
          </w:tcPr>
          <w:p w14:paraId="5044D8C2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Identify the study design using a commonly used term.</w:t>
            </w:r>
          </w:p>
        </w:tc>
        <w:tc>
          <w:tcPr>
            <w:tcW w:w="4956" w:type="dxa"/>
          </w:tcPr>
          <w:p w14:paraId="7C3C61B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Title; Abstract—Methods</w:t>
            </w:r>
          </w:p>
        </w:tc>
        <w:tc>
          <w:tcPr>
            <w:tcW w:w="2600" w:type="dxa"/>
          </w:tcPr>
          <w:p w14:paraId="337CADA0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1–2</w:t>
            </w:r>
          </w:p>
        </w:tc>
      </w:tr>
      <w:tr w:rsidR="00BA38E9" w:rsidRPr="00571285" w14:paraId="5D80D8CC" w14:textId="77777777" w:rsidTr="005A61AA">
        <w:trPr>
          <w:cantSplit/>
        </w:trPr>
        <w:tc>
          <w:tcPr>
            <w:tcW w:w="1850" w:type="dxa"/>
          </w:tcPr>
          <w:p w14:paraId="791161F4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Title and abstract</w:t>
            </w:r>
          </w:p>
        </w:tc>
        <w:tc>
          <w:tcPr>
            <w:tcW w:w="650" w:type="dxa"/>
          </w:tcPr>
          <w:p w14:paraId="2AE7C3CE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1b</w:t>
            </w:r>
          </w:p>
        </w:tc>
        <w:tc>
          <w:tcPr>
            <w:tcW w:w="4200" w:type="dxa"/>
          </w:tcPr>
          <w:p w14:paraId="184F7A8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Provide a balanced summary of methods and findings.</w:t>
            </w:r>
          </w:p>
        </w:tc>
        <w:tc>
          <w:tcPr>
            <w:tcW w:w="4956" w:type="dxa"/>
          </w:tcPr>
          <w:p w14:paraId="3C1D15F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Abstract</w:t>
            </w:r>
          </w:p>
        </w:tc>
        <w:tc>
          <w:tcPr>
            <w:tcW w:w="2600" w:type="dxa"/>
          </w:tcPr>
          <w:p w14:paraId="42E16F8A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p. 2</w:t>
            </w:r>
          </w:p>
        </w:tc>
      </w:tr>
      <w:tr w:rsidR="00BA38E9" w:rsidRPr="00571285" w14:paraId="3D55F615" w14:textId="77777777" w:rsidTr="005A61AA">
        <w:trPr>
          <w:cantSplit/>
        </w:trPr>
        <w:tc>
          <w:tcPr>
            <w:tcW w:w="1850" w:type="dxa"/>
          </w:tcPr>
          <w:p w14:paraId="3309F7E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Introduction — background</w:t>
            </w:r>
          </w:p>
        </w:tc>
        <w:tc>
          <w:tcPr>
            <w:tcW w:w="650" w:type="dxa"/>
          </w:tcPr>
          <w:p w14:paraId="2077508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2</w:t>
            </w:r>
          </w:p>
        </w:tc>
        <w:tc>
          <w:tcPr>
            <w:tcW w:w="4200" w:type="dxa"/>
          </w:tcPr>
          <w:p w14:paraId="1C59F496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Explain scientific background and rationale.</w:t>
            </w:r>
          </w:p>
        </w:tc>
        <w:tc>
          <w:tcPr>
            <w:tcW w:w="4956" w:type="dxa"/>
          </w:tcPr>
          <w:p w14:paraId="4208DD4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Introduction</w:t>
            </w:r>
          </w:p>
        </w:tc>
        <w:tc>
          <w:tcPr>
            <w:tcW w:w="2600" w:type="dxa"/>
          </w:tcPr>
          <w:p w14:paraId="691DF53C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3–4</w:t>
            </w:r>
          </w:p>
        </w:tc>
      </w:tr>
      <w:tr w:rsidR="00BA38E9" w:rsidRPr="00571285" w14:paraId="3B0A06C2" w14:textId="77777777" w:rsidTr="005A61AA">
        <w:trPr>
          <w:cantSplit/>
        </w:trPr>
        <w:tc>
          <w:tcPr>
            <w:tcW w:w="1850" w:type="dxa"/>
          </w:tcPr>
          <w:p w14:paraId="25CE6410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Introduction — objectives</w:t>
            </w:r>
          </w:p>
        </w:tc>
        <w:tc>
          <w:tcPr>
            <w:tcW w:w="650" w:type="dxa"/>
          </w:tcPr>
          <w:p w14:paraId="79E18AE2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3</w:t>
            </w:r>
          </w:p>
        </w:tc>
        <w:tc>
          <w:tcPr>
            <w:tcW w:w="4200" w:type="dxa"/>
          </w:tcPr>
          <w:p w14:paraId="5C99EE7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State objectives and prespecified hypotheses.</w:t>
            </w:r>
          </w:p>
        </w:tc>
        <w:tc>
          <w:tcPr>
            <w:tcW w:w="4956" w:type="dxa"/>
          </w:tcPr>
          <w:p w14:paraId="185E60D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Introduction, final paragraph</w:t>
            </w:r>
          </w:p>
        </w:tc>
        <w:tc>
          <w:tcPr>
            <w:tcW w:w="2600" w:type="dxa"/>
          </w:tcPr>
          <w:p w14:paraId="77B6CE01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p. 4</w:t>
            </w:r>
          </w:p>
        </w:tc>
      </w:tr>
      <w:tr w:rsidR="00BA38E9" w:rsidRPr="00571285" w14:paraId="7BC3DA51" w14:textId="77777777" w:rsidTr="005A61AA">
        <w:trPr>
          <w:cantSplit/>
        </w:trPr>
        <w:tc>
          <w:tcPr>
            <w:tcW w:w="1850" w:type="dxa"/>
          </w:tcPr>
          <w:p w14:paraId="0AB206D6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study design</w:t>
            </w:r>
          </w:p>
        </w:tc>
        <w:tc>
          <w:tcPr>
            <w:tcW w:w="650" w:type="dxa"/>
          </w:tcPr>
          <w:p w14:paraId="6ABD08B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4</w:t>
            </w:r>
          </w:p>
        </w:tc>
        <w:tc>
          <w:tcPr>
            <w:tcW w:w="4200" w:type="dxa"/>
          </w:tcPr>
          <w:p w14:paraId="710477E5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Present key study-design elements early.</w:t>
            </w:r>
          </w:p>
        </w:tc>
        <w:tc>
          <w:tcPr>
            <w:tcW w:w="4956" w:type="dxa"/>
          </w:tcPr>
          <w:p w14:paraId="53789276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Methods—Study design and reporting</w:t>
            </w:r>
          </w:p>
        </w:tc>
        <w:tc>
          <w:tcPr>
            <w:tcW w:w="2600" w:type="dxa"/>
          </w:tcPr>
          <w:p w14:paraId="5397A5E3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</w:t>
            </w:r>
          </w:p>
        </w:tc>
      </w:tr>
      <w:tr w:rsidR="00BA38E9" w:rsidRPr="00571285" w14:paraId="6972D4EF" w14:textId="77777777" w:rsidTr="005A61AA">
        <w:trPr>
          <w:cantSplit/>
        </w:trPr>
        <w:tc>
          <w:tcPr>
            <w:tcW w:w="1850" w:type="dxa"/>
          </w:tcPr>
          <w:p w14:paraId="239B4200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setting</w:t>
            </w:r>
          </w:p>
        </w:tc>
        <w:tc>
          <w:tcPr>
            <w:tcW w:w="650" w:type="dxa"/>
          </w:tcPr>
          <w:p w14:paraId="163FB51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5</w:t>
            </w:r>
          </w:p>
        </w:tc>
        <w:tc>
          <w:tcPr>
            <w:tcW w:w="4200" w:type="dxa"/>
          </w:tcPr>
          <w:p w14:paraId="251425CE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Describe setting, locations and relevant dates, including recruitment/data-collection periods.</w:t>
            </w:r>
          </w:p>
        </w:tc>
        <w:tc>
          <w:tcPr>
            <w:tcW w:w="4956" w:type="dxa"/>
          </w:tcPr>
          <w:p w14:paraId="10FB0484" w14:textId="02570763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Methods—Study design and reporting (15 April 2025–13 August 2026); Survey measures (three organisations); Table 1 (seven site/service categories)</w:t>
            </w:r>
          </w:p>
        </w:tc>
        <w:tc>
          <w:tcPr>
            <w:tcW w:w="2600" w:type="dxa"/>
          </w:tcPr>
          <w:p w14:paraId="08E8E3AB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4–5, 8</w:t>
            </w:r>
          </w:p>
        </w:tc>
      </w:tr>
      <w:tr w:rsidR="00BA38E9" w:rsidRPr="00571285" w14:paraId="34E48786" w14:textId="77777777" w:rsidTr="005A61AA">
        <w:trPr>
          <w:cantSplit/>
        </w:trPr>
        <w:tc>
          <w:tcPr>
            <w:tcW w:w="1850" w:type="dxa"/>
          </w:tcPr>
          <w:p w14:paraId="755FCF67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participants</w:t>
            </w:r>
          </w:p>
        </w:tc>
        <w:tc>
          <w:tcPr>
            <w:tcW w:w="650" w:type="dxa"/>
          </w:tcPr>
          <w:p w14:paraId="77A4A8E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6a</w:t>
            </w:r>
          </w:p>
        </w:tc>
        <w:tc>
          <w:tcPr>
            <w:tcW w:w="4200" w:type="dxa"/>
          </w:tcPr>
          <w:p w14:paraId="02F0F4A6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Give eligibility criteria and sources/methods of participant selection.</w:t>
            </w:r>
          </w:p>
        </w:tc>
        <w:tc>
          <w:tcPr>
            <w:tcW w:w="4956" w:type="dxa"/>
          </w:tcPr>
          <w:p w14:paraId="70E63D79" w14:textId="5FC3053B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Methods—Source population and analytical sample; Study design and reporting. Staff-specific invitation routes and invitation denominator NR.</w:t>
            </w:r>
          </w:p>
        </w:tc>
        <w:tc>
          <w:tcPr>
            <w:tcW w:w="2600" w:type="dxa"/>
          </w:tcPr>
          <w:p w14:paraId="4BD13B80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</w:t>
            </w:r>
          </w:p>
        </w:tc>
      </w:tr>
      <w:tr w:rsidR="00BA38E9" w:rsidRPr="00571285" w14:paraId="24CE811B" w14:textId="77777777" w:rsidTr="005A61AA">
        <w:trPr>
          <w:cantSplit/>
        </w:trPr>
        <w:tc>
          <w:tcPr>
            <w:tcW w:w="1850" w:type="dxa"/>
          </w:tcPr>
          <w:p w14:paraId="3E2FFA5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variables</w:t>
            </w:r>
          </w:p>
        </w:tc>
        <w:tc>
          <w:tcPr>
            <w:tcW w:w="650" w:type="dxa"/>
          </w:tcPr>
          <w:p w14:paraId="51A3D39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7</w:t>
            </w:r>
          </w:p>
        </w:tc>
        <w:tc>
          <w:tcPr>
            <w:tcW w:w="4200" w:type="dxa"/>
          </w:tcPr>
          <w:p w14:paraId="14F8341A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Define outcomes, exposures, predictors, confounders and effect modifiers.</w:t>
            </w:r>
          </w:p>
        </w:tc>
        <w:tc>
          <w:tcPr>
            <w:tcW w:w="4956" w:type="dxa"/>
          </w:tcPr>
          <w:p w14:paraId="10F3756E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Methods—Survey measures through Covariates; Supplementary File 2, Table S2</w:t>
            </w:r>
          </w:p>
        </w:tc>
        <w:tc>
          <w:tcPr>
            <w:tcW w:w="2600" w:type="dxa"/>
          </w:tcPr>
          <w:p w14:paraId="66ECC856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5–6; SF2 pp. 2–3</w:t>
            </w:r>
          </w:p>
        </w:tc>
      </w:tr>
      <w:tr w:rsidR="00BA38E9" w:rsidRPr="00571285" w14:paraId="065890F0" w14:textId="77777777" w:rsidTr="005A61AA">
        <w:trPr>
          <w:cantSplit/>
        </w:trPr>
        <w:tc>
          <w:tcPr>
            <w:tcW w:w="1850" w:type="dxa"/>
          </w:tcPr>
          <w:p w14:paraId="213BB7E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data sources/measurement</w:t>
            </w:r>
          </w:p>
        </w:tc>
        <w:tc>
          <w:tcPr>
            <w:tcW w:w="650" w:type="dxa"/>
          </w:tcPr>
          <w:p w14:paraId="0B0C1E7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8</w:t>
            </w:r>
          </w:p>
        </w:tc>
        <w:tc>
          <w:tcPr>
            <w:tcW w:w="4200" w:type="dxa"/>
          </w:tcPr>
          <w:p w14:paraId="6AF9C8D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Describe data sources and measurement methods for variables of interest.</w:t>
            </w:r>
          </w:p>
        </w:tc>
        <w:tc>
          <w:tcPr>
            <w:tcW w:w="4956" w:type="dxa"/>
          </w:tcPr>
          <w:p w14:paraId="0B9AEBDA" w14:textId="0F9025CC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Methods—Survey measures through Exploratory pathway variables; Supplementary File 1; Supplementary File 2, Tables S2–S3. Cross-site questionnaire equivalence not established.</w:t>
            </w:r>
          </w:p>
        </w:tc>
        <w:tc>
          <w:tcPr>
            <w:tcW w:w="2600" w:type="dxa"/>
          </w:tcPr>
          <w:p w14:paraId="5156B487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5–6; SF1 pp. 1–3; SF2 pp. 2–3</w:t>
            </w:r>
          </w:p>
        </w:tc>
      </w:tr>
      <w:tr w:rsidR="00BA38E9" w:rsidRPr="00571285" w14:paraId="671D67F8" w14:textId="77777777" w:rsidTr="005A61AA">
        <w:trPr>
          <w:cantSplit/>
        </w:trPr>
        <w:tc>
          <w:tcPr>
            <w:tcW w:w="1850" w:type="dxa"/>
          </w:tcPr>
          <w:p w14:paraId="0EBCFE43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bias</w:t>
            </w:r>
          </w:p>
        </w:tc>
        <w:tc>
          <w:tcPr>
            <w:tcW w:w="650" w:type="dxa"/>
          </w:tcPr>
          <w:p w14:paraId="0373173A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9</w:t>
            </w:r>
          </w:p>
        </w:tc>
        <w:tc>
          <w:tcPr>
            <w:tcW w:w="4200" w:type="dxa"/>
          </w:tcPr>
          <w:p w14:paraId="714EB91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Describe efforts to address potential sources of bias.</w:t>
            </w:r>
          </w:p>
        </w:tc>
        <w:tc>
          <w:tcPr>
            <w:tcW w:w="4956" w:type="dxa"/>
          </w:tcPr>
          <w:p w14:paraId="741FFAA6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Methods—Covariates and Statistical analysis; Discussion—Strengths and limitations</w:t>
            </w:r>
          </w:p>
        </w:tc>
        <w:tc>
          <w:tcPr>
            <w:tcW w:w="2600" w:type="dxa"/>
          </w:tcPr>
          <w:p w14:paraId="09DFBB34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6–7, 17–18</w:t>
            </w:r>
          </w:p>
        </w:tc>
      </w:tr>
      <w:tr w:rsidR="00BA38E9" w:rsidRPr="00571285" w14:paraId="3424A558" w14:textId="77777777" w:rsidTr="005A61AA">
        <w:trPr>
          <w:cantSplit/>
        </w:trPr>
        <w:tc>
          <w:tcPr>
            <w:tcW w:w="1850" w:type="dxa"/>
          </w:tcPr>
          <w:p w14:paraId="6E2A8A2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study size</w:t>
            </w:r>
          </w:p>
        </w:tc>
        <w:tc>
          <w:tcPr>
            <w:tcW w:w="650" w:type="dxa"/>
          </w:tcPr>
          <w:p w14:paraId="7102098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10</w:t>
            </w:r>
          </w:p>
        </w:tc>
        <w:tc>
          <w:tcPr>
            <w:tcW w:w="4200" w:type="dxa"/>
          </w:tcPr>
          <w:p w14:paraId="76353FE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Explain how study size was determined.</w:t>
            </w:r>
          </w:p>
        </w:tc>
        <w:tc>
          <w:tcPr>
            <w:tcW w:w="4956" w:type="dxa"/>
          </w:tcPr>
          <w:p w14:paraId="73E1B7D1" w14:textId="2806C8F2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Methods—Source population and analytical sample: available records meeting eligibility and complete-case criteria; no a priori sample-size calculation reported.</w:t>
            </w:r>
          </w:p>
        </w:tc>
        <w:tc>
          <w:tcPr>
            <w:tcW w:w="2600" w:type="dxa"/>
          </w:tcPr>
          <w:p w14:paraId="3555B59A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p. 5</w:t>
            </w:r>
          </w:p>
        </w:tc>
      </w:tr>
      <w:tr w:rsidR="00BA38E9" w:rsidRPr="00571285" w14:paraId="7AEE269D" w14:textId="77777777" w:rsidTr="005A61AA">
        <w:trPr>
          <w:cantSplit/>
        </w:trPr>
        <w:tc>
          <w:tcPr>
            <w:tcW w:w="1850" w:type="dxa"/>
          </w:tcPr>
          <w:p w14:paraId="7CE7F6F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quantitative variables</w:t>
            </w:r>
          </w:p>
        </w:tc>
        <w:tc>
          <w:tcPr>
            <w:tcW w:w="650" w:type="dxa"/>
          </w:tcPr>
          <w:p w14:paraId="69FB0F77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11</w:t>
            </w:r>
          </w:p>
        </w:tc>
        <w:tc>
          <w:tcPr>
            <w:tcW w:w="4200" w:type="dxa"/>
          </w:tcPr>
          <w:p w14:paraId="5F8D340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Explain handling/grouping of quantitative variables.</w:t>
            </w:r>
          </w:p>
        </w:tc>
        <w:tc>
          <w:tcPr>
            <w:tcW w:w="4956" w:type="dxa"/>
          </w:tcPr>
          <w:p w14:paraId="4712BF2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Methods—Exposure and Survey measures; Supplementary File 2, Tables S2–S3</w:t>
            </w:r>
          </w:p>
        </w:tc>
        <w:tc>
          <w:tcPr>
            <w:tcW w:w="2600" w:type="dxa"/>
          </w:tcPr>
          <w:p w14:paraId="353CDCC4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p. 5; SF2 pp. 2–3</w:t>
            </w:r>
          </w:p>
        </w:tc>
      </w:tr>
      <w:tr w:rsidR="00BA38E9" w:rsidRPr="00571285" w14:paraId="4D3930EF" w14:textId="77777777" w:rsidTr="005A61AA">
        <w:trPr>
          <w:cantSplit/>
        </w:trPr>
        <w:tc>
          <w:tcPr>
            <w:tcW w:w="1850" w:type="dxa"/>
          </w:tcPr>
          <w:p w14:paraId="1D4C45F4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statistical methods</w:t>
            </w:r>
          </w:p>
        </w:tc>
        <w:tc>
          <w:tcPr>
            <w:tcW w:w="650" w:type="dxa"/>
          </w:tcPr>
          <w:p w14:paraId="1224714B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12a</w:t>
            </w:r>
          </w:p>
        </w:tc>
        <w:tc>
          <w:tcPr>
            <w:tcW w:w="4200" w:type="dxa"/>
          </w:tcPr>
          <w:p w14:paraId="1B1B00F2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Describe statistical methods, including control of confounding.</w:t>
            </w:r>
          </w:p>
        </w:tc>
        <w:tc>
          <w:tcPr>
            <w:tcW w:w="4956" w:type="dxa"/>
          </w:tcPr>
          <w:p w14:paraId="76000E5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Methods—Covariates through Missing data and statistical software</w:t>
            </w:r>
          </w:p>
        </w:tc>
        <w:tc>
          <w:tcPr>
            <w:tcW w:w="2600" w:type="dxa"/>
          </w:tcPr>
          <w:p w14:paraId="7B32216C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</w:t>
            </w:r>
          </w:p>
        </w:tc>
      </w:tr>
      <w:tr w:rsidR="00BA38E9" w:rsidRPr="00571285" w14:paraId="21F6AB5C" w14:textId="77777777" w:rsidTr="005A61AA">
        <w:trPr>
          <w:cantSplit/>
        </w:trPr>
        <w:tc>
          <w:tcPr>
            <w:tcW w:w="1850" w:type="dxa"/>
          </w:tcPr>
          <w:p w14:paraId="26170EA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statistical methods</w:t>
            </w:r>
          </w:p>
        </w:tc>
        <w:tc>
          <w:tcPr>
            <w:tcW w:w="650" w:type="dxa"/>
          </w:tcPr>
          <w:p w14:paraId="5D9AD21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12b</w:t>
            </w:r>
          </w:p>
        </w:tc>
        <w:tc>
          <w:tcPr>
            <w:tcW w:w="4200" w:type="dxa"/>
          </w:tcPr>
          <w:p w14:paraId="177BCFD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Describe methods for subgroup/interactions.</w:t>
            </w:r>
          </w:p>
        </w:tc>
        <w:tc>
          <w:tcPr>
            <w:tcW w:w="4956" w:type="dxa"/>
          </w:tcPr>
          <w:p w14:paraId="03E1707B" w14:textId="2757AA7B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Not applicable: no subgroup or interaction analyses reported.</w:t>
            </w:r>
          </w:p>
        </w:tc>
        <w:tc>
          <w:tcPr>
            <w:tcW w:w="2600" w:type="dxa"/>
          </w:tcPr>
          <w:p w14:paraId="7AA4DE72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N/A</w:t>
            </w:r>
          </w:p>
        </w:tc>
      </w:tr>
      <w:tr w:rsidR="00BA38E9" w:rsidRPr="00571285" w14:paraId="01DAF02A" w14:textId="77777777" w:rsidTr="005A61AA">
        <w:trPr>
          <w:cantSplit/>
        </w:trPr>
        <w:tc>
          <w:tcPr>
            <w:tcW w:w="1850" w:type="dxa"/>
          </w:tcPr>
          <w:p w14:paraId="0F18AA23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statistical methods</w:t>
            </w:r>
          </w:p>
        </w:tc>
        <w:tc>
          <w:tcPr>
            <w:tcW w:w="650" w:type="dxa"/>
          </w:tcPr>
          <w:p w14:paraId="4043BFA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12c</w:t>
            </w:r>
          </w:p>
        </w:tc>
        <w:tc>
          <w:tcPr>
            <w:tcW w:w="4200" w:type="dxa"/>
          </w:tcPr>
          <w:p w14:paraId="021C59B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Explain handling of missing data.</w:t>
            </w:r>
          </w:p>
        </w:tc>
        <w:tc>
          <w:tcPr>
            <w:tcW w:w="4956" w:type="dxa"/>
          </w:tcPr>
          <w:p w14:paraId="14A97D9F" w14:textId="6933FDDC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Methods—Exploratory pathway variables (all three emotional-exhaustion items required) and Missing data and statistical software; Supplementary File 2</w:t>
            </w:r>
          </w:p>
        </w:tc>
        <w:tc>
          <w:tcPr>
            <w:tcW w:w="2600" w:type="dxa"/>
          </w:tcPr>
          <w:p w14:paraId="4544F795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6–7; SF2 pp. 2, 4–8</w:t>
            </w:r>
          </w:p>
        </w:tc>
      </w:tr>
      <w:tr w:rsidR="00BA38E9" w:rsidRPr="00571285" w14:paraId="6AE7EF6E" w14:textId="77777777" w:rsidTr="005A61AA">
        <w:trPr>
          <w:cantSplit/>
        </w:trPr>
        <w:tc>
          <w:tcPr>
            <w:tcW w:w="1850" w:type="dxa"/>
          </w:tcPr>
          <w:p w14:paraId="473C375A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statistical methods</w:t>
            </w:r>
          </w:p>
        </w:tc>
        <w:tc>
          <w:tcPr>
            <w:tcW w:w="650" w:type="dxa"/>
          </w:tcPr>
          <w:p w14:paraId="6C24451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12d</w:t>
            </w:r>
          </w:p>
        </w:tc>
        <w:tc>
          <w:tcPr>
            <w:tcW w:w="4200" w:type="dxa"/>
          </w:tcPr>
          <w:p w14:paraId="467BB2EA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Describe methods accounting for sampling strategy, if applicable.</w:t>
            </w:r>
          </w:p>
        </w:tc>
        <w:tc>
          <w:tcPr>
            <w:tcW w:w="4956" w:type="dxa"/>
          </w:tcPr>
          <w:p w14:paraId="128B84F7" w14:textId="0A9EBE36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Methods—Study design and reporting; Discussion—Strengths and limitations. No weighting reported; site indicators and HC3 do not account for within-site dependence.</w:t>
            </w:r>
          </w:p>
        </w:tc>
        <w:tc>
          <w:tcPr>
            <w:tcW w:w="2600" w:type="dxa"/>
          </w:tcPr>
          <w:p w14:paraId="0D78B5ED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4–5, 18</w:t>
            </w:r>
          </w:p>
        </w:tc>
      </w:tr>
      <w:tr w:rsidR="00BA38E9" w:rsidRPr="00571285" w14:paraId="36ED2BC2" w14:textId="77777777" w:rsidTr="005A61AA">
        <w:trPr>
          <w:cantSplit/>
        </w:trPr>
        <w:tc>
          <w:tcPr>
            <w:tcW w:w="1850" w:type="dxa"/>
          </w:tcPr>
          <w:p w14:paraId="5ED940DA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Methods — statistical methods</w:t>
            </w:r>
          </w:p>
        </w:tc>
        <w:tc>
          <w:tcPr>
            <w:tcW w:w="650" w:type="dxa"/>
          </w:tcPr>
          <w:p w14:paraId="4F99C8A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12e</w:t>
            </w:r>
          </w:p>
        </w:tc>
        <w:tc>
          <w:tcPr>
            <w:tcW w:w="4200" w:type="dxa"/>
          </w:tcPr>
          <w:p w14:paraId="59B2B5B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Describe sensitivity analyses.</w:t>
            </w:r>
          </w:p>
        </w:tc>
        <w:tc>
          <w:tcPr>
            <w:tcW w:w="4956" w:type="dxa"/>
          </w:tcPr>
          <w:p w14:paraId="37F2C0B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Methods—Secondary and sensitivity analyses; Results—Association between night-shift frequency and loneliness</w:t>
            </w:r>
          </w:p>
        </w:tc>
        <w:tc>
          <w:tcPr>
            <w:tcW w:w="2600" w:type="dxa"/>
          </w:tcPr>
          <w:p w14:paraId="76D72681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7, 10–11</w:t>
            </w:r>
          </w:p>
        </w:tc>
      </w:tr>
      <w:tr w:rsidR="00BA38E9" w:rsidRPr="00571285" w14:paraId="7562039E" w14:textId="77777777" w:rsidTr="005A61AA">
        <w:trPr>
          <w:cantSplit/>
        </w:trPr>
        <w:tc>
          <w:tcPr>
            <w:tcW w:w="1850" w:type="dxa"/>
          </w:tcPr>
          <w:p w14:paraId="43B485E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participants</w:t>
            </w:r>
          </w:p>
        </w:tc>
        <w:tc>
          <w:tcPr>
            <w:tcW w:w="650" w:type="dxa"/>
          </w:tcPr>
          <w:p w14:paraId="7F827D6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13a</w:t>
            </w:r>
          </w:p>
        </w:tc>
        <w:tc>
          <w:tcPr>
            <w:tcW w:w="4200" w:type="dxa"/>
          </w:tcPr>
          <w:p w14:paraId="4C11F45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Report numbers at each stage.</w:t>
            </w:r>
          </w:p>
        </w:tc>
        <w:tc>
          <w:tcPr>
            <w:tcW w:w="4956" w:type="dxa"/>
          </w:tcPr>
          <w:p w14:paraId="67D7ADA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Results—Participant flow and night-shift exposure; Supplementary File 2, Figure S1 and Table S1</w:t>
            </w:r>
          </w:p>
        </w:tc>
        <w:tc>
          <w:tcPr>
            <w:tcW w:w="2600" w:type="dxa"/>
          </w:tcPr>
          <w:p w14:paraId="582DF021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p. 8; SF2 pp. 1–2</w:t>
            </w:r>
          </w:p>
        </w:tc>
      </w:tr>
      <w:tr w:rsidR="00BA38E9" w:rsidRPr="00571285" w14:paraId="0492F004" w14:textId="77777777" w:rsidTr="005A61AA">
        <w:trPr>
          <w:cantSplit/>
        </w:trPr>
        <w:tc>
          <w:tcPr>
            <w:tcW w:w="1850" w:type="dxa"/>
          </w:tcPr>
          <w:p w14:paraId="4C31B83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participants</w:t>
            </w:r>
          </w:p>
        </w:tc>
        <w:tc>
          <w:tcPr>
            <w:tcW w:w="650" w:type="dxa"/>
          </w:tcPr>
          <w:p w14:paraId="2A75CEF5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13b</w:t>
            </w:r>
          </w:p>
        </w:tc>
        <w:tc>
          <w:tcPr>
            <w:tcW w:w="4200" w:type="dxa"/>
          </w:tcPr>
          <w:p w14:paraId="04915BD5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Give reasons for non-participation at each stage, where possible.</w:t>
            </w:r>
          </w:p>
        </w:tc>
        <w:tc>
          <w:tcPr>
            <w:tcW w:w="4956" w:type="dxa"/>
          </w:tcPr>
          <w:p w14:paraId="577CB126" w14:textId="3960153B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Methods—Source population and Missing data; Results—Participant flow; Supplementary File 2, Table S1. Covariate exclusions reported; reasons for earlier non-participation NR.</w:t>
            </w:r>
          </w:p>
        </w:tc>
        <w:tc>
          <w:tcPr>
            <w:tcW w:w="2600" w:type="dxa"/>
          </w:tcPr>
          <w:p w14:paraId="65A4F68A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5, 7–8; SF2 p. 2</w:t>
            </w:r>
          </w:p>
        </w:tc>
      </w:tr>
      <w:tr w:rsidR="00BA38E9" w:rsidRPr="00571285" w14:paraId="4C3F6243" w14:textId="77777777" w:rsidTr="005A61AA">
        <w:trPr>
          <w:cantSplit/>
        </w:trPr>
        <w:tc>
          <w:tcPr>
            <w:tcW w:w="1850" w:type="dxa"/>
          </w:tcPr>
          <w:p w14:paraId="140E81C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participants</w:t>
            </w:r>
          </w:p>
        </w:tc>
        <w:tc>
          <w:tcPr>
            <w:tcW w:w="650" w:type="dxa"/>
          </w:tcPr>
          <w:p w14:paraId="0B965FBB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13c</w:t>
            </w:r>
          </w:p>
        </w:tc>
        <w:tc>
          <w:tcPr>
            <w:tcW w:w="4200" w:type="dxa"/>
          </w:tcPr>
          <w:p w14:paraId="22E33CA3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Consider a flow diagram.</w:t>
            </w:r>
          </w:p>
        </w:tc>
        <w:tc>
          <w:tcPr>
            <w:tcW w:w="4956" w:type="dxa"/>
          </w:tcPr>
          <w:p w14:paraId="0299F96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Supplementary File 2, Figure S1</w:t>
            </w:r>
          </w:p>
        </w:tc>
        <w:tc>
          <w:tcPr>
            <w:tcW w:w="2600" w:type="dxa"/>
          </w:tcPr>
          <w:p w14:paraId="6802BDFC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SF2 p. 1</w:t>
            </w:r>
          </w:p>
        </w:tc>
      </w:tr>
      <w:tr w:rsidR="00BA38E9" w:rsidRPr="00571285" w14:paraId="2969CDA7" w14:textId="77777777" w:rsidTr="005A61AA">
        <w:trPr>
          <w:cantSplit/>
        </w:trPr>
        <w:tc>
          <w:tcPr>
            <w:tcW w:w="1850" w:type="dxa"/>
          </w:tcPr>
          <w:p w14:paraId="36A97C88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descriptive data</w:t>
            </w:r>
          </w:p>
        </w:tc>
        <w:tc>
          <w:tcPr>
            <w:tcW w:w="650" w:type="dxa"/>
          </w:tcPr>
          <w:p w14:paraId="1F1B3F3B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14a</w:t>
            </w:r>
          </w:p>
        </w:tc>
        <w:tc>
          <w:tcPr>
            <w:tcW w:w="4200" w:type="dxa"/>
          </w:tcPr>
          <w:p w14:paraId="73557B65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Give participant characteristics and information on exposures/confounders.</w:t>
            </w:r>
          </w:p>
        </w:tc>
        <w:tc>
          <w:tcPr>
            <w:tcW w:w="4956" w:type="dxa"/>
          </w:tcPr>
          <w:p w14:paraId="316BBE0A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Results—Participant characteristics; Table 1; Supplementary File 2, Table S4</w:t>
            </w:r>
          </w:p>
        </w:tc>
        <w:tc>
          <w:tcPr>
            <w:tcW w:w="2600" w:type="dxa"/>
          </w:tcPr>
          <w:p w14:paraId="0D665223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8–9; SF2 pp. 4–8</w:t>
            </w:r>
          </w:p>
        </w:tc>
      </w:tr>
      <w:tr w:rsidR="00BA38E9" w:rsidRPr="00571285" w14:paraId="77661D04" w14:textId="77777777" w:rsidTr="005A61AA">
        <w:trPr>
          <w:cantSplit/>
        </w:trPr>
        <w:tc>
          <w:tcPr>
            <w:tcW w:w="1850" w:type="dxa"/>
          </w:tcPr>
          <w:p w14:paraId="5B033757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descriptive data</w:t>
            </w:r>
          </w:p>
        </w:tc>
        <w:tc>
          <w:tcPr>
            <w:tcW w:w="650" w:type="dxa"/>
          </w:tcPr>
          <w:p w14:paraId="256EDCD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14b</w:t>
            </w:r>
          </w:p>
        </w:tc>
        <w:tc>
          <w:tcPr>
            <w:tcW w:w="4200" w:type="dxa"/>
          </w:tcPr>
          <w:p w14:paraId="291C2FCE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Indicate number with missing data for each variable.</w:t>
            </w:r>
          </w:p>
        </w:tc>
        <w:tc>
          <w:tcPr>
            <w:tcW w:w="4956" w:type="dxa"/>
          </w:tcPr>
          <w:p w14:paraId="3962AEAE" w14:textId="22023721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Methods—Exploratory pathway variables and Missing data; Table 2 (measure- and group-specific denominators); Supplementary File 2, Tables S1/S4. Item counts in S4 concern N=809.</w:t>
            </w:r>
          </w:p>
        </w:tc>
        <w:tc>
          <w:tcPr>
            <w:tcW w:w="2600" w:type="dxa"/>
          </w:tcPr>
          <w:p w14:paraId="19D40F92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6–7, 10; SF2 pp. 2, 4–8</w:t>
            </w:r>
          </w:p>
        </w:tc>
      </w:tr>
      <w:tr w:rsidR="00BA38E9" w:rsidRPr="00571285" w14:paraId="556027B4" w14:textId="77777777" w:rsidTr="005A61AA">
        <w:trPr>
          <w:cantSplit/>
        </w:trPr>
        <w:tc>
          <w:tcPr>
            <w:tcW w:w="1850" w:type="dxa"/>
          </w:tcPr>
          <w:p w14:paraId="23741F83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outcome data</w:t>
            </w:r>
          </w:p>
        </w:tc>
        <w:tc>
          <w:tcPr>
            <w:tcW w:w="650" w:type="dxa"/>
          </w:tcPr>
          <w:p w14:paraId="38E99E36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15</w:t>
            </w:r>
          </w:p>
        </w:tc>
        <w:tc>
          <w:tcPr>
            <w:tcW w:w="4200" w:type="dxa"/>
          </w:tcPr>
          <w:p w14:paraId="75674B3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Report outcome data / summary measures.</w:t>
            </w:r>
          </w:p>
        </w:tc>
        <w:tc>
          <w:tcPr>
            <w:tcW w:w="4956" w:type="dxa"/>
          </w:tcPr>
          <w:p w14:paraId="16BE6A42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Results—Loneliness and related survey findings; Table 2; Supplementary File 2, Table S4</w:t>
            </w:r>
          </w:p>
        </w:tc>
        <w:tc>
          <w:tcPr>
            <w:tcW w:w="2600" w:type="dxa"/>
          </w:tcPr>
          <w:p w14:paraId="21FF2CA3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9–10; SF2 pp. 4–8</w:t>
            </w:r>
          </w:p>
        </w:tc>
      </w:tr>
      <w:tr w:rsidR="00BA38E9" w:rsidRPr="00571285" w14:paraId="3DD494AA" w14:textId="77777777" w:rsidTr="005A61AA">
        <w:trPr>
          <w:cantSplit/>
        </w:trPr>
        <w:tc>
          <w:tcPr>
            <w:tcW w:w="1850" w:type="dxa"/>
          </w:tcPr>
          <w:p w14:paraId="64E010F6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main results</w:t>
            </w:r>
          </w:p>
        </w:tc>
        <w:tc>
          <w:tcPr>
            <w:tcW w:w="650" w:type="dxa"/>
          </w:tcPr>
          <w:p w14:paraId="02F78EC7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16a</w:t>
            </w:r>
          </w:p>
        </w:tc>
        <w:tc>
          <w:tcPr>
            <w:tcW w:w="4200" w:type="dxa"/>
          </w:tcPr>
          <w:p w14:paraId="6E2D20D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Give unadjusted and adjusted estimates with precision; identify confounders adjusted for.</w:t>
            </w:r>
          </w:p>
        </w:tc>
        <w:tc>
          <w:tcPr>
            <w:tcW w:w="4956" w:type="dxa"/>
          </w:tcPr>
          <w:p w14:paraId="54529D72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Results—Association between night-shift frequency and loneliness; Table 3</w:t>
            </w:r>
          </w:p>
        </w:tc>
        <w:tc>
          <w:tcPr>
            <w:tcW w:w="2600" w:type="dxa"/>
          </w:tcPr>
          <w:p w14:paraId="006F030C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10–11</w:t>
            </w:r>
          </w:p>
        </w:tc>
      </w:tr>
      <w:tr w:rsidR="00BA38E9" w:rsidRPr="00571285" w14:paraId="5A18961F" w14:textId="77777777" w:rsidTr="005A61AA">
        <w:trPr>
          <w:cantSplit/>
        </w:trPr>
        <w:tc>
          <w:tcPr>
            <w:tcW w:w="1850" w:type="dxa"/>
          </w:tcPr>
          <w:p w14:paraId="1F58052B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lastRenderedPageBreak/>
              <w:t>Results — main results</w:t>
            </w:r>
          </w:p>
        </w:tc>
        <w:tc>
          <w:tcPr>
            <w:tcW w:w="650" w:type="dxa"/>
          </w:tcPr>
          <w:p w14:paraId="0ECB058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16b</w:t>
            </w:r>
          </w:p>
        </w:tc>
        <w:tc>
          <w:tcPr>
            <w:tcW w:w="4200" w:type="dxa"/>
          </w:tcPr>
          <w:p w14:paraId="1DA0141D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Report category boundaries when continuous variables are categorised.</w:t>
            </w:r>
          </w:p>
        </w:tc>
        <w:tc>
          <w:tcPr>
            <w:tcW w:w="4956" w:type="dxa"/>
          </w:tcPr>
          <w:p w14:paraId="213070FB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Methods—Exposure; Tables 1–3; Supplementary File 1, Q15</w:t>
            </w:r>
          </w:p>
        </w:tc>
        <w:tc>
          <w:tcPr>
            <w:tcW w:w="2600" w:type="dxa"/>
          </w:tcPr>
          <w:p w14:paraId="5A6B1BDB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5, 8–10; SF1 p. 2</w:t>
            </w:r>
          </w:p>
        </w:tc>
      </w:tr>
      <w:tr w:rsidR="00BA38E9" w:rsidRPr="00571285" w14:paraId="21F1E590" w14:textId="77777777" w:rsidTr="005A61AA">
        <w:trPr>
          <w:cantSplit/>
        </w:trPr>
        <w:tc>
          <w:tcPr>
            <w:tcW w:w="1850" w:type="dxa"/>
          </w:tcPr>
          <w:p w14:paraId="7C43FCD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main results</w:t>
            </w:r>
          </w:p>
        </w:tc>
        <w:tc>
          <w:tcPr>
            <w:tcW w:w="650" w:type="dxa"/>
          </w:tcPr>
          <w:p w14:paraId="5749008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16c</w:t>
            </w:r>
          </w:p>
        </w:tc>
        <w:tc>
          <w:tcPr>
            <w:tcW w:w="4200" w:type="dxa"/>
          </w:tcPr>
          <w:p w14:paraId="26A53AB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Translate relative risk estimates to absolute risk where relevant.</w:t>
            </w:r>
          </w:p>
        </w:tc>
        <w:tc>
          <w:tcPr>
            <w:tcW w:w="4956" w:type="dxa"/>
          </w:tcPr>
          <w:p w14:paraId="2BC96C5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Not applicable</w:t>
            </w:r>
          </w:p>
        </w:tc>
        <w:tc>
          <w:tcPr>
            <w:tcW w:w="2600" w:type="dxa"/>
          </w:tcPr>
          <w:p w14:paraId="694F4AB5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N/A</w:t>
            </w:r>
          </w:p>
        </w:tc>
      </w:tr>
      <w:tr w:rsidR="00BA38E9" w:rsidRPr="00571285" w14:paraId="269CCEA2" w14:textId="77777777" w:rsidTr="005A61AA">
        <w:trPr>
          <w:cantSplit/>
        </w:trPr>
        <w:tc>
          <w:tcPr>
            <w:tcW w:w="1850" w:type="dxa"/>
          </w:tcPr>
          <w:p w14:paraId="580076B0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Results — other analyses</w:t>
            </w:r>
          </w:p>
        </w:tc>
        <w:tc>
          <w:tcPr>
            <w:tcW w:w="650" w:type="dxa"/>
          </w:tcPr>
          <w:p w14:paraId="24D632AE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17</w:t>
            </w:r>
          </w:p>
        </w:tc>
        <w:tc>
          <w:tcPr>
            <w:tcW w:w="4200" w:type="dxa"/>
          </w:tcPr>
          <w:p w14:paraId="4862F08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Report other analyses, e.g., sensitivity analyses.</w:t>
            </w:r>
          </w:p>
        </w:tc>
        <w:tc>
          <w:tcPr>
            <w:tcW w:w="4956" w:type="dxa"/>
          </w:tcPr>
          <w:p w14:paraId="16B2A1D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Results—Association between night-shift frequency and loneliness and Exploratory pathway analyses; Table 4; Figures 1–2</w:t>
            </w:r>
          </w:p>
        </w:tc>
        <w:tc>
          <w:tcPr>
            <w:tcW w:w="2600" w:type="dxa"/>
          </w:tcPr>
          <w:p w14:paraId="5DF8A347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10–13</w:t>
            </w:r>
          </w:p>
        </w:tc>
      </w:tr>
      <w:tr w:rsidR="00BA38E9" w:rsidRPr="00571285" w14:paraId="092EC1AB" w14:textId="77777777" w:rsidTr="005A61AA">
        <w:trPr>
          <w:cantSplit/>
        </w:trPr>
        <w:tc>
          <w:tcPr>
            <w:tcW w:w="1850" w:type="dxa"/>
          </w:tcPr>
          <w:p w14:paraId="68AFEFA5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Discussion — key results</w:t>
            </w:r>
          </w:p>
        </w:tc>
        <w:tc>
          <w:tcPr>
            <w:tcW w:w="650" w:type="dxa"/>
          </w:tcPr>
          <w:p w14:paraId="40898221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18</w:t>
            </w:r>
          </w:p>
        </w:tc>
        <w:tc>
          <w:tcPr>
            <w:tcW w:w="4200" w:type="dxa"/>
          </w:tcPr>
          <w:p w14:paraId="7652091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Summarise key results with reference to objectives.</w:t>
            </w:r>
          </w:p>
        </w:tc>
        <w:tc>
          <w:tcPr>
            <w:tcW w:w="4956" w:type="dxa"/>
          </w:tcPr>
          <w:p w14:paraId="4434E1F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Discussion—Principal findings</w:t>
            </w:r>
          </w:p>
        </w:tc>
        <w:tc>
          <w:tcPr>
            <w:tcW w:w="2600" w:type="dxa"/>
          </w:tcPr>
          <w:p w14:paraId="3BCED784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13–14</w:t>
            </w:r>
          </w:p>
        </w:tc>
      </w:tr>
      <w:tr w:rsidR="00BA38E9" w:rsidRPr="00571285" w14:paraId="2484321D" w14:textId="77777777" w:rsidTr="005A61AA">
        <w:trPr>
          <w:cantSplit/>
        </w:trPr>
        <w:tc>
          <w:tcPr>
            <w:tcW w:w="1850" w:type="dxa"/>
          </w:tcPr>
          <w:p w14:paraId="61C86103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Discussion — limitations</w:t>
            </w:r>
          </w:p>
        </w:tc>
        <w:tc>
          <w:tcPr>
            <w:tcW w:w="650" w:type="dxa"/>
          </w:tcPr>
          <w:p w14:paraId="5F3E8A27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19</w:t>
            </w:r>
          </w:p>
        </w:tc>
        <w:tc>
          <w:tcPr>
            <w:tcW w:w="4200" w:type="dxa"/>
          </w:tcPr>
          <w:p w14:paraId="7D46E0BE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Discuss limitations, including direction/magnitude of potential bias/imprecision.</w:t>
            </w:r>
          </w:p>
        </w:tc>
        <w:tc>
          <w:tcPr>
            <w:tcW w:w="4956" w:type="dxa"/>
          </w:tcPr>
          <w:p w14:paraId="2328CC6A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Discussion—Strengths and limitations; Interpretation of the pathway analyses</w:t>
            </w:r>
          </w:p>
        </w:tc>
        <w:tc>
          <w:tcPr>
            <w:tcW w:w="2600" w:type="dxa"/>
          </w:tcPr>
          <w:p w14:paraId="6F36CDDB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16–18</w:t>
            </w:r>
          </w:p>
        </w:tc>
      </w:tr>
      <w:tr w:rsidR="00BA38E9" w:rsidRPr="00571285" w14:paraId="4720D279" w14:textId="77777777" w:rsidTr="005A61AA">
        <w:trPr>
          <w:cantSplit/>
        </w:trPr>
        <w:tc>
          <w:tcPr>
            <w:tcW w:w="1850" w:type="dxa"/>
          </w:tcPr>
          <w:p w14:paraId="7E83370E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Discussion — interpretation</w:t>
            </w:r>
          </w:p>
        </w:tc>
        <w:tc>
          <w:tcPr>
            <w:tcW w:w="650" w:type="dxa"/>
          </w:tcPr>
          <w:p w14:paraId="0AE420F4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20</w:t>
            </w:r>
          </w:p>
        </w:tc>
        <w:tc>
          <w:tcPr>
            <w:tcW w:w="4200" w:type="dxa"/>
          </w:tcPr>
          <w:p w14:paraId="6CD0F6B2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Provide cautious overall interpretation considering objectives, limitations and evidence.</w:t>
            </w:r>
          </w:p>
        </w:tc>
        <w:tc>
          <w:tcPr>
            <w:tcW w:w="4956" w:type="dxa"/>
          </w:tcPr>
          <w:p w14:paraId="27950480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Discussion; Conclusion</w:t>
            </w:r>
          </w:p>
        </w:tc>
        <w:tc>
          <w:tcPr>
            <w:tcW w:w="2600" w:type="dxa"/>
          </w:tcPr>
          <w:p w14:paraId="1ADA6351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13–19</w:t>
            </w:r>
          </w:p>
        </w:tc>
      </w:tr>
      <w:tr w:rsidR="00BA38E9" w:rsidRPr="00571285" w14:paraId="26479D3A" w14:textId="77777777" w:rsidTr="005A61AA">
        <w:trPr>
          <w:cantSplit/>
        </w:trPr>
        <w:tc>
          <w:tcPr>
            <w:tcW w:w="1850" w:type="dxa"/>
          </w:tcPr>
          <w:p w14:paraId="513740B3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Discussion — generalisability</w:t>
            </w:r>
          </w:p>
        </w:tc>
        <w:tc>
          <w:tcPr>
            <w:tcW w:w="650" w:type="dxa"/>
          </w:tcPr>
          <w:p w14:paraId="4FB9FD93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21</w:t>
            </w:r>
          </w:p>
        </w:tc>
        <w:tc>
          <w:tcPr>
            <w:tcW w:w="4200" w:type="dxa"/>
          </w:tcPr>
          <w:p w14:paraId="2D41D57B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Discuss external validity/generalisation.</w:t>
            </w:r>
          </w:p>
        </w:tc>
        <w:tc>
          <w:tcPr>
            <w:tcW w:w="4956" w:type="dxa"/>
          </w:tcPr>
          <w:p w14:paraId="51A7AACC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Discussion—Strengths and limitations; Conclusion</w:t>
            </w:r>
          </w:p>
        </w:tc>
        <w:tc>
          <w:tcPr>
            <w:tcW w:w="2600" w:type="dxa"/>
          </w:tcPr>
          <w:p w14:paraId="28502928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pp. 17–19</w:t>
            </w:r>
          </w:p>
        </w:tc>
      </w:tr>
      <w:tr w:rsidR="00BA38E9" w:rsidRPr="00571285" w14:paraId="0746B444" w14:textId="77777777" w:rsidTr="005A61AA">
        <w:trPr>
          <w:cantSplit/>
        </w:trPr>
        <w:tc>
          <w:tcPr>
            <w:tcW w:w="1850" w:type="dxa"/>
          </w:tcPr>
          <w:p w14:paraId="24678EAB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Other information — funding</w:t>
            </w:r>
          </w:p>
        </w:tc>
        <w:tc>
          <w:tcPr>
            <w:tcW w:w="650" w:type="dxa"/>
          </w:tcPr>
          <w:p w14:paraId="33D8EC5F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22</w:t>
            </w:r>
          </w:p>
        </w:tc>
        <w:tc>
          <w:tcPr>
            <w:tcW w:w="4200" w:type="dxa"/>
          </w:tcPr>
          <w:p w14:paraId="23F0BF79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 w:rsidRPr="00571285">
              <w:rPr>
                <w:rFonts w:cs="Arial"/>
                <w:color w:val="000000" w:themeColor="text1"/>
                <w:sz w:val="14"/>
              </w:rPr>
              <w:t>State funding source and role of funders.</w:t>
            </w:r>
          </w:p>
        </w:tc>
        <w:tc>
          <w:tcPr>
            <w:tcW w:w="4956" w:type="dxa"/>
          </w:tcPr>
          <w:p w14:paraId="65EE38F5" w14:textId="77777777" w:rsidR="00BA38E9" w:rsidRPr="00571285" w:rsidRDefault="00EA661F">
            <w:pPr>
              <w:spacing w:after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  <w:sz w:val="14"/>
              </w:rPr>
              <w:t>Declarations—Funding</w:t>
            </w:r>
          </w:p>
        </w:tc>
        <w:tc>
          <w:tcPr>
            <w:tcW w:w="2600" w:type="dxa"/>
          </w:tcPr>
          <w:p w14:paraId="7F0BEB16" w14:textId="77777777" w:rsidR="00BA38E9" w:rsidRPr="00571285" w:rsidRDefault="00BA38E9">
            <w:pPr>
              <w:spacing w:after="0"/>
              <w:rPr>
                <w:rFonts w:cs="Arial"/>
                <w:color w:val="000000" w:themeColor="text1"/>
              </w:rPr>
            </w:pPr>
            <w:r>
              <w:t>MS p. 20</w:t>
            </w:r>
          </w:p>
        </w:tc>
      </w:tr>
    </w:tbl>
    <w:p w14:paraId="3E7E3F30" w14:textId="77777777" w:rsidR="00BA38E9" w:rsidRPr="00571285" w:rsidRDefault="00EA661F">
      <w:pPr>
        <w:rPr>
          <w:rFonts w:cs="Arial"/>
          <w:color w:val="000000" w:themeColor="text1"/>
        </w:rPr>
      </w:pPr>
      <w:r w:rsidRPr="00571285">
        <w:rPr>
          <w:rFonts w:cs="Arial"/>
          <w:b/>
          <w:color w:val="000000" w:themeColor="text1"/>
        </w:rPr>
        <w:t xml:space="preserve">Guideline reference: </w:t>
      </w:r>
      <w:r w:rsidRPr="00571285">
        <w:rPr>
          <w:rFonts w:cs="Arial"/>
          <w:color w:val="000000" w:themeColor="text1"/>
        </w:rPr>
        <w:t xml:space="preserve">von Elm E, Altman DG, Egger M, et al. The Strengthening the Reporting of Observational Studies in Epidemiology (STROBE) statement. Lancet. 2007;370:1453–1457. </w:t>
      </w:r>
      <w:hyperlink r:id="rId6">
        <w:r w:rsidRPr="00571285">
          <w:rPr>
            <w:rFonts w:cs="Arial"/>
            <w:color w:val="000000" w:themeColor="text1"/>
            <w:u w:val="single"/>
          </w:rPr>
          <w:t>STROBE cross-sectional checklist</w:t>
        </w:r>
      </w:hyperlink>
    </w:p>
    <w:sectPr w:rsidR="00BA38E9" w:rsidRPr="00571285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9620080">
    <w:abstractNumId w:val="8"/>
  </w:num>
  <w:num w:numId="2" w16cid:durableId="214783686">
    <w:abstractNumId w:val="6"/>
  </w:num>
  <w:num w:numId="3" w16cid:durableId="973222021">
    <w:abstractNumId w:val="5"/>
  </w:num>
  <w:num w:numId="4" w16cid:durableId="669723825">
    <w:abstractNumId w:val="4"/>
  </w:num>
  <w:num w:numId="5" w16cid:durableId="1310284005">
    <w:abstractNumId w:val="7"/>
  </w:num>
  <w:num w:numId="6" w16cid:durableId="468518849">
    <w:abstractNumId w:val="3"/>
  </w:num>
  <w:num w:numId="7" w16cid:durableId="1041829527">
    <w:abstractNumId w:val="2"/>
  </w:num>
  <w:num w:numId="8" w16cid:durableId="1185830195">
    <w:abstractNumId w:val="1"/>
  </w:num>
  <w:num w:numId="9" w16cid:durableId="7344778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DC8"/>
    <w:rsid w:val="00034616"/>
    <w:rsid w:val="0006063C"/>
    <w:rsid w:val="0015074B"/>
    <w:rsid w:val="00153017"/>
    <w:rsid w:val="0029639D"/>
    <w:rsid w:val="00326F90"/>
    <w:rsid w:val="00571285"/>
    <w:rsid w:val="005A61AA"/>
    <w:rsid w:val="005C23F9"/>
    <w:rsid w:val="006D0D48"/>
    <w:rsid w:val="009E1E30"/>
    <w:rsid w:val="00AA1D8D"/>
    <w:rsid w:val="00AB2527"/>
    <w:rsid w:val="00B47730"/>
    <w:rsid w:val="00BA38E9"/>
    <w:rsid w:val="00CB0664"/>
    <w:rsid w:val="00E35C94"/>
    <w:rsid w:val="00EA66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574FC9"/>
  <w14:defaultImageDpi w14:val="300"/>
  <w15:docId w15:val="{D87DDF14-DC98-484A-B5EB-1EDDF0F1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eastAsia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D0D48"/>
    <w:pPr>
      <w:spacing w:after="0" w:line="240" w:lineRule="auto"/>
    </w:pPr>
    <w:rPr>
      <w:rFonts w:ascii="Arial" w:eastAsia="Arial" w:hAnsi="Arial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trobe-statement.org/checklist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EL-OSTA, Austen (IMPERIAL COLLEGE HEALTHCARE NHS TRUST)</cp:lastModifiedBy>
  <cp:revision>5</cp:revision>
  <dcterms:created xsi:type="dcterms:W3CDTF">2013-12-23T23:15:00Z</dcterms:created>
  <dcterms:modified xsi:type="dcterms:W3CDTF">2026-09-15T14:22:00Z</dcterms:modified>
  <cp:category/>
</cp:coreProperties>
</file>