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5A60" w14:textId="77777777" w:rsidR="00BD3AA7" w:rsidRDefault="00000000">
      <w:pPr>
        <w:widowControl/>
        <w:adjustRightInd w:val="0"/>
        <w:snapToGri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  <w:lang w:eastAsia="en-US"/>
        </w:rPr>
        <w:t>aterial</w:t>
      </w:r>
    </w:p>
    <w:p w14:paraId="1092D385" w14:textId="77777777" w:rsidR="00BD3AA7" w:rsidRDefault="00000000">
      <w:pPr>
        <w:widowControl/>
        <w:adjustRightInd w:val="0"/>
        <w:snapToGri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>Table of Contents</w:t>
      </w:r>
    </w:p>
    <w:p w14:paraId="6BC94318" w14:textId="77777777" w:rsidR="00BD3AA7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Supplementary Method - Search strategy</w:t>
      </w:r>
    </w:p>
    <w:p w14:paraId="231FEF40" w14:textId="77777777" w:rsidR="00BD3AA7" w:rsidRDefault="00000000">
      <w:pPr>
        <w:spacing w:line="360" w:lineRule="auto"/>
        <w:rPr>
          <w:rFonts w:ascii="Times New Roman" w:eastAsia="宋体" w:hAnsi="Times New Roman" w:cs="Times New Roman"/>
          <w:b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>Supplementary Figures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S1 - </w:t>
      </w:r>
      <w:r>
        <w:rPr>
          <w:rFonts w:ascii="Times New Roman" w:eastAsia="宋体" w:hAnsi="Times New Roman" w:cs="Times New Roman"/>
          <w:b/>
          <w:sz w:val="24"/>
          <w:lang w:bidi="ar"/>
        </w:rPr>
        <w:t>Risk of bias assessment</w:t>
      </w:r>
    </w:p>
    <w:p w14:paraId="1B2A23B9" w14:textId="77777777" w:rsidR="00BD3AA7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Figures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S2 - </w:t>
      </w:r>
      <w:r>
        <w:rPr>
          <w:rFonts w:ascii="Times New Roman" w:eastAsia="宋体" w:hAnsi="Times New Roman" w:cs="Times New Roman" w:hint="eastAsia"/>
          <w:b/>
          <w:sz w:val="24"/>
          <w:lang w:bidi="ar"/>
        </w:rPr>
        <w:t>Leave one out analysis for therapeutic studies</w:t>
      </w:r>
    </w:p>
    <w:p w14:paraId="3AA92FE6" w14:textId="77777777" w:rsidR="00BD3AA7" w:rsidRDefault="00BD3AA7">
      <w:pPr>
        <w:spacing w:line="360" w:lineRule="auto"/>
        <w:rPr>
          <w:rFonts w:ascii="Times New Roman" w:eastAsia="宋体" w:hAnsi="Times New Roman" w:cs="Times New Roman"/>
          <w:b/>
          <w:sz w:val="24"/>
          <w:lang w:bidi="ar"/>
        </w:rPr>
      </w:pPr>
    </w:p>
    <w:p w14:paraId="079F4D2B" w14:textId="77777777" w:rsidR="00BD3AA7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br w:type="page"/>
      </w:r>
    </w:p>
    <w:p w14:paraId="05603075" w14:textId="77777777" w:rsidR="00BD3AA7" w:rsidRDefault="0000000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Supplementary Method - Search strategy</w:t>
      </w:r>
    </w:p>
    <w:p w14:paraId="562FB711" w14:textId="77777777" w:rsidR="00BD3AA7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Search strategy applied in </w:t>
      </w:r>
      <w:r>
        <w:rPr>
          <w:rFonts w:ascii="Times New Roman" w:eastAsia="宋体" w:hAnsi="Times New Roman" w:cs="Times New Roman"/>
          <w:sz w:val="24"/>
          <w:lang w:bidi="ar"/>
        </w:rPr>
        <w:t>PubMed, Embase, Cochrane Library, Web of Science, and CNKI</w:t>
      </w:r>
    </w:p>
    <w:p w14:paraId="7F8EFAB6" w14:textId="77777777" w:rsidR="00BD3AA7" w:rsidRDefault="00000000">
      <w:pPr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MeSH word: </w:t>
      </w:r>
      <w:r>
        <w:rPr>
          <w:rFonts w:ascii="Times New Roman" w:eastAsia="宋体" w:hAnsi="Times New Roman" w:cs="Times New Roman"/>
          <w:sz w:val="24"/>
        </w:rPr>
        <w:t xml:space="preserve">(sacubitril OR valsartan OR LCZ696 OR Entresto OR "ARNI" OR "sacubitril-valsartan") AND (anthracycline* OR doxorubicin OR epirubicin OR "trastuzumab" OR "HER2 positive" OR "anti-HER2") AND (cardiotoxicit* OR "heart failure" OR "left ventricular dysfunction" OR "ejection fraction" OR "global longitudinal strain" OR "cancer therapy-related cardiac dysfunction" </w:t>
      </w:r>
      <w:r>
        <w:rPr>
          <w:rFonts w:ascii="Times New Roman" w:eastAsia="宋体" w:hAnsi="Times New Roman" w:cs="Times New Roman" w:hint="eastAsia"/>
          <w:sz w:val="24"/>
        </w:rPr>
        <w:t>)</w:t>
      </w:r>
    </w:p>
    <w:p w14:paraId="2B351BC5" w14:textId="77777777" w:rsidR="00BD3AA7" w:rsidRDefault="00BD3AA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2F770D97" w14:textId="6BBCF22A" w:rsidR="00BD3AA7" w:rsidRDefault="00F0214E">
      <w:pPr>
        <w:spacing w:after="160" w:line="360" w:lineRule="auto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noProof/>
          <w:sz w:val="24"/>
          <w:lang w:bidi="ar"/>
        </w:rPr>
        <w:drawing>
          <wp:inline distT="0" distB="0" distL="0" distR="0" wp14:anchorId="3325BFC7" wp14:editId="709A5507">
            <wp:extent cx="5273040" cy="4516120"/>
            <wp:effectExtent l="0" t="0" r="3810" b="0"/>
            <wp:docPr id="15807263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51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161A" w14:textId="77777777" w:rsidR="00BD3AA7" w:rsidRDefault="00000000">
      <w:pPr>
        <w:spacing w:after="160" w:line="360" w:lineRule="auto"/>
        <w:rPr>
          <w:rFonts w:ascii="Times New Roman" w:eastAsia="宋体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Figures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S1</w:t>
      </w:r>
      <w:r>
        <w:rPr>
          <w:rFonts w:ascii="Times New Roman" w:eastAsia="宋体" w:hAnsi="Times New Roman" w:cs="Times New Roman"/>
          <w:b/>
          <w:sz w:val="24"/>
          <w:lang w:bidi="ar"/>
        </w:rPr>
        <w:t>.</w:t>
      </w:r>
      <w:r>
        <w:rPr>
          <w:rFonts w:ascii="Calibri" w:eastAsia="宋体" w:hAnsi="Calibri" w:cs="Times New Roman"/>
          <w:b/>
          <w:lang w:bidi="ar"/>
        </w:rPr>
        <w:t xml:space="preserve"> </w:t>
      </w:r>
      <w:r>
        <w:rPr>
          <w:rFonts w:ascii="Times New Roman" w:eastAsia="宋体" w:hAnsi="Times New Roman" w:cs="Times New Roman"/>
          <w:b/>
          <w:sz w:val="24"/>
          <w:lang w:bidi="ar"/>
        </w:rPr>
        <w:t>Risk of bias assessment.</w:t>
      </w:r>
    </w:p>
    <w:p w14:paraId="12C9986C" w14:textId="2A1C94B3" w:rsidR="00BD3AA7" w:rsidRDefault="00000000">
      <w:pPr>
        <w:spacing w:after="160" w:line="360" w:lineRule="auto"/>
        <w:rPr>
          <w:rFonts w:ascii="Times New Roman" w:eastAsia="宋体" w:hAnsi="Times New Roman" w:cs="Times New Roman"/>
          <w:bCs/>
          <w:sz w:val="24"/>
        </w:rPr>
      </w:pPr>
      <w:r>
        <w:rPr>
          <w:rFonts w:ascii="Times New Roman" w:eastAsia="宋体" w:hAnsi="Times New Roman" w:cs="Times New Roman"/>
          <w:bCs/>
          <w:sz w:val="24"/>
          <w:lang w:bidi="ar"/>
        </w:rPr>
        <w:t>(</w:t>
      </w:r>
      <w:r w:rsidR="00F0214E">
        <w:rPr>
          <w:rFonts w:ascii="Times New Roman" w:eastAsia="宋体" w:hAnsi="Times New Roman" w:cs="Times New Roman" w:hint="eastAsia"/>
          <w:bCs/>
          <w:sz w:val="24"/>
          <w:lang w:bidi="ar"/>
        </w:rPr>
        <w:t>a</w:t>
      </w:r>
      <w:r>
        <w:rPr>
          <w:rFonts w:ascii="Times New Roman" w:eastAsia="宋体" w:hAnsi="Times New Roman" w:cs="Times New Roman"/>
          <w:bCs/>
          <w:sz w:val="24"/>
          <w:lang w:bidi="ar"/>
        </w:rPr>
        <w:t>) RoB 2.0 summary of the six RCTs: three at low risk and three with some concerns. (</w:t>
      </w:r>
      <w:r w:rsidR="00F0214E">
        <w:rPr>
          <w:rFonts w:ascii="Times New Roman" w:eastAsia="宋体" w:hAnsi="Times New Roman" w:cs="Times New Roman" w:hint="eastAsia"/>
          <w:bCs/>
          <w:sz w:val="24"/>
          <w:lang w:bidi="ar"/>
        </w:rPr>
        <w:t>b</w:t>
      </w:r>
      <w:r>
        <w:rPr>
          <w:rFonts w:ascii="Times New Roman" w:eastAsia="宋体" w:hAnsi="Times New Roman" w:cs="Times New Roman"/>
          <w:bCs/>
          <w:sz w:val="24"/>
          <w:lang w:bidi="ar"/>
        </w:rPr>
        <w:t>) ROBINS-I assessment of the cohort study: moderate risk.</w:t>
      </w:r>
    </w:p>
    <w:p w14:paraId="5AE92AD2" w14:textId="77777777" w:rsidR="00BD3AA7" w:rsidRDefault="00BD3AA7">
      <w:pPr>
        <w:spacing w:line="360" w:lineRule="auto"/>
        <w:rPr>
          <w:rFonts w:ascii="Times New Roman" w:eastAsia="宋体" w:hAnsi="Times New Roman" w:cs="Times New Roman"/>
          <w:sz w:val="24"/>
        </w:rPr>
      </w:pPr>
    </w:p>
    <w:p w14:paraId="3E1C8DFC" w14:textId="77777777" w:rsidR="00BD3AA7" w:rsidRDefault="00BD3AA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87FD243" w14:textId="1F9990E7" w:rsidR="00BD3AA7" w:rsidRDefault="00F0214E">
      <w:r>
        <w:rPr>
          <w:rFonts w:hint="eastAsia"/>
          <w:noProof/>
        </w:rPr>
        <w:drawing>
          <wp:inline distT="0" distB="0" distL="0" distR="0" wp14:anchorId="20D2C303" wp14:editId="725AC738">
            <wp:extent cx="5273040" cy="5200015"/>
            <wp:effectExtent l="0" t="0" r="3810" b="635"/>
            <wp:docPr id="10710455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24CC1" w14:textId="77777777" w:rsidR="00BD3AA7" w:rsidRDefault="00000000">
      <w:pPr>
        <w:spacing w:line="360" w:lineRule="auto"/>
        <w:rPr>
          <w:rFonts w:ascii="Times New Roman" w:eastAsia="宋体" w:hAnsi="Times New Roman" w:cs="Times New Roman"/>
          <w:b/>
          <w:sz w:val="24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>Supplementary Figures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S2 - </w:t>
      </w:r>
      <w:r>
        <w:rPr>
          <w:rFonts w:ascii="Times New Roman" w:eastAsia="宋体" w:hAnsi="Times New Roman" w:cs="Times New Roman" w:hint="eastAsia"/>
          <w:b/>
          <w:sz w:val="24"/>
          <w:lang w:bidi="ar"/>
        </w:rPr>
        <w:t>Leave one out analysis for therapeutic studies</w:t>
      </w:r>
    </w:p>
    <w:p w14:paraId="7537379D" w14:textId="50D8738F" w:rsidR="00BD3AA7" w:rsidRDefault="00000000">
      <w:pPr>
        <w:spacing w:line="360" w:lineRule="auto"/>
        <w:rPr>
          <w:rFonts w:ascii="Times New Roman" w:eastAsia="宋体" w:hAnsi="Times New Roman" w:cs="Times New Roman"/>
          <w:bCs/>
          <w:sz w:val="24"/>
          <w:lang w:bidi="ar"/>
        </w:rPr>
      </w:pPr>
      <w:r>
        <w:rPr>
          <w:rFonts w:ascii="Times New Roman" w:eastAsia="宋体" w:hAnsi="Times New Roman" w:cs="Times New Roman"/>
          <w:bCs/>
          <w:sz w:val="24"/>
          <w:lang w:bidi="ar"/>
        </w:rPr>
        <w:t>(</w:t>
      </w:r>
      <w:r w:rsidR="00F0214E">
        <w:rPr>
          <w:rFonts w:ascii="Times New Roman" w:eastAsia="宋体" w:hAnsi="Times New Roman" w:cs="Times New Roman" w:hint="eastAsia"/>
          <w:bCs/>
          <w:sz w:val="24"/>
          <w:lang w:bidi="ar"/>
        </w:rPr>
        <w:t>a</w:t>
      </w:r>
      <w:r>
        <w:rPr>
          <w:rFonts w:ascii="Times New Roman" w:eastAsia="宋体" w:hAnsi="Times New Roman" w:cs="Times New Roman"/>
          <w:bCs/>
          <w:sz w:val="24"/>
          <w:lang w:bidi="ar"/>
        </w:rPr>
        <w:t>) Therapeutic-group NT-proBNP. (</w:t>
      </w:r>
      <w:r w:rsidR="00F0214E">
        <w:rPr>
          <w:rFonts w:ascii="Times New Roman" w:eastAsia="宋体" w:hAnsi="Times New Roman" w:cs="Times New Roman" w:hint="eastAsia"/>
          <w:bCs/>
          <w:sz w:val="24"/>
          <w:lang w:bidi="ar"/>
        </w:rPr>
        <w:t>b</w:t>
      </w:r>
      <w:r>
        <w:rPr>
          <w:rFonts w:ascii="Times New Roman" w:eastAsia="宋体" w:hAnsi="Times New Roman" w:cs="Times New Roman"/>
          <w:bCs/>
          <w:sz w:val="24"/>
          <w:lang w:bidi="ar"/>
        </w:rPr>
        <w:t xml:space="preserve">)Therapeutic-group LVEF. </w:t>
      </w:r>
    </w:p>
    <w:p w14:paraId="625D8861" w14:textId="77777777" w:rsidR="00BD3AA7" w:rsidRDefault="00BD3AA7">
      <w:pPr>
        <w:spacing w:line="360" w:lineRule="auto"/>
        <w:rPr>
          <w:rFonts w:ascii="Times New Roman" w:eastAsia="宋体" w:hAnsi="Times New Roman" w:cs="Times New Roman"/>
          <w:bCs/>
          <w:sz w:val="24"/>
          <w:lang w:bidi="ar"/>
        </w:rPr>
      </w:pPr>
    </w:p>
    <w:p w14:paraId="3945E54E" w14:textId="77777777" w:rsidR="00BD3AA7" w:rsidRDefault="00BD3AA7">
      <w:pPr>
        <w:spacing w:line="360" w:lineRule="auto"/>
        <w:rPr>
          <w:rFonts w:ascii="Times New Roman" w:eastAsia="宋体" w:hAnsi="Times New Roman" w:cs="Times New Roman"/>
          <w:b/>
          <w:sz w:val="24"/>
          <w:lang w:bidi="ar"/>
        </w:rPr>
      </w:pPr>
    </w:p>
    <w:p w14:paraId="497AA2AC" w14:textId="77777777" w:rsidR="00BD3AA7" w:rsidRDefault="00BD3AA7"/>
    <w:sectPr w:rsidR="00BD3A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AA7"/>
    <w:rsid w:val="00BD3AA7"/>
    <w:rsid w:val="00D831B6"/>
    <w:rsid w:val="00F0214E"/>
    <w:rsid w:val="600F02B2"/>
    <w:rsid w:val="751B4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44A34B"/>
  <w14:defaultImageDpi w14:val="32767"/>
  <w15:docId w15:val="{987B84D5-9583-4DE7-9265-E89B69A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钟睿朗</dc:creator>
  <cp:lastModifiedBy>brain.zhong@icloud.com</cp:lastModifiedBy>
  <cp:revision>2</cp:revision>
  <dcterms:created xsi:type="dcterms:W3CDTF">2026-08-10T03:30:00Z</dcterms:created>
  <dcterms:modified xsi:type="dcterms:W3CDTF">2026-08-19T12:52:00Z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eyJoZGlkIjoiYmJlMjFkOTBlMjFmZGUzMmZlMjI5N2Q4OTU3MzUwMmQiLCJ1c2VySWQiOiIxNzUyNzc4NjIxIn0=</vt:lpwstr>
  </property>
  <property fmtid="{D5CDD505-2E9C-101B-9397-08002B2CF9AE}" pid="4" name="ICV">
    <vt:lpwstr>E0712C4840EE4DF2BA19E7DD175F41B7_12</vt:lpwstr>
  </property>
</Properties>
</file>