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3293" w:rsidRDefault="00484912">
      <w:pPr>
        <w:pStyle w:val="Title2"/>
        <w:spacing w:line="360" w:lineRule="auto"/>
        <w:rPr>
          <w:b w:val="0"/>
          <w:sz w:val="32"/>
          <w:szCs w:val="32"/>
        </w:rPr>
      </w:pPr>
      <w:bookmarkStart w:id="0" w:name="_GoBack"/>
      <w:bookmarkEnd w:id="0"/>
      <w:r w:rsidRPr="00484912">
        <w:rPr>
          <w:b w:val="0"/>
          <w:sz w:val="32"/>
          <w:szCs w:val="32"/>
        </w:rPr>
        <w:t>Supplementary Information for</w:t>
      </w:r>
    </w:p>
    <w:p w:rsidR="001B3293" w:rsidRDefault="0026161B" w:rsidP="00E45281">
      <w:pPr>
        <w:pStyle w:val="Title2"/>
        <w:spacing w:line="360" w:lineRule="auto"/>
        <w:jc w:val="both"/>
        <w:rPr>
          <w:b w:val="0"/>
          <w:color w:val="FF0000"/>
        </w:rPr>
      </w:pPr>
      <w:r>
        <w:t xml:space="preserve">Ultrafast Dynamics of Pressure‑Activated Energy Funneling and Amplified Spontaneous Emission in Microscale Quasi-2D Perovskites </w:t>
      </w:r>
    </w:p>
    <w:p w:rsidR="001B3293" w:rsidRPr="00484912" w:rsidRDefault="001B3293" w:rsidP="00E45281">
      <w:pPr>
        <w:pStyle w:val="Title2"/>
        <w:spacing w:line="360" w:lineRule="auto"/>
        <w:jc w:val="both"/>
        <w:rPr>
          <w:b w:val="0"/>
        </w:rPr>
      </w:pPr>
    </w:p>
    <w:p w:rsidR="001B3293" w:rsidRPr="00484912" w:rsidRDefault="0026161B" w:rsidP="00E45281">
      <w:pPr>
        <w:pStyle w:val="AuthorsFull"/>
        <w:spacing w:line="360" w:lineRule="auto"/>
        <w:jc w:val="both"/>
        <w:rPr>
          <w:bCs/>
          <w:i w:val="0"/>
        </w:rPr>
      </w:pPr>
      <w:proofErr w:type="spellStart"/>
      <w:r w:rsidRPr="00484912">
        <w:rPr>
          <w:bCs/>
          <w:i w:val="0"/>
        </w:rPr>
        <w:t>Shuaiqi</w:t>
      </w:r>
      <w:proofErr w:type="spellEnd"/>
      <w:r w:rsidRPr="00484912">
        <w:rPr>
          <w:bCs/>
          <w:i w:val="0"/>
        </w:rPr>
        <w:t xml:space="preserve"> Li</w:t>
      </w:r>
      <w:r w:rsidRPr="00484912">
        <w:rPr>
          <w:rFonts w:eastAsia="宋体"/>
          <w:i w:val="0"/>
          <w:iCs/>
          <w:spacing w:val="-2"/>
          <w:vertAlign w:val="superscript"/>
        </w:rPr>
        <w:t>‡</w:t>
      </w:r>
      <w:r w:rsidRPr="00484912">
        <w:rPr>
          <w:bCs/>
          <w:i w:val="0"/>
        </w:rPr>
        <w:t xml:space="preserve">, </w:t>
      </w:r>
      <w:proofErr w:type="spellStart"/>
      <w:r w:rsidRPr="00484912">
        <w:rPr>
          <w:bCs/>
          <w:i w:val="0"/>
        </w:rPr>
        <w:t>Linrui</w:t>
      </w:r>
      <w:proofErr w:type="spellEnd"/>
      <w:r w:rsidRPr="00484912">
        <w:rPr>
          <w:bCs/>
          <w:i w:val="0"/>
        </w:rPr>
        <w:t xml:space="preserve"> Li</w:t>
      </w:r>
      <w:r w:rsidRPr="00484912">
        <w:rPr>
          <w:rFonts w:eastAsia="宋体"/>
          <w:i w:val="0"/>
          <w:iCs/>
          <w:spacing w:val="-2"/>
          <w:vertAlign w:val="superscript"/>
        </w:rPr>
        <w:t>‡</w:t>
      </w:r>
      <w:r w:rsidRPr="00484912">
        <w:rPr>
          <w:bCs/>
          <w:i w:val="0"/>
        </w:rPr>
        <w:t xml:space="preserve">, Haiyang Hu, Xin Tang, </w:t>
      </w:r>
      <w:proofErr w:type="spellStart"/>
      <w:r w:rsidRPr="00484912">
        <w:rPr>
          <w:bCs/>
          <w:i w:val="0"/>
        </w:rPr>
        <w:t>Mingyu</w:t>
      </w:r>
      <w:proofErr w:type="spellEnd"/>
      <w:r w:rsidRPr="00484912">
        <w:rPr>
          <w:bCs/>
          <w:i w:val="0"/>
        </w:rPr>
        <w:t xml:space="preserve"> Pi, </w:t>
      </w:r>
      <w:proofErr w:type="spellStart"/>
      <w:r w:rsidRPr="00484912">
        <w:rPr>
          <w:bCs/>
          <w:i w:val="0"/>
        </w:rPr>
        <w:t>Yexiong</w:t>
      </w:r>
      <w:proofErr w:type="spellEnd"/>
      <w:r w:rsidRPr="00484912">
        <w:rPr>
          <w:bCs/>
          <w:i w:val="0"/>
        </w:rPr>
        <w:t xml:space="preserve"> Huang, </w:t>
      </w:r>
      <w:proofErr w:type="spellStart"/>
      <w:r w:rsidRPr="00484912">
        <w:rPr>
          <w:bCs/>
          <w:i w:val="0"/>
        </w:rPr>
        <w:t>Jingwen</w:t>
      </w:r>
      <w:proofErr w:type="spellEnd"/>
      <w:r w:rsidRPr="00484912">
        <w:rPr>
          <w:bCs/>
          <w:i w:val="0"/>
        </w:rPr>
        <w:t xml:space="preserve"> Yao, Haiyang Xu, </w:t>
      </w:r>
      <w:proofErr w:type="spellStart"/>
      <w:r w:rsidRPr="00484912">
        <w:rPr>
          <w:bCs/>
          <w:i w:val="0"/>
        </w:rPr>
        <w:t>Laizhi</w:t>
      </w:r>
      <w:proofErr w:type="spellEnd"/>
      <w:r w:rsidRPr="00484912">
        <w:rPr>
          <w:bCs/>
          <w:i w:val="0"/>
        </w:rPr>
        <w:t xml:space="preserve"> Sui*, Qing Zhang*, </w:t>
      </w:r>
      <w:proofErr w:type="spellStart"/>
      <w:r w:rsidRPr="00484912">
        <w:rPr>
          <w:bCs/>
          <w:i w:val="0"/>
        </w:rPr>
        <w:t>Zhenxiang</w:t>
      </w:r>
      <w:proofErr w:type="spellEnd"/>
      <w:r w:rsidRPr="00484912">
        <w:rPr>
          <w:bCs/>
          <w:i w:val="0"/>
        </w:rPr>
        <w:t xml:space="preserve"> Cheng*, </w:t>
      </w:r>
      <w:proofErr w:type="spellStart"/>
      <w:r w:rsidRPr="00484912">
        <w:rPr>
          <w:bCs/>
          <w:i w:val="0"/>
        </w:rPr>
        <w:t>Dingke</w:t>
      </w:r>
      <w:proofErr w:type="spellEnd"/>
      <w:r w:rsidRPr="00484912">
        <w:rPr>
          <w:bCs/>
          <w:i w:val="0"/>
        </w:rPr>
        <w:t xml:space="preserve"> Zhang*</w:t>
      </w:r>
    </w:p>
    <w:p w:rsidR="001B3293" w:rsidRDefault="001B3293">
      <w:pPr>
        <w:pStyle w:val="AuthorsFull"/>
        <w:spacing w:line="360" w:lineRule="auto"/>
        <w:jc w:val="both"/>
        <w:rPr>
          <w:bCs/>
        </w:rPr>
      </w:pPr>
    </w:p>
    <w:p w:rsidR="00484912" w:rsidRDefault="00484912" w:rsidP="00E45281">
      <w:pPr>
        <w:spacing w:line="360" w:lineRule="auto"/>
        <w:jc w:val="both"/>
        <w:rPr>
          <w:lang w:val="en-US"/>
        </w:rPr>
      </w:pPr>
      <w:r>
        <w:rPr>
          <w:vertAlign w:val="superscript"/>
        </w:rPr>
        <w:t>1</w:t>
      </w:r>
      <w:r w:rsidR="00E45281" w:rsidRPr="00E45281">
        <w:t xml:space="preserve"> </w:t>
      </w:r>
      <w:r>
        <w:rPr>
          <w:rFonts w:hint="eastAsia"/>
        </w:rPr>
        <w:t>School of Physics and Optoelectronic Engineering, Chongqing Normal University, Chongqing 4</w:t>
      </w:r>
      <w:r w:rsidR="00E45281">
        <w:t xml:space="preserve"> </w:t>
      </w:r>
      <w:r>
        <w:rPr>
          <w:rFonts w:hint="eastAsia"/>
        </w:rPr>
        <w:t>01331, China</w:t>
      </w:r>
      <w:r>
        <w:rPr>
          <w:rFonts w:hint="eastAsia"/>
          <w:lang w:val="en-US"/>
        </w:rPr>
        <w:t>.</w:t>
      </w:r>
    </w:p>
    <w:p w:rsidR="00484912" w:rsidRDefault="00484912" w:rsidP="00E45281">
      <w:pPr>
        <w:spacing w:line="360" w:lineRule="auto"/>
        <w:jc w:val="both"/>
        <w:rPr>
          <w:rFonts w:eastAsia="宋体"/>
          <w:color w:val="000000"/>
          <w:lang w:val="en-US" w:bidi="ar"/>
        </w:rPr>
      </w:pPr>
      <w:r>
        <w:rPr>
          <w:rFonts w:hint="eastAsia"/>
          <w:vertAlign w:val="superscript"/>
        </w:rPr>
        <w:t>2</w:t>
      </w:r>
      <w:r w:rsidR="00E45281">
        <w:rPr>
          <w:vertAlign w:val="superscript"/>
        </w:rPr>
        <w:t xml:space="preserve"> </w:t>
      </w:r>
      <w:r>
        <w:rPr>
          <w:rFonts w:eastAsia="宋体" w:hint="eastAsia"/>
          <w:color w:val="000000"/>
          <w:lang w:bidi="ar"/>
        </w:rPr>
        <w:t>State Key Laboratory of Molecular Reaction Dynamics and Dalian Coherent Light Source, Dalian Institute of Chemical Physics, Chinese Academy of Sciences, Dalian 116023, China</w:t>
      </w:r>
      <w:r>
        <w:rPr>
          <w:rFonts w:eastAsia="宋体" w:hint="eastAsia"/>
          <w:color w:val="000000"/>
          <w:lang w:val="en-US" w:bidi="ar"/>
        </w:rPr>
        <w:t>.</w:t>
      </w:r>
    </w:p>
    <w:p w:rsidR="00484912" w:rsidRDefault="00484912" w:rsidP="00E45281">
      <w:pPr>
        <w:spacing w:line="360" w:lineRule="auto"/>
        <w:jc w:val="both"/>
        <w:rPr>
          <w:rFonts w:eastAsia="宋体"/>
          <w:color w:val="000000"/>
          <w:lang w:val="en-US" w:bidi="ar"/>
        </w:rPr>
      </w:pPr>
      <w:r>
        <w:rPr>
          <w:rFonts w:eastAsia="宋体"/>
          <w:color w:val="000000"/>
          <w:vertAlign w:val="superscript"/>
          <w:lang w:bidi="ar"/>
        </w:rPr>
        <w:t>3</w:t>
      </w:r>
      <w:r w:rsidR="00E45281">
        <w:rPr>
          <w:rFonts w:eastAsia="宋体"/>
          <w:color w:val="000000"/>
          <w:lang w:bidi="ar"/>
        </w:rPr>
        <w:t xml:space="preserve"> </w:t>
      </w:r>
      <w:r>
        <w:rPr>
          <w:rFonts w:eastAsia="宋体" w:hint="eastAsia"/>
          <w:color w:val="000000"/>
          <w:lang w:bidi="ar"/>
        </w:rPr>
        <w:t>State Key Laboratory of Integrated Optoelectronics, Northeast Normal University, Changchun 130024, China</w:t>
      </w:r>
      <w:r>
        <w:rPr>
          <w:rFonts w:eastAsia="宋体" w:hint="eastAsia"/>
          <w:color w:val="000000"/>
          <w:lang w:val="en-US" w:bidi="ar"/>
        </w:rPr>
        <w:t>.</w:t>
      </w:r>
    </w:p>
    <w:p w:rsidR="00484912" w:rsidRDefault="00484912" w:rsidP="00E45281">
      <w:pPr>
        <w:spacing w:line="360" w:lineRule="auto"/>
        <w:jc w:val="both"/>
        <w:rPr>
          <w:rFonts w:eastAsia="宋体"/>
          <w:color w:val="000000"/>
          <w:lang w:val="en-US" w:bidi="ar"/>
        </w:rPr>
      </w:pPr>
      <w:r>
        <w:rPr>
          <w:rFonts w:eastAsia="宋体" w:hint="eastAsia"/>
          <w:vertAlign w:val="superscript"/>
          <w:lang w:val="en-US"/>
        </w:rPr>
        <w:t>4</w:t>
      </w:r>
      <w:r w:rsidR="00E45281" w:rsidRPr="00E45281">
        <w:rPr>
          <w:rFonts w:eastAsia="宋体"/>
          <w:lang w:val="en-US"/>
        </w:rPr>
        <w:t xml:space="preserve"> </w:t>
      </w:r>
      <w:r>
        <w:rPr>
          <w:rFonts w:eastAsia="宋体" w:hint="eastAsia"/>
          <w:color w:val="000000"/>
          <w:lang w:bidi="ar"/>
        </w:rPr>
        <w:t>School of Materials Science and Engineering, Peking University, Beijing 100871, China</w:t>
      </w:r>
      <w:r>
        <w:rPr>
          <w:rFonts w:eastAsia="宋体" w:hint="eastAsia"/>
          <w:color w:val="000000"/>
          <w:lang w:val="en-US" w:bidi="ar"/>
        </w:rPr>
        <w:t>.</w:t>
      </w:r>
    </w:p>
    <w:p w:rsidR="00484912" w:rsidRDefault="00484912" w:rsidP="00E45281">
      <w:pPr>
        <w:spacing w:line="360" w:lineRule="auto"/>
        <w:jc w:val="both"/>
        <w:rPr>
          <w:rFonts w:eastAsia="宋体"/>
          <w:color w:val="000000"/>
          <w:lang w:val="en-US" w:bidi="ar"/>
        </w:rPr>
      </w:pPr>
      <w:r>
        <w:rPr>
          <w:rFonts w:eastAsia="宋体" w:hint="eastAsia"/>
          <w:color w:val="000000"/>
          <w:vertAlign w:val="superscript"/>
          <w:lang w:val="en-US" w:bidi="ar"/>
        </w:rPr>
        <w:t>5</w:t>
      </w:r>
      <w:r w:rsidR="00E45281">
        <w:rPr>
          <w:rFonts w:eastAsia="宋体"/>
          <w:color w:val="000000"/>
          <w:lang w:bidi="ar"/>
        </w:rPr>
        <w:t xml:space="preserve"> </w:t>
      </w:r>
      <w:r>
        <w:rPr>
          <w:rFonts w:eastAsia="宋体" w:hint="eastAsia"/>
          <w:color w:val="000000"/>
          <w:lang w:bidi="ar"/>
        </w:rPr>
        <w:t>Institute for Superconducting and Electronic Materials Faculty of Engineering and Information Sciences, University of Wollongong Innovation Campus, Squires Way, North Wollongong, NSW 2500, Australia</w:t>
      </w:r>
      <w:r>
        <w:rPr>
          <w:rFonts w:eastAsia="宋体" w:hint="eastAsia"/>
          <w:color w:val="000000"/>
          <w:lang w:val="en-US" w:bidi="ar"/>
        </w:rPr>
        <w:t>.</w:t>
      </w:r>
    </w:p>
    <w:p w:rsidR="00484912" w:rsidRDefault="00484912" w:rsidP="00E45281">
      <w:pPr>
        <w:spacing w:line="360" w:lineRule="auto"/>
        <w:jc w:val="both"/>
        <w:rPr>
          <w:rFonts w:eastAsia="宋体"/>
          <w:color w:val="000000"/>
          <w:lang w:bidi="ar"/>
        </w:rPr>
      </w:pPr>
      <w:r>
        <w:rPr>
          <w:rFonts w:eastAsia="宋体"/>
          <w:i/>
          <w:iCs/>
          <w:spacing w:val="-2"/>
          <w:vertAlign w:val="superscript"/>
          <w:lang w:val="en-US"/>
        </w:rPr>
        <w:t>‡</w:t>
      </w:r>
      <w:r>
        <w:t>These authors contributed equally to this work</w:t>
      </w:r>
    </w:p>
    <w:p w:rsidR="00484912" w:rsidRDefault="00484912" w:rsidP="00E45281">
      <w:pPr>
        <w:spacing w:line="360" w:lineRule="auto"/>
        <w:jc w:val="both"/>
      </w:pPr>
      <w:r>
        <w:t>* Corresponding author.</w:t>
      </w:r>
    </w:p>
    <w:p w:rsidR="00484912" w:rsidRDefault="00484912" w:rsidP="00484912">
      <w:pPr>
        <w:spacing w:line="360" w:lineRule="auto"/>
      </w:pPr>
    </w:p>
    <w:p w:rsidR="00484912" w:rsidRDefault="00484912" w:rsidP="00484912">
      <w:pPr>
        <w:spacing w:line="360" w:lineRule="auto"/>
        <w:ind w:left="720" w:hangingChars="300" w:hanging="720"/>
        <w:rPr>
          <w:lang w:val="en-US"/>
        </w:rPr>
      </w:pPr>
      <w:r>
        <w:t xml:space="preserve">E-mail: </w:t>
      </w:r>
      <w:r>
        <w:rPr>
          <w:rFonts w:hint="eastAsia"/>
        </w:rPr>
        <w:t>lzsui@dicp.ac.cn</w:t>
      </w:r>
      <w:r>
        <w:t xml:space="preserve">, </w:t>
      </w:r>
      <w:r>
        <w:rPr>
          <w:rFonts w:hint="eastAsia"/>
        </w:rPr>
        <w:t>q_zhang@pku.edu.cn</w:t>
      </w:r>
      <w:r>
        <w:t xml:space="preserve">, </w:t>
      </w:r>
      <w:r w:rsidRPr="00B544FE">
        <w:rPr>
          <w:rFonts w:hint="eastAsia"/>
        </w:rPr>
        <w:t>cheng@uow.edu.au</w:t>
      </w:r>
      <w:r>
        <w:t>,</w:t>
      </w:r>
      <w:r>
        <w:rPr>
          <w:rFonts w:hint="eastAsia"/>
        </w:rPr>
        <w:t xml:space="preserve"> zhangdk@cqnu.edu.cn</w:t>
      </w:r>
    </w:p>
    <w:p w:rsidR="00484912" w:rsidRPr="00484912" w:rsidRDefault="00484912">
      <w:pPr>
        <w:pStyle w:val="AuthorsFull"/>
        <w:spacing w:line="360" w:lineRule="auto"/>
        <w:jc w:val="both"/>
        <w:rPr>
          <w:bCs/>
        </w:rPr>
      </w:pPr>
    </w:p>
    <w:p w:rsidR="00484912" w:rsidRDefault="00484912">
      <w:pPr>
        <w:pStyle w:val="AuthorsFull"/>
        <w:spacing w:line="360" w:lineRule="auto"/>
        <w:jc w:val="both"/>
        <w:rPr>
          <w:bCs/>
        </w:rPr>
      </w:pPr>
    </w:p>
    <w:p w:rsidR="00484912" w:rsidRDefault="00484912" w:rsidP="00484912">
      <w:pPr>
        <w:kinsoku w:val="0"/>
        <w:overflowPunct w:val="0"/>
        <w:spacing w:line="360" w:lineRule="auto"/>
        <w:rPr>
          <w:rStyle w:val="fontstyle01"/>
          <w:rFonts w:eastAsiaTheme="minorEastAsia" w:hint="eastAsia"/>
          <w:sz w:val="24"/>
          <w:szCs w:val="24"/>
        </w:rPr>
      </w:pPr>
      <w:r>
        <w:rPr>
          <w:rFonts w:eastAsia="AdvOTb83ee1dd . B"/>
          <w:b/>
          <w:bCs/>
        </w:rPr>
        <w:t>Keywords:</w:t>
      </w:r>
      <w:r>
        <w:rPr>
          <w:rStyle w:val="fontstyle01"/>
          <w:sz w:val="24"/>
          <w:szCs w:val="24"/>
        </w:rPr>
        <w:t xml:space="preserve"> </w:t>
      </w:r>
      <w:r w:rsidRPr="00484912">
        <w:rPr>
          <w:rStyle w:val="fontstyle01"/>
          <w:rFonts w:ascii="Times New Roman" w:eastAsiaTheme="minorEastAsia" w:hAnsi="Times New Roman" w:cs="Times New Roman"/>
          <w:sz w:val="24"/>
          <w:szCs w:val="24"/>
          <w:lang w:eastAsia="zh-CN"/>
        </w:rPr>
        <w:t>q</w:t>
      </w:r>
      <w:r w:rsidRPr="00484912">
        <w:rPr>
          <w:rStyle w:val="fontstyle01"/>
          <w:rFonts w:ascii="Times New Roman" w:hAnsi="Times New Roman" w:cs="Times New Roman"/>
          <w:sz w:val="24"/>
          <w:szCs w:val="24"/>
        </w:rPr>
        <w:t>uasi-2D perovskites, ASE, high-pressure, energy funneling, carrier dynamics</w:t>
      </w: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484912" w:rsidRPr="00484912" w:rsidRDefault="00484912">
      <w:pPr>
        <w:pStyle w:val="AuthorsFull"/>
        <w:spacing w:line="360" w:lineRule="auto"/>
        <w:jc w:val="both"/>
        <w:rPr>
          <w:rFonts w:eastAsiaTheme="minorEastAsia"/>
          <w:bCs/>
          <w:lang w:val="de-DE" w:eastAsia="zh-CN"/>
        </w:rPr>
      </w:pPr>
    </w:p>
    <w:p w:rsidR="001B3293" w:rsidRDefault="0026161B">
      <w:pPr>
        <w:spacing w:afterLines="50" w:after="120"/>
        <w:rPr>
          <w:color w:val="000000" w:themeColor="text1"/>
        </w:rPr>
      </w:pPr>
      <w:r>
        <w:rPr>
          <w:b/>
          <w:bCs/>
          <w:color w:val="000000" w:themeColor="text1"/>
        </w:rPr>
        <w:lastRenderedPageBreak/>
        <w:t>Experiment details</w:t>
      </w:r>
      <w:r>
        <w:rPr>
          <w:color w:val="000000" w:themeColor="text1"/>
        </w:rPr>
        <w:t xml:space="preserve"> </w:t>
      </w:r>
    </w:p>
    <w:p w:rsidR="001B3293" w:rsidRDefault="0026161B">
      <w:pPr>
        <w:spacing w:afterLines="100" w:after="24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Sample preparation</w:t>
      </w:r>
    </w:p>
    <w:p w:rsidR="001B3293" w:rsidRDefault="0026161B">
      <w:pPr>
        <w:spacing w:line="360" w:lineRule="auto"/>
        <w:ind w:firstLineChars="200" w:firstLine="480"/>
        <w:jc w:val="both"/>
        <w:rPr>
          <w:szCs w:val="21"/>
        </w:rPr>
      </w:pPr>
      <w:r>
        <w:rPr>
          <w:szCs w:val="21"/>
        </w:rPr>
        <w:t>Phenylethylammonium bromide (PEABr, 99.5% purity), formamidinium bromide (FABr, 99.9% purity), and lead bromide (PbBr</w:t>
      </w:r>
      <w:r>
        <w:rPr>
          <w:szCs w:val="21"/>
          <w:vertAlign w:val="subscript"/>
        </w:rPr>
        <w:t>2</w:t>
      </w:r>
      <w:r>
        <w:rPr>
          <w:szCs w:val="21"/>
        </w:rPr>
        <w:t>, 99.99% purity) were procured from Xi’an Yuri Solar Co., Ltd. and used without further purification. The precursor solution was prepared by dissolving PEABr (55.3 mg), PbBr</w:t>
      </w:r>
      <w:r>
        <w:rPr>
          <w:szCs w:val="21"/>
          <w:vertAlign w:val="subscript"/>
        </w:rPr>
        <w:t>2</w:t>
      </w:r>
      <w:r>
        <w:rPr>
          <w:szCs w:val="21"/>
        </w:rPr>
        <w:t xml:space="preserve"> (150.6 mg), and FABr (34.2 mg) in a molar ratio of 2:3:2 into 1 mL of methylacetate acetate (MAAc), followed by stirring at 60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for 8 hours to achieve a clear and homogeneous mixture. The protective layer was carefully removed from the PET film, after which the film was subjected to UV-ozone treatment for 30 minutes. Herein, (PEA)</w:t>
      </w:r>
      <w:r>
        <w:rPr>
          <w:szCs w:val="21"/>
          <w:vertAlign w:val="subscript"/>
        </w:rPr>
        <w:t>2</w:t>
      </w:r>
      <w:r>
        <w:rPr>
          <w:szCs w:val="21"/>
        </w:rPr>
        <w:t>FA</w:t>
      </w:r>
      <w:r>
        <w:rPr>
          <w:szCs w:val="21"/>
          <w:vertAlign w:val="subscript"/>
        </w:rPr>
        <w:t>n-1</w:t>
      </w:r>
      <w:r>
        <w:rPr>
          <w:szCs w:val="21"/>
        </w:rPr>
        <w:t>Pb</w:t>
      </w:r>
      <w:r>
        <w:rPr>
          <w:szCs w:val="21"/>
          <w:vertAlign w:val="subscript"/>
        </w:rPr>
        <w:t>n</w:t>
      </w:r>
      <w:r>
        <w:rPr>
          <w:szCs w:val="21"/>
        </w:rPr>
        <w:t>Br</w:t>
      </w:r>
      <w:r>
        <w:rPr>
          <w:szCs w:val="21"/>
          <w:vertAlign w:val="subscript"/>
        </w:rPr>
        <w:t xml:space="preserve">3n+1 </w:t>
      </w:r>
      <w:r>
        <w:rPr>
          <w:szCs w:val="21"/>
        </w:rPr>
        <w:t>thin film was fabricated via a one-step spin-coating method under ambient air conditions. A volume of 150 μL of the (PEA)</w:t>
      </w:r>
      <w:r>
        <w:rPr>
          <w:szCs w:val="21"/>
          <w:vertAlign w:val="subscript"/>
        </w:rPr>
        <w:t>2</w:t>
      </w:r>
      <w:r>
        <w:rPr>
          <w:szCs w:val="21"/>
        </w:rPr>
        <w:t>FA</w:t>
      </w:r>
      <w:r>
        <w:rPr>
          <w:szCs w:val="21"/>
          <w:vertAlign w:val="subscript"/>
        </w:rPr>
        <w:t>n-1</w:t>
      </w:r>
      <w:r>
        <w:rPr>
          <w:szCs w:val="21"/>
        </w:rPr>
        <w:t>Pb</w:t>
      </w:r>
      <w:r>
        <w:rPr>
          <w:szCs w:val="21"/>
          <w:vertAlign w:val="subscript"/>
        </w:rPr>
        <w:t>n</w:t>
      </w:r>
      <w:r>
        <w:rPr>
          <w:szCs w:val="21"/>
        </w:rPr>
        <w:t>Br</w:t>
      </w:r>
      <w:r>
        <w:rPr>
          <w:szCs w:val="21"/>
          <w:vertAlign w:val="subscript"/>
        </w:rPr>
        <w:t xml:space="preserve">3n+1 </w:t>
      </w:r>
      <w:r>
        <w:rPr>
          <w:szCs w:val="21"/>
        </w:rPr>
        <w:t>precursor solution (240 mg mL</w:t>
      </w:r>
      <w:r>
        <w:rPr>
          <w:szCs w:val="21"/>
          <w:vertAlign w:val="superscript"/>
        </w:rPr>
        <w:t>-1</w:t>
      </w:r>
      <w:r>
        <w:rPr>
          <w:szCs w:val="21"/>
        </w:rPr>
        <w:t xml:space="preserve">) was spin-coated onto the PET substrate at 5000 rpm for 20 s to ensure uniform distribution. The substrate temperature was maintained constant at 70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throughout the spin-coating process. Subsequently, the film was annealed at 150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for 10 min to complete the fabrication.</w:t>
      </w:r>
    </w:p>
    <w:p w:rsidR="001B3293" w:rsidRDefault="0026161B">
      <w:pPr>
        <w:spacing w:line="360" w:lineRule="auto"/>
        <w:ind w:firstLineChars="200" w:firstLine="480"/>
        <w:jc w:val="both"/>
        <w:rPr>
          <w:szCs w:val="21"/>
        </w:rPr>
      </w:pPr>
      <w:r>
        <w:rPr>
          <w:szCs w:val="21"/>
        </w:rPr>
        <w:t>Bulk PEA</w:t>
      </w:r>
      <w:r>
        <w:rPr>
          <w:szCs w:val="21"/>
          <w:vertAlign w:val="subscript"/>
        </w:rPr>
        <w:t>2</w:t>
      </w:r>
      <w:r>
        <w:rPr>
          <w:szCs w:val="21"/>
        </w:rPr>
        <w:t>FAPb</w:t>
      </w:r>
      <w:r>
        <w:rPr>
          <w:szCs w:val="21"/>
          <w:vertAlign w:val="subscript"/>
        </w:rPr>
        <w:t>2</w:t>
      </w:r>
      <w:r>
        <w:rPr>
          <w:szCs w:val="21"/>
        </w:rPr>
        <w:t>Br</w:t>
      </w:r>
      <w:r>
        <w:rPr>
          <w:szCs w:val="21"/>
          <w:vertAlign w:val="subscript"/>
        </w:rPr>
        <w:t xml:space="preserve">7 </w:t>
      </w:r>
      <w:r>
        <w:rPr>
          <w:szCs w:val="21"/>
        </w:rPr>
        <w:t>single crystals were grown in HBr solution via the space-confined liquid-phase (STL) method. Specifically, PEABr (154.8 mg)</w:t>
      </w:r>
      <w:r>
        <w:rPr>
          <w:szCs w:val="21"/>
        </w:rPr>
        <w:t>，</w:t>
      </w:r>
      <w:r>
        <w:rPr>
          <w:szCs w:val="21"/>
        </w:rPr>
        <w:t>FABr (47.8 mg) and PbBr</w:t>
      </w:r>
      <w:r>
        <w:rPr>
          <w:szCs w:val="21"/>
          <w:vertAlign w:val="subscript"/>
        </w:rPr>
        <w:t xml:space="preserve">2 </w:t>
      </w:r>
      <w:r>
        <w:rPr>
          <w:szCs w:val="21"/>
        </w:rPr>
        <w:t xml:space="preserve">(281.2 mg) were dissolved in 15 mL of HBr. The solution was heated to 90 </w:t>
      </w:r>
      <w:r>
        <w:rPr>
          <w:rFonts w:eastAsia="楷体"/>
          <w:szCs w:val="21"/>
        </w:rPr>
        <w:t>℃</w:t>
      </w:r>
      <w:r>
        <w:rPr>
          <w:rFonts w:eastAsia="宋体"/>
          <w:szCs w:val="21"/>
        </w:rPr>
        <w:t xml:space="preserve"> </w:t>
      </w:r>
      <w:r>
        <w:rPr>
          <w:szCs w:val="21"/>
        </w:rPr>
        <w:t xml:space="preserve">and maintained at this temperature for 24 hours to ensure complete dissolution of the precursors. It was then gradually cooled to 65 </w:t>
      </w:r>
      <w:r>
        <w:rPr>
          <w:rFonts w:eastAsia="楷体"/>
          <w:szCs w:val="21"/>
        </w:rPr>
        <w:t>℃</w:t>
      </w:r>
      <w:r>
        <w:rPr>
          <w:rFonts w:eastAsia="宋体"/>
          <w:szCs w:val="21"/>
        </w:rPr>
        <w:t xml:space="preserve"> </w:t>
      </w:r>
      <w:r>
        <w:rPr>
          <w:szCs w:val="21"/>
        </w:rPr>
        <w:t xml:space="preserve">at a rate of 1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h</w:t>
      </w:r>
      <w:r>
        <w:rPr>
          <w:szCs w:val="21"/>
          <w:vertAlign w:val="superscript"/>
        </w:rPr>
        <w:t>-1</w:t>
      </w:r>
      <w:r>
        <w:rPr>
          <w:szCs w:val="21"/>
        </w:rPr>
        <w:t xml:space="preserve">, followed by further slow cooling to 25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at a rate of 0.1 </w:t>
      </w:r>
      <w:r>
        <w:rPr>
          <w:rFonts w:eastAsia="楷体"/>
          <w:szCs w:val="21"/>
        </w:rPr>
        <w:t>℃</w:t>
      </w:r>
      <w:r>
        <w:rPr>
          <w:szCs w:val="21"/>
        </w:rPr>
        <w:t xml:space="preserve"> h</w:t>
      </w:r>
      <w:r>
        <w:rPr>
          <w:szCs w:val="21"/>
          <w:vertAlign w:val="superscript"/>
        </w:rPr>
        <w:t>-1</w:t>
      </w:r>
      <w:r>
        <w:rPr>
          <w:szCs w:val="21"/>
        </w:rPr>
        <w:t>, yielding high-quality bulk PEA</w:t>
      </w:r>
      <w:r>
        <w:rPr>
          <w:szCs w:val="21"/>
          <w:vertAlign w:val="subscript"/>
        </w:rPr>
        <w:t>2</w:t>
      </w:r>
      <w:r>
        <w:rPr>
          <w:szCs w:val="21"/>
        </w:rPr>
        <w:t>FAPb</w:t>
      </w:r>
      <w:r>
        <w:rPr>
          <w:szCs w:val="21"/>
          <w:vertAlign w:val="subscript"/>
        </w:rPr>
        <w:t>2</w:t>
      </w:r>
      <w:r>
        <w:rPr>
          <w:szCs w:val="21"/>
        </w:rPr>
        <w:t>Br</w:t>
      </w:r>
      <w:r>
        <w:rPr>
          <w:szCs w:val="21"/>
          <w:vertAlign w:val="subscript"/>
        </w:rPr>
        <w:t xml:space="preserve">7 </w:t>
      </w:r>
      <w:r>
        <w:rPr>
          <w:szCs w:val="21"/>
        </w:rPr>
        <w:t>single crystals.</w:t>
      </w:r>
    </w:p>
    <w:p w:rsidR="001B3293" w:rsidRDefault="0026161B">
      <w:pPr>
        <w:spacing w:line="360" w:lineRule="auto"/>
        <w:rPr>
          <w:szCs w:val="21"/>
        </w:rPr>
      </w:pPr>
      <w:r>
        <w:rPr>
          <w:b/>
          <w:bCs/>
          <w:color w:val="000000" w:themeColor="text1"/>
        </w:rPr>
        <w:t>Sample characterizations</w:t>
      </w:r>
    </w:p>
    <w:p w:rsidR="001B3293" w:rsidRDefault="0026161B">
      <w:pPr>
        <w:spacing w:line="360" w:lineRule="auto"/>
        <w:ind w:firstLineChars="200" w:firstLine="480"/>
        <w:jc w:val="both"/>
        <w:rPr>
          <w:szCs w:val="21"/>
        </w:rPr>
      </w:pPr>
      <w:r>
        <w:rPr>
          <w:szCs w:val="21"/>
        </w:rPr>
        <w:t>The structural properties of the (PEA)</w:t>
      </w:r>
      <w:r>
        <w:rPr>
          <w:szCs w:val="21"/>
          <w:vertAlign w:val="subscript"/>
        </w:rPr>
        <w:t>2</w:t>
      </w:r>
      <w:r>
        <w:rPr>
          <w:szCs w:val="21"/>
        </w:rPr>
        <w:t>FA</w:t>
      </w:r>
      <w:r>
        <w:rPr>
          <w:szCs w:val="21"/>
          <w:vertAlign w:val="subscript"/>
        </w:rPr>
        <w:t>n-1</w:t>
      </w:r>
      <w:r>
        <w:rPr>
          <w:szCs w:val="21"/>
        </w:rPr>
        <w:t>Pb</w:t>
      </w:r>
      <w:r>
        <w:rPr>
          <w:szCs w:val="21"/>
          <w:vertAlign w:val="subscript"/>
        </w:rPr>
        <w:t>n</w:t>
      </w:r>
      <w:r>
        <w:rPr>
          <w:szCs w:val="21"/>
        </w:rPr>
        <w:t>Br</w:t>
      </w:r>
      <w:r>
        <w:rPr>
          <w:szCs w:val="21"/>
          <w:vertAlign w:val="subscript"/>
        </w:rPr>
        <w:t>3n+1</w:t>
      </w:r>
      <w:r>
        <w:rPr>
          <w:szCs w:val="21"/>
        </w:rPr>
        <w:t xml:space="preserve"> thin</w:t>
      </w:r>
      <w:r>
        <w:rPr>
          <w:szCs w:val="21"/>
          <w:vertAlign w:val="subscript"/>
        </w:rPr>
        <w:t xml:space="preserve"> </w:t>
      </w:r>
      <w:r>
        <w:rPr>
          <w:szCs w:val="21"/>
        </w:rPr>
        <w:t>films and PEA</w:t>
      </w:r>
      <w:r>
        <w:rPr>
          <w:szCs w:val="21"/>
          <w:vertAlign w:val="subscript"/>
        </w:rPr>
        <w:t>2</w:t>
      </w:r>
      <w:r>
        <w:rPr>
          <w:szCs w:val="21"/>
        </w:rPr>
        <w:t>FAPb</w:t>
      </w:r>
      <w:r>
        <w:rPr>
          <w:szCs w:val="21"/>
          <w:vertAlign w:val="subscript"/>
        </w:rPr>
        <w:t>2</w:t>
      </w:r>
      <w:r>
        <w:rPr>
          <w:szCs w:val="21"/>
        </w:rPr>
        <w:t>Br</w:t>
      </w:r>
      <w:r>
        <w:rPr>
          <w:szCs w:val="21"/>
          <w:vertAlign w:val="subscript"/>
        </w:rPr>
        <w:t xml:space="preserve">7 </w:t>
      </w:r>
      <w:r>
        <w:rPr>
          <w:szCs w:val="21"/>
        </w:rPr>
        <w:t xml:space="preserve">single crystals were characterized by X-ray diffraction (XRD) using a Rigaku D/MAX2500PC diffractometer with </w:t>
      </w:r>
      <w:r>
        <w:rPr>
          <w:color w:val="000000" w:themeColor="text1"/>
          <w:szCs w:val="21"/>
        </w:rPr>
        <w:t>Cu Kα radiation source (</w:t>
      </w:r>
      <w:r>
        <w:rPr>
          <w:i/>
          <w:iCs/>
          <w:color w:val="000000" w:themeColor="text1"/>
          <w:szCs w:val="21"/>
        </w:rPr>
        <w:t xml:space="preserve">λ </w:t>
      </w:r>
      <w:r>
        <w:rPr>
          <w:color w:val="000000" w:themeColor="text1"/>
          <w:szCs w:val="21"/>
        </w:rPr>
        <w:t>= 0.15406 nm)</w:t>
      </w:r>
      <w:r>
        <w:rPr>
          <w:szCs w:val="21"/>
        </w:rPr>
        <w:t xml:space="preserve">. Steady-state photoluminescence (PL) spectrum and steady-state absorption spectrum were acquired using an integrated micro-spectroscopy system (Gora-UVN-FL, Ideaoptics, China) equipped with 405 nm </w:t>
      </w:r>
      <w:r>
        <w:rPr>
          <w:color w:val="000000" w:themeColor="text1"/>
          <w:szCs w:val="21"/>
        </w:rPr>
        <w:t>excitation laser</w:t>
      </w:r>
      <w:r>
        <w:rPr>
          <w:szCs w:val="21"/>
        </w:rPr>
        <w:t xml:space="preserve"> and Halogen light source. The morphologies of the perovskite films were examined using SEM (TESCAN, MIRA3).</w:t>
      </w:r>
    </w:p>
    <w:p w:rsidR="001B3293" w:rsidRDefault="0026161B">
      <w:pPr>
        <w:spacing w:line="360" w:lineRule="auto"/>
        <w:rPr>
          <w:b/>
          <w:bCs/>
          <w:color w:val="000000" w:themeColor="text1"/>
        </w:rPr>
      </w:pPr>
      <w:r>
        <w:rPr>
          <w:b/>
          <w:bCs/>
          <w:i/>
          <w:iCs/>
          <w:color w:val="000000" w:themeColor="text1"/>
        </w:rPr>
        <w:t>I</w:t>
      </w:r>
      <w:bookmarkStart w:id="1" w:name="_Hlk187159053"/>
      <w:r>
        <w:rPr>
          <w:b/>
          <w:bCs/>
          <w:i/>
          <w:iCs/>
          <w:color w:val="000000" w:themeColor="text1"/>
        </w:rPr>
        <w:t>n situ</w:t>
      </w:r>
      <w:r>
        <w:rPr>
          <w:b/>
          <w:bCs/>
          <w:color w:val="000000" w:themeColor="text1"/>
        </w:rPr>
        <w:t xml:space="preserve"> high-pressure characterizations</w:t>
      </w:r>
      <w:bookmarkEnd w:id="1"/>
    </w:p>
    <w:p w:rsidR="001B3293" w:rsidRDefault="0026161B">
      <w:pPr>
        <w:spacing w:line="360" w:lineRule="auto"/>
        <w:ind w:firstLineChars="200" w:firstLine="480"/>
        <w:jc w:val="both"/>
        <w:rPr>
          <w:szCs w:val="21"/>
        </w:rPr>
      </w:pPr>
      <w:r>
        <w:rPr>
          <w:szCs w:val="21"/>
        </w:rPr>
        <w:t xml:space="preserve">High-pressure experiments were performed using a symmetrical diamond anvil cell (DAC) equipped with ultra-low fluorescence type II-a diamond anvils possessing a culet size of 800 μm. The sample was loaded into a chamber (approximately 400 μm in diameter and 30 μm in thickness) drilled at the center of a T301 stainless-steel gasket. Dimethylsilicone oil </w:t>
      </w:r>
      <w:r>
        <w:rPr>
          <w:szCs w:val="21"/>
        </w:rPr>
        <w:lastRenderedPageBreak/>
        <w:t xml:space="preserve">(viscosity 1000 ± 80 mPa·s, Macklin) was employed as the pressure-transmitting medium. Ruby spheres were co-loaded with the sample as a pressure calibrant, and the R1 fluorescence line was monitored for </w:t>
      </w:r>
      <w:r>
        <w:rPr>
          <w:i/>
          <w:iCs/>
          <w:szCs w:val="21"/>
        </w:rPr>
        <w:t>in situ</w:t>
      </w:r>
      <w:r>
        <w:rPr>
          <w:szCs w:val="21"/>
        </w:rPr>
        <w:t xml:space="preserve"> pressure determination. </w:t>
      </w:r>
    </w:p>
    <w:p w:rsidR="001B3293" w:rsidRDefault="0026161B">
      <w:pPr>
        <w:spacing w:line="360" w:lineRule="auto"/>
        <w:ind w:firstLineChars="200" w:firstLine="480"/>
        <w:jc w:val="both"/>
        <w:rPr>
          <w:szCs w:val="21"/>
        </w:rPr>
      </w:pPr>
      <w:r>
        <w:rPr>
          <w:i/>
          <w:iCs/>
          <w:szCs w:val="21"/>
        </w:rPr>
        <w:t xml:space="preserve">In Situ </w:t>
      </w:r>
      <w:r>
        <w:rPr>
          <w:szCs w:val="21"/>
        </w:rPr>
        <w:t xml:space="preserve">high-pressure ASE measurements were performed using a solid-state Nd:YAG laser (minite II Q-switched Nd:YAG) operating at a wavelength of 355 nm. The laser generated pulses with a duration of 7 nanoseconds at a repetition rate of 10 Hz. The pump energy was precisely quantified using a calibrated laser power and energy meter (Gentec). </w:t>
      </w:r>
      <w:r>
        <w:rPr>
          <w:i/>
          <w:iCs/>
          <w:szCs w:val="21"/>
        </w:rPr>
        <w:t>In situ</w:t>
      </w:r>
      <w:r>
        <w:rPr>
          <w:szCs w:val="21"/>
        </w:rPr>
        <w:t xml:space="preserve"> steady-state high-pressure PL spectrum and </w:t>
      </w:r>
      <w:r>
        <w:rPr>
          <w:i/>
          <w:iCs/>
          <w:szCs w:val="21"/>
        </w:rPr>
        <w:t>in situ</w:t>
      </w:r>
      <w:r>
        <w:rPr>
          <w:szCs w:val="21"/>
        </w:rPr>
        <w:t xml:space="preserve"> steady-state high-pressure absorption spectrum were characterized using the mcro-spectroscopy system described as above. </w:t>
      </w:r>
      <w:r>
        <w:rPr>
          <w:i/>
          <w:iCs/>
          <w:szCs w:val="21"/>
        </w:rPr>
        <w:t>In situ</w:t>
      </w:r>
      <w:r>
        <w:rPr>
          <w:szCs w:val="21"/>
        </w:rPr>
        <w:t xml:space="preserve"> high-pressure Raman spectrum experiments was carried out on the Raman spectrophotometer that previously mentioned. </w:t>
      </w:r>
      <w:r>
        <w:rPr>
          <w:i/>
          <w:iCs/>
          <w:szCs w:val="21"/>
        </w:rPr>
        <w:t xml:space="preserve">In Situ </w:t>
      </w:r>
      <w:r>
        <w:rPr>
          <w:szCs w:val="21"/>
        </w:rPr>
        <w:t xml:space="preserve">Raman spectra were acquired using a 633 nm laser source through an integrated Raman spectrophotometer (LabRAM HR, Horiba, Japan). </w:t>
      </w:r>
      <w:r>
        <w:rPr>
          <w:i/>
          <w:iCs/>
          <w:szCs w:val="21"/>
        </w:rPr>
        <w:t>In situ</w:t>
      </w:r>
      <w:r>
        <w:rPr>
          <w:szCs w:val="21"/>
        </w:rPr>
        <w:t xml:space="preserve"> high-pressure angle-dispersive X-ray diffraction (ADXRD) experiments were conducted at the BL15U1 beamline of the Shanghai Synchrotron Radiation Facility (SSRF). A pair of Kirkpatrick–Baez mirrors were employed to focus the monochromatic X-ray beam (wavelength = 0.6199 Å) onto the sample spot. </w:t>
      </w:r>
      <w:r>
        <w:rPr>
          <w:i/>
          <w:iCs/>
          <w:szCs w:val="21"/>
        </w:rPr>
        <w:t xml:space="preserve">In Situ </w:t>
      </w:r>
      <w:r>
        <w:rPr>
          <w:szCs w:val="21"/>
        </w:rPr>
        <w:t>high-pressure Transient Absorption Measurements were performed using a pump–probe spectroscopy system driven by a regenerative amplified Ti:sapphire laser system (Coherent Legend Elite HE+USP-1K-III, 35 fs, 1 kHz). The 355 nm pump pulses were generated by frequency conversion of a portion of the fundamental output through an optical parametric amplifier (OPA). A broadband probe pulse (400–800 nm) was produced by focusing the 800 nm laser pulse into a CaF</w:t>
      </w:r>
      <w:r>
        <w:rPr>
          <w:szCs w:val="21"/>
          <w:vertAlign w:val="subscript"/>
        </w:rPr>
        <w:t>2</w:t>
      </w:r>
      <w:r>
        <w:rPr>
          <w:szCs w:val="21"/>
        </w:rPr>
        <w:t xml:space="preserve"> crystal. The temporal delay between the pump and probe pulses was controlled by a motorized linear delay stage. The pump and probe beams were spatially overlapped at the sample, which was enclosed in a diamond anvil cell. Changes in the transmitted probe light were detected using a fiber-coupled spectrometer (AvaSpec-ULS2048CL-EVO, Avantes).</w:t>
      </w:r>
      <w:bookmarkStart w:id="2" w:name="_Hlk187159131"/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0B7D00" w:rsidRDefault="000B7D00">
      <w:pPr>
        <w:spacing w:line="360" w:lineRule="auto"/>
        <w:ind w:firstLineChars="200" w:firstLine="482"/>
        <w:jc w:val="both"/>
        <w:rPr>
          <w:b/>
          <w:bCs/>
          <w:color w:val="000000" w:themeColor="text1"/>
        </w:rPr>
      </w:pPr>
    </w:p>
    <w:p w:rsidR="001B3293" w:rsidRDefault="0026161B">
      <w:pPr>
        <w:spacing w:line="36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lastRenderedPageBreak/>
        <w:t>Supplementary Figures</w:t>
      </w:r>
      <w:bookmarkEnd w:id="2"/>
    </w:p>
    <w:p w:rsidR="001B3293" w:rsidRDefault="0026161B">
      <w:pPr>
        <w:spacing w:line="360" w:lineRule="auto"/>
        <w:jc w:val="center"/>
        <w:rPr>
          <w:b/>
          <w:bCs/>
          <w:color w:val="000000" w:themeColor="text1"/>
        </w:rPr>
      </w:pPr>
      <w:r>
        <w:rPr>
          <w:b/>
          <w:bCs/>
          <w:noProof/>
          <w:color w:val="000000" w:themeColor="text1"/>
        </w:rPr>
        <w:drawing>
          <wp:inline distT="0" distB="0" distL="0" distR="0">
            <wp:extent cx="4458970" cy="7465695"/>
            <wp:effectExtent l="0" t="0" r="0" b="1905"/>
            <wp:docPr id="17656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611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4129" cy="74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 xml:space="preserve">S1 </w:t>
      </w:r>
      <w:r>
        <w:rPr>
          <w:sz w:val="18"/>
          <w:szCs w:val="18"/>
        </w:rPr>
        <w:t>Power-dependent emission spectra and output</w:t>
      </w:r>
      <w:r>
        <w:rPr>
          <w:rFonts w:eastAsia="宋体" w:hint="eastAsia"/>
          <w:sz w:val="18"/>
          <w:szCs w:val="18"/>
          <w:lang w:val="en-US" w:eastAsia="zh-CN"/>
        </w:rPr>
        <w:t xml:space="preserve"> </w:t>
      </w:r>
      <w:r>
        <w:rPr>
          <w:sz w:val="18"/>
          <w:szCs w:val="18"/>
        </w:rPr>
        <w:t>intensity and FWHM versus the pumped density of</w:t>
      </w:r>
      <w:r>
        <w:rPr>
          <w:rFonts w:eastAsia="宋体" w:hint="eastAsia"/>
          <w:sz w:val="18"/>
          <w:szCs w:val="18"/>
          <w:lang w:val="en-US" w:eastAsia="zh-CN"/>
        </w:rPr>
        <w:t xml:space="preserve"> </w:t>
      </w:r>
      <w:r>
        <w:rPr>
          <w:sz w:val="18"/>
          <w:szCs w:val="18"/>
        </w:rPr>
        <w:t>different film size.</w:t>
      </w:r>
    </w:p>
    <w:p w:rsidR="001B3293" w:rsidRDefault="001B3293">
      <w:pPr>
        <w:spacing w:line="360" w:lineRule="auto"/>
        <w:jc w:val="center"/>
        <w:rPr>
          <w:b/>
          <w:bCs/>
          <w:color w:val="000000" w:themeColor="text1"/>
        </w:rPr>
      </w:pPr>
    </w:p>
    <w:p w:rsidR="001B3293" w:rsidRDefault="0026161B">
      <w:pPr>
        <w:spacing w:line="360" w:lineRule="auto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lastRenderedPageBreak/>
        <w:drawing>
          <wp:inline distT="0" distB="0" distL="0" distR="0">
            <wp:extent cx="3905885" cy="2540000"/>
            <wp:effectExtent l="0" t="0" r="0" b="0"/>
            <wp:docPr id="134543449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34493" name="图片 5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8453" cy="254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b/>
          <w:bCs/>
          <w:sz w:val="18"/>
          <w:szCs w:val="18"/>
        </w:rPr>
      </w:pPr>
      <w:bookmarkStart w:id="3" w:name="_Hlk215922722"/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 xml:space="preserve">S2 </w:t>
      </w:r>
      <w:bookmarkEnd w:id="3"/>
      <w:r>
        <w:rPr>
          <w:sz w:val="18"/>
          <w:szCs w:val="18"/>
        </w:rPr>
        <w:t>Optical micrograph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 xml:space="preserve">3n+1 </w:t>
      </w:r>
      <w:r>
        <w:rPr>
          <w:sz w:val="18"/>
          <w:szCs w:val="18"/>
        </w:rPr>
        <w:t>thin film in a DAC.</w:t>
      </w:r>
    </w:p>
    <w:p w:rsidR="001B3293" w:rsidRDefault="001B3293">
      <w:pPr>
        <w:spacing w:line="360" w:lineRule="auto"/>
        <w:ind w:firstLineChars="200" w:firstLine="361"/>
        <w:jc w:val="center"/>
        <w:rPr>
          <w:b/>
          <w:bCs/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lastRenderedPageBreak/>
        <w:drawing>
          <wp:inline distT="0" distB="0" distL="0" distR="0">
            <wp:extent cx="4006215" cy="8437880"/>
            <wp:effectExtent l="0" t="0" r="0" b="1270"/>
            <wp:docPr id="5753239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23909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6800" cy="843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>S3</w:t>
      </w:r>
      <w:r>
        <w:rPr>
          <w:sz w:val="18"/>
          <w:szCs w:val="18"/>
        </w:rPr>
        <w:t> Power-dependent emission spectra and output intensity and FWHM versus the pumped density at different pressure.</w:t>
      </w:r>
    </w:p>
    <w:p w:rsidR="001B3293" w:rsidRDefault="0026161B">
      <w:pPr>
        <w:spacing w:line="360" w:lineRule="auto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lastRenderedPageBreak/>
        <w:drawing>
          <wp:inline distT="0" distB="0" distL="0" distR="0">
            <wp:extent cx="5596890" cy="1992630"/>
            <wp:effectExtent l="0" t="0" r="3810" b="7620"/>
            <wp:docPr id="15166854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85415" name="图片 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633" cy="201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 xml:space="preserve"> S4</w:t>
      </w:r>
      <w:r>
        <w:rPr>
          <w:sz w:val="18"/>
          <w:szCs w:val="18"/>
        </w:rPr>
        <w:t> PL micrographs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 xml:space="preserve">3n+1 </w:t>
      </w:r>
      <w:r>
        <w:rPr>
          <w:sz w:val="18"/>
          <w:szCs w:val="18"/>
        </w:rPr>
        <w:t>thin film upon compression.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rPr>
          <w:sz w:val="18"/>
          <w:szCs w:val="18"/>
        </w:rPr>
      </w:pPr>
    </w:p>
    <w:p w:rsidR="001B3293" w:rsidRDefault="001B3293">
      <w:pPr>
        <w:spacing w:line="360" w:lineRule="auto"/>
        <w:rPr>
          <w:sz w:val="18"/>
          <w:szCs w:val="18"/>
        </w:rPr>
      </w:pPr>
    </w:p>
    <w:p w:rsidR="001B3293" w:rsidRDefault="001B3293">
      <w:pPr>
        <w:spacing w:line="360" w:lineRule="auto"/>
        <w:rPr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w:drawing>
          <wp:inline distT="0" distB="0" distL="0" distR="0">
            <wp:extent cx="4103370" cy="3378835"/>
            <wp:effectExtent l="0" t="0" r="0" b="0"/>
            <wp:docPr id="16583179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17921" name="图片 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3378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>S5</w:t>
      </w:r>
      <w:r>
        <w:rPr>
          <w:sz w:val="18"/>
          <w:szCs w:val="18"/>
        </w:rPr>
        <w:t xml:space="preserve"> Pressure-dependent PL spectra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>3n+1</w:t>
      </w:r>
      <w:r>
        <w:rPr>
          <w:sz w:val="18"/>
          <w:szCs w:val="18"/>
        </w:rPr>
        <w:t xml:space="preserve"> thin film upon compression.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4103370" cy="3140710"/>
            <wp:effectExtent l="0" t="0" r="0" b="2540"/>
            <wp:docPr id="94850713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507134" name="图片 3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3141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 xml:space="preserve">. </w:t>
      </w:r>
      <w:r>
        <w:rPr>
          <w:b/>
          <w:bCs/>
          <w:sz w:val="18"/>
          <w:szCs w:val="18"/>
        </w:rPr>
        <w:t>S6</w:t>
      </w:r>
      <w:r>
        <w:rPr>
          <w:sz w:val="18"/>
          <w:szCs w:val="18"/>
        </w:rPr>
        <w:t xml:space="preserve"> Evolution of PL peak position and intensity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 xml:space="preserve">3n+1 </w:t>
      </w:r>
      <w:r>
        <w:rPr>
          <w:sz w:val="18"/>
          <w:szCs w:val="18"/>
        </w:rPr>
        <w:t>thin film with applied pressure.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26161B">
      <w:pPr>
        <w:pStyle w:val="71e7dc79-1ff7-45e8-997d-0ebda3762b91"/>
        <w:ind w:firstLineChars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103370" cy="3364230"/>
            <wp:effectExtent l="0" t="0" r="0" b="7620"/>
            <wp:docPr id="160693833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938335" name="图片 13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4000" cy="336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>.</w:t>
      </w:r>
      <w:r>
        <w:rPr>
          <w:b/>
          <w:bCs/>
          <w:sz w:val="18"/>
          <w:szCs w:val="18"/>
        </w:rPr>
        <w:t xml:space="preserve"> S7</w:t>
      </w:r>
      <w:r>
        <w:rPr>
          <w:sz w:val="18"/>
          <w:szCs w:val="18"/>
        </w:rPr>
        <w:t> XRD spectra of PEA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FAPb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>7</w:t>
      </w:r>
      <w:r>
        <w:rPr>
          <w:sz w:val="18"/>
          <w:szCs w:val="18"/>
        </w:rPr>
        <w:t xml:space="preserve"> single crystals.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5229225" cy="1896745"/>
            <wp:effectExtent l="0" t="0" r="0" b="8255"/>
            <wp:docPr id="920745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745801" name="图片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043" cy="19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>.</w:t>
      </w:r>
      <w:r>
        <w:rPr>
          <w:b/>
          <w:bCs/>
          <w:sz w:val="18"/>
          <w:szCs w:val="18"/>
        </w:rPr>
        <w:t xml:space="preserve"> S8</w:t>
      </w:r>
      <w:r>
        <w:rPr>
          <w:sz w:val="18"/>
          <w:szCs w:val="18"/>
        </w:rPr>
        <w:t> Optical micrograph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 xml:space="preserve">3n+1 </w:t>
      </w:r>
      <w:r>
        <w:rPr>
          <w:sz w:val="18"/>
          <w:szCs w:val="18"/>
        </w:rPr>
        <w:t>thin film in a DAC at selected pressure.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5962650" cy="5213985"/>
            <wp:effectExtent l="0" t="0" r="0" b="5715"/>
            <wp:docPr id="175294997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949979" name="图片 2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895" cy="521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293" w:rsidRDefault="0026161B">
      <w:pPr>
        <w:spacing w:line="360" w:lineRule="auto"/>
        <w:ind w:firstLineChars="200" w:firstLine="361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Fig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>.</w:t>
      </w:r>
      <w:r>
        <w:rPr>
          <w:b/>
          <w:bCs/>
          <w:sz w:val="18"/>
          <w:szCs w:val="18"/>
        </w:rPr>
        <w:t xml:space="preserve"> S9</w:t>
      </w:r>
      <w:r>
        <w:rPr>
          <w:sz w:val="18"/>
          <w:szCs w:val="18"/>
        </w:rPr>
        <w:t> Direct bandgap Tauc spectra of (PEA)</w:t>
      </w:r>
      <w:r>
        <w:rPr>
          <w:sz w:val="18"/>
          <w:szCs w:val="18"/>
          <w:vertAlign w:val="subscript"/>
        </w:rPr>
        <w:t>2</w:t>
      </w:r>
      <w:r>
        <w:rPr>
          <w:sz w:val="18"/>
          <w:szCs w:val="18"/>
        </w:rPr>
        <w:t>FA</w:t>
      </w:r>
      <w:r>
        <w:rPr>
          <w:sz w:val="18"/>
          <w:szCs w:val="18"/>
          <w:vertAlign w:val="subscript"/>
        </w:rPr>
        <w:t>n-1</w:t>
      </w:r>
      <w:r>
        <w:rPr>
          <w:sz w:val="18"/>
          <w:szCs w:val="18"/>
        </w:rPr>
        <w:t>Pb</w:t>
      </w:r>
      <w:r>
        <w:rPr>
          <w:sz w:val="18"/>
          <w:szCs w:val="18"/>
          <w:vertAlign w:val="subscript"/>
        </w:rPr>
        <w:t>n</w:t>
      </w:r>
      <w:r>
        <w:rPr>
          <w:sz w:val="18"/>
          <w:szCs w:val="18"/>
        </w:rPr>
        <w:t>Br</w:t>
      </w:r>
      <w:r>
        <w:rPr>
          <w:sz w:val="18"/>
          <w:szCs w:val="18"/>
          <w:vertAlign w:val="subscript"/>
        </w:rPr>
        <w:t xml:space="preserve">3n+1 </w:t>
      </w:r>
      <w:r>
        <w:rPr>
          <w:sz w:val="18"/>
          <w:szCs w:val="18"/>
        </w:rPr>
        <w:t>thin film at different pressure.</w:t>
      </w: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1B3293">
      <w:pPr>
        <w:spacing w:line="360" w:lineRule="auto"/>
        <w:ind w:firstLineChars="200" w:firstLine="360"/>
        <w:jc w:val="center"/>
        <w:rPr>
          <w:sz w:val="18"/>
          <w:szCs w:val="18"/>
        </w:rPr>
      </w:pPr>
    </w:p>
    <w:p w:rsidR="001B3293" w:rsidRDefault="0026161B">
      <w:pPr>
        <w:spacing w:line="360" w:lineRule="auto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Table</w:t>
      </w:r>
      <w:r>
        <w:rPr>
          <w:rFonts w:eastAsia="宋体" w:hint="eastAsia"/>
          <w:b/>
          <w:bCs/>
          <w:sz w:val="18"/>
          <w:szCs w:val="18"/>
          <w:lang w:val="en-US" w:eastAsia="zh-CN"/>
        </w:rPr>
        <w:t>.</w:t>
      </w:r>
      <w:r>
        <w:rPr>
          <w:b/>
          <w:bCs/>
          <w:sz w:val="18"/>
          <w:szCs w:val="18"/>
        </w:rPr>
        <w:t xml:space="preserve"> S1</w:t>
      </w:r>
      <w:r>
        <w:rPr>
          <w:sz w:val="18"/>
          <w:szCs w:val="18"/>
        </w:rPr>
        <w:t> Pressure coefficients (d</w:t>
      </w:r>
      <w:r>
        <w:rPr>
          <w:rFonts w:eastAsia="宋体"/>
          <w:sz w:val="18"/>
          <w:szCs w:val="18"/>
        </w:rPr>
        <w:t>ω</w:t>
      </w:r>
      <w:r>
        <w:rPr>
          <w:sz w:val="18"/>
          <w:szCs w:val="18"/>
        </w:rPr>
        <w:t xml:space="preserve"> /dP, cm</w:t>
      </w:r>
      <w:r>
        <w:rPr>
          <w:sz w:val="18"/>
          <w:szCs w:val="18"/>
          <w:vertAlign w:val="superscript"/>
        </w:rPr>
        <w:t>-1</w:t>
      </w:r>
      <w:r>
        <w:rPr>
          <w:sz w:val="18"/>
          <w:szCs w:val="18"/>
        </w:rPr>
        <w:t>/GPa) of the observed Raman modes in the low-pressure (0~0.41 GPa) and high-pressure (&gt;0.41 GPa) regimes.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27"/>
        <w:gridCol w:w="3018"/>
      </w:tblGrid>
      <w:tr w:rsidR="001B3293">
        <w:tc>
          <w:tcPr>
            <w:tcW w:w="3027" w:type="dxa"/>
            <w:vMerge w:val="restart"/>
            <w:tcBorders>
              <w:top w:val="single" w:sz="12" w:space="0" w:color="auto"/>
            </w:tcBorders>
            <w:vAlign w:val="center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Raman modes (cm</w:t>
            </w:r>
            <w:r>
              <w:rPr>
                <w:sz w:val="18"/>
                <w:szCs w:val="18"/>
                <w:vertAlign w:val="superscript"/>
              </w:rPr>
              <w:t>-1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6045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dω /dP (cm</w:t>
            </w:r>
            <w:r>
              <w:rPr>
                <w:sz w:val="18"/>
                <w:szCs w:val="18"/>
                <w:vertAlign w:val="superscript"/>
              </w:rPr>
              <w:t>-1</w:t>
            </w:r>
            <w:r>
              <w:rPr>
                <w:sz w:val="18"/>
                <w:szCs w:val="18"/>
              </w:rPr>
              <w:t>/GPa)</w:t>
            </w:r>
          </w:p>
        </w:tc>
      </w:tr>
      <w:tr w:rsidR="001B3293">
        <w:tc>
          <w:tcPr>
            <w:tcW w:w="3027" w:type="dxa"/>
            <w:vMerge/>
            <w:tcBorders>
              <w:bottom w:val="single" w:sz="12" w:space="0" w:color="auto"/>
            </w:tcBorders>
          </w:tcPr>
          <w:p w:rsidR="001B3293" w:rsidRDefault="001B3293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027" w:type="dxa"/>
            <w:tcBorders>
              <w:top w:val="single" w:sz="12" w:space="0" w:color="auto"/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0~0.41 GPa</w:t>
            </w:r>
          </w:p>
        </w:tc>
        <w:tc>
          <w:tcPr>
            <w:tcW w:w="3018" w:type="dxa"/>
            <w:tcBorders>
              <w:top w:val="single" w:sz="12" w:space="0" w:color="auto"/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&gt;0.41 GPa</w:t>
            </w:r>
          </w:p>
        </w:tc>
      </w:tr>
      <w:tr w:rsidR="001B3293">
        <w:tc>
          <w:tcPr>
            <w:tcW w:w="3027" w:type="dxa"/>
            <w:tcBorders>
              <w:top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</w:t>
            </w:r>
          </w:p>
        </w:tc>
        <w:tc>
          <w:tcPr>
            <w:tcW w:w="3027" w:type="dxa"/>
            <w:tcBorders>
              <w:top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</w:t>
            </w:r>
          </w:p>
        </w:tc>
        <w:tc>
          <w:tcPr>
            <w:tcW w:w="3018" w:type="dxa"/>
            <w:tcBorders>
              <w:top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7.7</w:t>
            </w:r>
          </w:p>
        </w:tc>
      </w:tr>
      <w:tr w:rsidR="001B3293"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189 </w:t>
            </w:r>
          </w:p>
        </w:tc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8.8</w:t>
            </w:r>
          </w:p>
        </w:tc>
        <w:tc>
          <w:tcPr>
            <w:tcW w:w="3018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8.6</w:t>
            </w:r>
          </w:p>
        </w:tc>
      </w:tr>
      <w:tr w:rsidR="001B3293"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489</w:t>
            </w:r>
          </w:p>
        </w:tc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8.7</w:t>
            </w:r>
          </w:p>
        </w:tc>
        <w:tc>
          <w:tcPr>
            <w:tcW w:w="3018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8.4</w:t>
            </w:r>
          </w:p>
        </w:tc>
      </w:tr>
      <w:tr w:rsidR="001B3293"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</w:t>
            </w:r>
          </w:p>
        </w:tc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8.2</w:t>
            </w:r>
          </w:p>
        </w:tc>
        <w:tc>
          <w:tcPr>
            <w:tcW w:w="3018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7.5</w:t>
            </w:r>
          </w:p>
        </w:tc>
      </w:tr>
      <w:tr w:rsidR="001B3293"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2906</w:t>
            </w:r>
          </w:p>
        </w:tc>
        <w:tc>
          <w:tcPr>
            <w:tcW w:w="3027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14.5</w:t>
            </w:r>
          </w:p>
        </w:tc>
        <w:tc>
          <w:tcPr>
            <w:tcW w:w="3018" w:type="dxa"/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7.9</w:t>
            </w:r>
          </w:p>
        </w:tc>
      </w:tr>
      <w:tr w:rsidR="001B3293">
        <w:tc>
          <w:tcPr>
            <w:tcW w:w="3027" w:type="dxa"/>
            <w:tcBorders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2966</w:t>
            </w:r>
          </w:p>
        </w:tc>
        <w:tc>
          <w:tcPr>
            <w:tcW w:w="3027" w:type="dxa"/>
            <w:tcBorders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19.2</w:t>
            </w:r>
          </w:p>
        </w:tc>
        <w:tc>
          <w:tcPr>
            <w:tcW w:w="3018" w:type="dxa"/>
            <w:tcBorders>
              <w:bottom w:val="single" w:sz="12" w:space="0" w:color="auto"/>
            </w:tcBorders>
          </w:tcPr>
          <w:p w:rsidR="001B3293" w:rsidRDefault="0026161B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</w:tr>
    </w:tbl>
    <w:p w:rsidR="001B3293" w:rsidRDefault="001B3293"/>
    <w:sectPr w:rsidR="001B3293" w:rsidSect="00764236">
      <w:headerReference w:type="default" r:id="rId20"/>
      <w:footerReference w:type="default" r:id="rId21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3B4B" w:rsidRDefault="008F3B4B">
      <w:r>
        <w:separator/>
      </w:r>
    </w:p>
  </w:endnote>
  <w:endnote w:type="continuationSeparator" w:id="0">
    <w:p w:rsidR="008F3B4B" w:rsidRDefault="008F3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dvOTb83ee1dd . B">
    <w:altName w:val="Segoe Print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293" w:rsidRDefault="0026161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1B3293" w:rsidRDefault="001B32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3B4B" w:rsidRDefault="008F3B4B">
      <w:r>
        <w:separator/>
      </w:r>
    </w:p>
  </w:footnote>
  <w:footnote w:type="continuationSeparator" w:id="0">
    <w:p w:rsidR="008F3B4B" w:rsidRDefault="008F3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293" w:rsidRDefault="0026161B">
    <w:pPr>
      <w:pStyle w:val="a8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C49"/>
    <w:rsid w:val="00011F40"/>
    <w:rsid w:val="0001454A"/>
    <w:rsid w:val="0001683C"/>
    <w:rsid w:val="000172E7"/>
    <w:rsid w:val="000214A8"/>
    <w:rsid w:val="00023F64"/>
    <w:rsid w:val="000279B4"/>
    <w:rsid w:val="00027FB5"/>
    <w:rsid w:val="000314D2"/>
    <w:rsid w:val="0003318F"/>
    <w:rsid w:val="0004094E"/>
    <w:rsid w:val="00040B7B"/>
    <w:rsid w:val="00041C1B"/>
    <w:rsid w:val="000437F7"/>
    <w:rsid w:val="00050985"/>
    <w:rsid w:val="0005501E"/>
    <w:rsid w:val="00055883"/>
    <w:rsid w:val="0006044D"/>
    <w:rsid w:val="00060D37"/>
    <w:rsid w:val="00062324"/>
    <w:rsid w:val="00063C0E"/>
    <w:rsid w:val="00067C29"/>
    <w:rsid w:val="00072EA7"/>
    <w:rsid w:val="00076EAD"/>
    <w:rsid w:val="0008287E"/>
    <w:rsid w:val="00083031"/>
    <w:rsid w:val="0008740B"/>
    <w:rsid w:val="000904D3"/>
    <w:rsid w:val="0009052E"/>
    <w:rsid w:val="0009309C"/>
    <w:rsid w:val="00093F1B"/>
    <w:rsid w:val="00094C15"/>
    <w:rsid w:val="000A1F4B"/>
    <w:rsid w:val="000A21A9"/>
    <w:rsid w:val="000A38D2"/>
    <w:rsid w:val="000A3E93"/>
    <w:rsid w:val="000A472C"/>
    <w:rsid w:val="000A5773"/>
    <w:rsid w:val="000A682F"/>
    <w:rsid w:val="000B05A0"/>
    <w:rsid w:val="000B33EE"/>
    <w:rsid w:val="000B4293"/>
    <w:rsid w:val="000B7D00"/>
    <w:rsid w:val="000C259E"/>
    <w:rsid w:val="000C3E0C"/>
    <w:rsid w:val="000C6252"/>
    <w:rsid w:val="000C6F8A"/>
    <w:rsid w:val="000D2D4B"/>
    <w:rsid w:val="000D45F4"/>
    <w:rsid w:val="000D5AB4"/>
    <w:rsid w:val="000D66DB"/>
    <w:rsid w:val="000D7EBA"/>
    <w:rsid w:val="000D7FE6"/>
    <w:rsid w:val="000E788B"/>
    <w:rsid w:val="000E7A5B"/>
    <w:rsid w:val="000E7BBA"/>
    <w:rsid w:val="000F439F"/>
    <w:rsid w:val="000F512F"/>
    <w:rsid w:val="001013F4"/>
    <w:rsid w:val="001054D4"/>
    <w:rsid w:val="0010686C"/>
    <w:rsid w:val="00107897"/>
    <w:rsid w:val="00107C5F"/>
    <w:rsid w:val="00107CCC"/>
    <w:rsid w:val="00110011"/>
    <w:rsid w:val="001105BD"/>
    <w:rsid w:val="00116C82"/>
    <w:rsid w:val="00120BE6"/>
    <w:rsid w:val="00120E85"/>
    <w:rsid w:val="00123ADA"/>
    <w:rsid w:val="00125573"/>
    <w:rsid w:val="0012642A"/>
    <w:rsid w:val="00126D17"/>
    <w:rsid w:val="001305BF"/>
    <w:rsid w:val="00131D58"/>
    <w:rsid w:val="00132D14"/>
    <w:rsid w:val="001370B1"/>
    <w:rsid w:val="001377CA"/>
    <w:rsid w:val="00140B94"/>
    <w:rsid w:val="001450FB"/>
    <w:rsid w:val="0014658A"/>
    <w:rsid w:val="00147DB8"/>
    <w:rsid w:val="00151683"/>
    <w:rsid w:val="0015392F"/>
    <w:rsid w:val="0015563E"/>
    <w:rsid w:val="00155F66"/>
    <w:rsid w:val="0016390D"/>
    <w:rsid w:val="00164057"/>
    <w:rsid w:val="00165B37"/>
    <w:rsid w:val="00170369"/>
    <w:rsid w:val="00171DF8"/>
    <w:rsid w:val="00173757"/>
    <w:rsid w:val="00174176"/>
    <w:rsid w:val="00181D92"/>
    <w:rsid w:val="001823B6"/>
    <w:rsid w:val="001848EB"/>
    <w:rsid w:val="00187DB9"/>
    <w:rsid w:val="0019077D"/>
    <w:rsid w:val="0019194D"/>
    <w:rsid w:val="0019723B"/>
    <w:rsid w:val="001A4240"/>
    <w:rsid w:val="001A6821"/>
    <w:rsid w:val="001A734D"/>
    <w:rsid w:val="001B0E68"/>
    <w:rsid w:val="001B3231"/>
    <w:rsid w:val="001B3293"/>
    <w:rsid w:val="001B4224"/>
    <w:rsid w:val="001B7472"/>
    <w:rsid w:val="001C10AC"/>
    <w:rsid w:val="001C55FB"/>
    <w:rsid w:val="001D12BC"/>
    <w:rsid w:val="001D3A42"/>
    <w:rsid w:val="001D561D"/>
    <w:rsid w:val="001E18CC"/>
    <w:rsid w:val="001E3D2D"/>
    <w:rsid w:val="001E4605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D95"/>
    <w:rsid w:val="00215531"/>
    <w:rsid w:val="002162B2"/>
    <w:rsid w:val="00216F54"/>
    <w:rsid w:val="00220933"/>
    <w:rsid w:val="00220C72"/>
    <w:rsid w:val="0022540C"/>
    <w:rsid w:val="00226AA4"/>
    <w:rsid w:val="00227118"/>
    <w:rsid w:val="00233C8A"/>
    <w:rsid w:val="00236036"/>
    <w:rsid w:val="00240D90"/>
    <w:rsid w:val="00253CB1"/>
    <w:rsid w:val="002543F9"/>
    <w:rsid w:val="00256B43"/>
    <w:rsid w:val="00257ADD"/>
    <w:rsid w:val="0026161B"/>
    <w:rsid w:val="00262571"/>
    <w:rsid w:val="00263334"/>
    <w:rsid w:val="00263723"/>
    <w:rsid w:val="00263CF8"/>
    <w:rsid w:val="00265635"/>
    <w:rsid w:val="00266389"/>
    <w:rsid w:val="002675F7"/>
    <w:rsid w:val="002725A5"/>
    <w:rsid w:val="0027314F"/>
    <w:rsid w:val="0028289F"/>
    <w:rsid w:val="00284157"/>
    <w:rsid w:val="00285631"/>
    <w:rsid w:val="00290D94"/>
    <w:rsid w:val="0029203C"/>
    <w:rsid w:val="00294873"/>
    <w:rsid w:val="002A4A81"/>
    <w:rsid w:val="002A73A2"/>
    <w:rsid w:val="002A7CE8"/>
    <w:rsid w:val="002B0671"/>
    <w:rsid w:val="002B262F"/>
    <w:rsid w:val="002B3553"/>
    <w:rsid w:val="002B5A0A"/>
    <w:rsid w:val="002B5E06"/>
    <w:rsid w:val="002C0CFF"/>
    <w:rsid w:val="002D09B9"/>
    <w:rsid w:val="002D16A0"/>
    <w:rsid w:val="002D2930"/>
    <w:rsid w:val="002D2DFF"/>
    <w:rsid w:val="002D3D6D"/>
    <w:rsid w:val="002D5BF8"/>
    <w:rsid w:val="002D7ECC"/>
    <w:rsid w:val="002E1B8F"/>
    <w:rsid w:val="002E2DEF"/>
    <w:rsid w:val="002E4E3E"/>
    <w:rsid w:val="002E76B2"/>
    <w:rsid w:val="002E79A2"/>
    <w:rsid w:val="002F4F4B"/>
    <w:rsid w:val="002F55FD"/>
    <w:rsid w:val="002F594C"/>
    <w:rsid w:val="00301984"/>
    <w:rsid w:val="00301B0B"/>
    <w:rsid w:val="00301E84"/>
    <w:rsid w:val="00302E7A"/>
    <w:rsid w:val="00303D1B"/>
    <w:rsid w:val="003046B7"/>
    <w:rsid w:val="00306D4E"/>
    <w:rsid w:val="00317A57"/>
    <w:rsid w:val="00320A99"/>
    <w:rsid w:val="0032144B"/>
    <w:rsid w:val="00321E38"/>
    <w:rsid w:val="00322D5B"/>
    <w:rsid w:val="00325AC2"/>
    <w:rsid w:val="00326A1C"/>
    <w:rsid w:val="00327FDC"/>
    <w:rsid w:val="003302FB"/>
    <w:rsid w:val="003360E3"/>
    <w:rsid w:val="003371D5"/>
    <w:rsid w:val="003376CD"/>
    <w:rsid w:val="003452C3"/>
    <w:rsid w:val="003501A7"/>
    <w:rsid w:val="0035048A"/>
    <w:rsid w:val="00354F9C"/>
    <w:rsid w:val="0036263B"/>
    <w:rsid w:val="00363B62"/>
    <w:rsid w:val="003645B0"/>
    <w:rsid w:val="00364B2C"/>
    <w:rsid w:val="003664F1"/>
    <w:rsid w:val="00367E3F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4C44"/>
    <w:rsid w:val="003A5AD0"/>
    <w:rsid w:val="003A6CE3"/>
    <w:rsid w:val="003A7899"/>
    <w:rsid w:val="003B15EE"/>
    <w:rsid w:val="003B517D"/>
    <w:rsid w:val="003B60EC"/>
    <w:rsid w:val="003C00ED"/>
    <w:rsid w:val="003C1C0A"/>
    <w:rsid w:val="003C35DF"/>
    <w:rsid w:val="003C4A68"/>
    <w:rsid w:val="003C554F"/>
    <w:rsid w:val="003C61DD"/>
    <w:rsid w:val="003D63E7"/>
    <w:rsid w:val="003E05F1"/>
    <w:rsid w:val="003E113B"/>
    <w:rsid w:val="003E5092"/>
    <w:rsid w:val="003E715D"/>
    <w:rsid w:val="003F103E"/>
    <w:rsid w:val="003F2E48"/>
    <w:rsid w:val="003F440C"/>
    <w:rsid w:val="003F525A"/>
    <w:rsid w:val="003F7BE6"/>
    <w:rsid w:val="004006A9"/>
    <w:rsid w:val="00400E3B"/>
    <w:rsid w:val="00404548"/>
    <w:rsid w:val="004052AE"/>
    <w:rsid w:val="004118A5"/>
    <w:rsid w:val="00413672"/>
    <w:rsid w:val="00414041"/>
    <w:rsid w:val="00414465"/>
    <w:rsid w:val="00414729"/>
    <w:rsid w:val="00414C80"/>
    <w:rsid w:val="00414F4B"/>
    <w:rsid w:val="00415EF9"/>
    <w:rsid w:val="00416629"/>
    <w:rsid w:val="00417DA1"/>
    <w:rsid w:val="00423478"/>
    <w:rsid w:val="00425B76"/>
    <w:rsid w:val="004260A2"/>
    <w:rsid w:val="00426FC6"/>
    <w:rsid w:val="004273BC"/>
    <w:rsid w:val="00427C5F"/>
    <w:rsid w:val="00441EAC"/>
    <w:rsid w:val="00442D32"/>
    <w:rsid w:val="004507E5"/>
    <w:rsid w:val="004519AD"/>
    <w:rsid w:val="0045459A"/>
    <w:rsid w:val="004545DB"/>
    <w:rsid w:val="0045786A"/>
    <w:rsid w:val="004603E8"/>
    <w:rsid w:val="00460F76"/>
    <w:rsid w:val="00462F12"/>
    <w:rsid w:val="00463050"/>
    <w:rsid w:val="0046340F"/>
    <w:rsid w:val="00466168"/>
    <w:rsid w:val="0046778B"/>
    <w:rsid w:val="004714D4"/>
    <w:rsid w:val="00475712"/>
    <w:rsid w:val="00480CCE"/>
    <w:rsid w:val="00482FAA"/>
    <w:rsid w:val="00484912"/>
    <w:rsid w:val="00487211"/>
    <w:rsid w:val="0049075F"/>
    <w:rsid w:val="00492DA8"/>
    <w:rsid w:val="004A0888"/>
    <w:rsid w:val="004A3829"/>
    <w:rsid w:val="004A43B6"/>
    <w:rsid w:val="004A70EE"/>
    <w:rsid w:val="004A774E"/>
    <w:rsid w:val="004A7D3E"/>
    <w:rsid w:val="004A7FF9"/>
    <w:rsid w:val="004B379D"/>
    <w:rsid w:val="004B5F0C"/>
    <w:rsid w:val="004B6031"/>
    <w:rsid w:val="004C046E"/>
    <w:rsid w:val="004C1609"/>
    <w:rsid w:val="004C216B"/>
    <w:rsid w:val="004C56CA"/>
    <w:rsid w:val="004C5DD3"/>
    <w:rsid w:val="004D30F9"/>
    <w:rsid w:val="004D4A32"/>
    <w:rsid w:val="004D525B"/>
    <w:rsid w:val="004D64AB"/>
    <w:rsid w:val="004E7CE8"/>
    <w:rsid w:val="004F271D"/>
    <w:rsid w:val="004F5114"/>
    <w:rsid w:val="004F756C"/>
    <w:rsid w:val="005001FA"/>
    <w:rsid w:val="005019AF"/>
    <w:rsid w:val="0050488D"/>
    <w:rsid w:val="00504D12"/>
    <w:rsid w:val="0050527A"/>
    <w:rsid w:val="0050535A"/>
    <w:rsid w:val="005106F5"/>
    <w:rsid w:val="00511192"/>
    <w:rsid w:val="005118AD"/>
    <w:rsid w:val="00512353"/>
    <w:rsid w:val="00521F9F"/>
    <w:rsid w:val="005220C2"/>
    <w:rsid w:val="00522E88"/>
    <w:rsid w:val="00523369"/>
    <w:rsid w:val="0052398F"/>
    <w:rsid w:val="0052773C"/>
    <w:rsid w:val="00532380"/>
    <w:rsid w:val="00532960"/>
    <w:rsid w:val="005346D2"/>
    <w:rsid w:val="00540BB4"/>
    <w:rsid w:val="00545A73"/>
    <w:rsid w:val="00546DEB"/>
    <w:rsid w:val="00546F0F"/>
    <w:rsid w:val="005477E7"/>
    <w:rsid w:val="00550159"/>
    <w:rsid w:val="00551897"/>
    <w:rsid w:val="00551FFD"/>
    <w:rsid w:val="00552A0F"/>
    <w:rsid w:val="005551ED"/>
    <w:rsid w:val="00556419"/>
    <w:rsid w:val="005572B4"/>
    <w:rsid w:val="005572DD"/>
    <w:rsid w:val="00557C3B"/>
    <w:rsid w:val="00560564"/>
    <w:rsid w:val="00562E2B"/>
    <w:rsid w:val="00564668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6A95"/>
    <w:rsid w:val="00583ED5"/>
    <w:rsid w:val="00587437"/>
    <w:rsid w:val="00591916"/>
    <w:rsid w:val="00592678"/>
    <w:rsid w:val="00594644"/>
    <w:rsid w:val="0059526F"/>
    <w:rsid w:val="00596F36"/>
    <w:rsid w:val="005A1741"/>
    <w:rsid w:val="005A235F"/>
    <w:rsid w:val="005A751F"/>
    <w:rsid w:val="005A7719"/>
    <w:rsid w:val="005A77C2"/>
    <w:rsid w:val="005B291B"/>
    <w:rsid w:val="005B6F9F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E0858"/>
    <w:rsid w:val="005E2794"/>
    <w:rsid w:val="005E3CBF"/>
    <w:rsid w:val="005E6F9D"/>
    <w:rsid w:val="005E7B5A"/>
    <w:rsid w:val="005F01FC"/>
    <w:rsid w:val="005F0C89"/>
    <w:rsid w:val="005F3701"/>
    <w:rsid w:val="005F41DF"/>
    <w:rsid w:val="005F4521"/>
    <w:rsid w:val="005F5478"/>
    <w:rsid w:val="006006FC"/>
    <w:rsid w:val="006045BA"/>
    <w:rsid w:val="0060583A"/>
    <w:rsid w:val="00611649"/>
    <w:rsid w:val="00611A0E"/>
    <w:rsid w:val="00614154"/>
    <w:rsid w:val="00614BD3"/>
    <w:rsid w:val="00623A77"/>
    <w:rsid w:val="006256F5"/>
    <w:rsid w:val="0063097B"/>
    <w:rsid w:val="006364B8"/>
    <w:rsid w:val="00636A64"/>
    <w:rsid w:val="00636B93"/>
    <w:rsid w:val="00640550"/>
    <w:rsid w:val="0064326A"/>
    <w:rsid w:val="00644D5D"/>
    <w:rsid w:val="0064695B"/>
    <w:rsid w:val="00646DC7"/>
    <w:rsid w:val="006511FB"/>
    <w:rsid w:val="00651A9D"/>
    <w:rsid w:val="00654C93"/>
    <w:rsid w:val="00656092"/>
    <w:rsid w:val="0065741C"/>
    <w:rsid w:val="00660B85"/>
    <w:rsid w:val="006622E0"/>
    <w:rsid w:val="00662DCE"/>
    <w:rsid w:val="00664F6D"/>
    <w:rsid w:val="006650B8"/>
    <w:rsid w:val="00666329"/>
    <w:rsid w:val="006672EE"/>
    <w:rsid w:val="0067011F"/>
    <w:rsid w:val="0067015E"/>
    <w:rsid w:val="00680453"/>
    <w:rsid w:val="00682526"/>
    <w:rsid w:val="00683555"/>
    <w:rsid w:val="00686F1D"/>
    <w:rsid w:val="00692F7A"/>
    <w:rsid w:val="00695E06"/>
    <w:rsid w:val="00696315"/>
    <w:rsid w:val="006A0D51"/>
    <w:rsid w:val="006A1C05"/>
    <w:rsid w:val="006A225B"/>
    <w:rsid w:val="006A30D2"/>
    <w:rsid w:val="006A5A6A"/>
    <w:rsid w:val="006A5FE3"/>
    <w:rsid w:val="006B23B2"/>
    <w:rsid w:val="006B4845"/>
    <w:rsid w:val="006B635C"/>
    <w:rsid w:val="006C1708"/>
    <w:rsid w:val="006C1C29"/>
    <w:rsid w:val="006C3782"/>
    <w:rsid w:val="006C3CDE"/>
    <w:rsid w:val="006C4745"/>
    <w:rsid w:val="006D0EE8"/>
    <w:rsid w:val="006D3162"/>
    <w:rsid w:val="006D37E7"/>
    <w:rsid w:val="006D3CE2"/>
    <w:rsid w:val="006D5146"/>
    <w:rsid w:val="006D59D6"/>
    <w:rsid w:val="006D5C04"/>
    <w:rsid w:val="006D7508"/>
    <w:rsid w:val="006E0F2F"/>
    <w:rsid w:val="006E19D7"/>
    <w:rsid w:val="006E71B9"/>
    <w:rsid w:val="006F0FE9"/>
    <w:rsid w:val="006F39B2"/>
    <w:rsid w:val="006F5384"/>
    <w:rsid w:val="006F6604"/>
    <w:rsid w:val="006F6896"/>
    <w:rsid w:val="006F71D8"/>
    <w:rsid w:val="006F7D1A"/>
    <w:rsid w:val="00702F6F"/>
    <w:rsid w:val="0070346C"/>
    <w:rsid w:val="007051A0"/>
    <w:rsid w:val="00706496"/>
    <w:rsid w:val="00711A12"/>
    <w:rsid w:val="00711F11"/>
    <w:rsid w:val="007154C4"/>
    <w:rsid w:val="00715DB9"/>
    <w:rsid w:val="007174BE"/>
    <w:rsid w:val="007218A0"/>
    <w:rsid w:val="007238AF"/>
    <w:rsid w:val="00726799"/>
    <w:rsid w:val="00726908"/>
    <w:rsid w:val="007270C7"/>
    <w:rsid w:val="00730F3A"/>
    <w:rsid w:val="00731501"/>
    <w:rsid w:val="00735F34"/>
    <w:rsid w:val="00736944"/>
    <w:rsid w:val="00741200"/>
    <w:rsid w:val="00741333"/>
    <w:rsid w:val="00742FF2"/>
    <w:rsid w:val="00744D6A"/>
    <w:rsid w:val="00746138"/>
    <w:rsid w:val="0074620A"/>
    <w:rsid w:val="00751D50"/>
    <w:rsid w:val="007527D5"/>
    <w:rsid w:val="00752F3C"/>
    <w:rsid w:val="00754A8B"/>
    <w:rsid w:val="007561FC"/>
    <w:rsid w:val="00761D34"/>
    <w:rsid w:val="00762D2D"/>
    <w:rsid w:val="00764236"/>
    <w:rsid w:val="00764622"/>
    <w:rsid w:val="00764CAD"/>
    <w:rsid w:val="00770FA1"/>
    <w:rsid w:val="00773884"/>
    <w:rsid w:val="00774813"/>
    <w:rsid w:val="0078052A"/>
    <w:rsid w:val="007812FB"/>
    <w:rsid w:val="00784032"/>
    <w:rsid w:val="00786E79"/>
    <w:rsid w:val="00787925"/>
    <w:rsid w:val="00790E31"/>
    <w:rsid w:val="00791578"/>
    <w:rsid w:val="00793B87"/>
    <w:rsid w:val="0079566E"/>
    <w:rsid w:val="00796509"/>
    <w:rsid w:val="0079691E"/>
    <w:rsid w:val="00797723"/>
    <w:rsid w:val="007B1EEE"/>
    <w:rsid w:val="007B249B"/>
    <w:rsid w:val="007B61AF"/>
    <w:rsid w:val="007B6D4D"/>
    <w:rsid w:val="007B6FAF"/>
    <w:rsid w:val="007B7A09"/>
    <w:rsid w:val="007C0F7A"/>
    <w:rsid w:val="007D24A9"/>
    <w:rsid w:val="007D27FA"/>
    <w:rsid w:val="007D30B5"/>
    <w:rsid w:val="007D6218"/>
    <w:rsid w:val="007D6699"/>
    <w:rsid w:val="007D7E30"/>
    <w:rsid w:val="007E0A75"/>
    <w:rsid w:val="007E6419"/>
    <w:rsid w:val="007F6815"/>
    <w:rsid w:val="007F6BA8"/>
    <w:rsid w:val="0080681B"/>
    <w:rsid w:val="0080738C"/>
    <w:rsid w:val="00810B77"/>
    <w:rsid w:val="00817436"/>
    <w:rsid w:val="00822217"/>
    <w:rsid w:val="0082542D"/>
    <w:rsid w:val="00827834"/>
    <w:rsid w:val="00832835"/>
    <w:rsid w:val="00835110"/>
    <w:rsid w:val="008351FC"/>
    <w:rsid w:val="00841F50"/>
    <w:rsid w:val="00843A0E"/>
    <w:rsid w:val="00845DFE"/>
    <w:rsid w:val="00846E17"/>
    <w:rsid w:val="0085200A"/>
    <w:rsid w:val="00854283"/>
    <w:rsid w:val="008573E3"/>
    <w:rsid w:val="00861E81"/>
    <w:rsid w:val="008621BF"/>
    <w:rsid w:val="008645FF"/>
    <w:rsid w:val="00866D42"/>
    <w:rsid w:val="0087030E"/>
    <w:rsid w:val="00870AAC"/>
    <w:rsid w:val="008734F7"/>
    <w:rsid w:val="00874E9F"/>
    <w:rsid w:val="00877842"/>
    <w:rsid w:val="00877FE5"/>
    <w:rsid w:val="008806F8"/>
    <w:rsid w:val="008808E2"/>
    <w:rsid w:val="00881456"/>
    <w:rsid w:val="00881ACB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C0B84"/>
    <w:rsid w:val="008C41DA"/>
    <w:rsid w:val="008C553A"/>
    <w:rsid w:val="008C588E"/>
    <w:rsid w:val="008C6D5F"/>
    <w:rsid w:val="008C7226"/>
    <w:rsid w:val="008D7B80"/>
    <w:rsid w:val="008E243B"/>
    <w:rsid w:val="008E4184"/>
    <w:rsid w:val="008E549F"/>
    <w:rsid w:val="008E6301"/>
    <w:rsid w:val="008F10BC"/>
    <w:rsid w:val="008F2052"/>
    <w:rsid w:val="008F26ED"/>
    <w:rsid w:val="008F2A38"/>
    <w:rsid w:val="008F3012"/>
    <w:rsid w:val="008F3B4B"/>
    <w:rsid w:val="008F592B"/>
    <w:rsid w:val="00901D14"/>
    <w:rsid w:val="00903775"/>
    <w:rsid w:val="009109F7"/>
    <w:rsid w:val="00912137"/>
    <w:rsid w:val="00915BED"/>
    <w:rsid w:val="00916B64"/>
    <w:rsid w:val="0092145D"/>
    <w:rsid w:val="009245DE"/>
    <w:rsid w:val="00930762"/>
    <w:rsid w:val="00930C0C"/>
    <w:rsid w:val="00936B81"/>
    <w:rsid w:val="00944701"/>
    <w:rsid w:val="00950ED1"/>
    <w:rsid w:val="00952A7A"/>
    <w:rsid w:val="00953A02"/>
    <w:rsid w:val="0095444E"/>
    <w:rsid w:val="00955C67"/>
    <w:rsid w:val="00957B65"/>
    <w:rsid w:val="00960AFF"/>
    <w:rsid w:val="0096385A"/>
    <w:rsid w:val="00963F62"/>
    <w:rsid w:val="00964763"/>
    <w:rsid w:val="00965EFC"/>
    <w:rsid w:val="0097161B"/>
    <w:rsid w:val="009762D2"/>
    <w:rsid w:val="009762F1"/>
    <w:rsid w:val="0097692D"/>
    <w:rsid w:val="009776D2"/>
    <w:rsid w:val="00977EA8"/>
    <w:rsid w:val="0098140D"/>
    <w:rsid w:val="00981CED"/>
    <w:rsid w:val="00983E37"/>
    <w:rsid w:val="00987225"/>
    <w:rsid w:val="00990870"/>
    <w:rsid w:val="00990DCF"/>
    <w:rsid w:val="009920F5"/>
    <w:rsid w:val="00992B56"/>
    <w:rsid w:val="00992CDA"/>
    <w:rsid w:val="00993342"/>
    <w:rsid w:val="00996CE4"/>
    <w:rsid w:val="009A0FB3"/>
    <w:rsid w:val="009A3F36"/>
    <w:rsid w:val="009A48D8"/>
    <w:rsid w:val="009A6C59"/>
    <w:rsid w:val="009A7878"/>
    <w:rsid w:val="009B0888"/>
    <w:rsid w:val="009B1690"/>
    <w:rsid w:val="009B33DF"/>
    <w:rsid w:val="009B4270"/>
    <w:rsid w:val="009B44CC"/>
    <w:rsid w:val="009B5651"/>
    <w:rsid w:val="009B62E4"/>
    <w:rsid w:val="009B706A"/>
    <w:rsid w:val="009C4319"/>
    <w:rsid w:val="009D109E"/>
    <w:rsid w:val="009D1CD9"/>
    <w:rsid w:val="009D1F28"/>
    <w:rsid w:val="009D28E5"/>
    <w:rsid w:val="009D4830"/>
    <w:rsid w:val="009D520D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E66"/>
    <w:rsid w:val="009F7888"/>
    <w:rsid w:val="00A02AC3"/>
    <w:rsid w:val="00A06840"/>
    <w:rsid w:val="00A06EAD"/>
    <w:rsid w:val="00A1293C"/>
    <w:rsid w:val="00A14F9B"/>
    <w:rsid w:val="00A167F1"/>
    <w:rsid w:val="00A17D09"/>
    <w:rsid w:val="00A2085F"/>
    <w:rsid w:val="00A20EC0"/>
    <w:rsid w:val="00A2150B"/>
    <w:rsid w:val="00A215D9"/>
    <w:rsid w:val="00A2292C"/>
    <w:rsid w:val="00A22DD6"/>
    <w:rsid w:val="00A23FC3"/>
    <w:rsid w:val="00A25F1B"/>
    <w:rsid w:val="00A3288D"/>
    <w:rsid w:val="00A329DC"/>
    <w:rsid w:val="00A41135"/>
    <w:rsid w:val="00A41FEB"/>
    <w:rsid w:val="00A42FBA"/>
    <w:rsid w:val="00A44DA6"/>
    <w:rsid w:val="00A50921"/>
    <w:rsid w:val="00A5160D"/>
    <w:rsid w:val="00A56CA4"/>
    <w:rsid w:val="00A65F04"/>
    <w:rsid w:val="00A65F2E"/>
    <w:rsid w:val="00A7086D"/>
    <w:rsid w:val="00A71AD5"/>
    <w:rsid w:val="00A8073E"/>
    <w:rsid w:val="00A80883"/>
    <w:rsid w:val="00A81BED"/>
    <w:rsid w:val="00A82FC6"/>
    <w:rsid w:val="00A85A0D"/>
    <w:rsid w:val="00A92270"/>
    <w:rsid w:val="00AA10AE"/>
    <w:rsid w:val="00AA329F"/>
    <w:rsid w:val="00AA7B6A"/>
    <w:rsid w:val="00AB593E"/>
    <w:rsid w:val="00AB5D37"/>
    <w:rsid w:val="00AB683F"/>
    <w:rsid w:val="00AC4A2E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2B38"/>
    <w:rsid w:val="00B004C1"/>
    <w:rsid w:val="00B0168B"/>
    <w:rsid w:val="00B03458"/>
    <w:rsid w:val="00B04B8E"/>
    <w:rsid w:val="00B1072F"/>
    <w:rsid w:val="00B15820"/>
    <w:rsid w:val="00B215D8"/>
    <w:rsid w:val="00B2218A"/>
    <w:rsid w:val="00B23F64"/>
    <w:rsid w:val="00B246ED"/>
    <w:rsid w:val="00B26DD0"/>
    <w:rsid w:val="00B338C8"/>
    <w:rsid w:val="00B341CC"/>
    <w:rsid w:val="00B35321"/>
    <w:rsid w:val="00B35505"/>
    <w:rsid w:val="00B35CB3"/>
    <w:rsid w:val="00B35E0A"/>
    <w:rsid w:val="00B40124"/>
    <w:rsid w:val="00B40B86"/>
    <w:rsid w:val="00B42E03"/>
    <w:rsid w:val="00B443E2"/>
    <w:rsid w:val="00B46222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BB1"/>
    <w:rsid w:val="00B63559"/>
    <w:rsid w:val="00B73979"/>
    <w:rsid w:val="00B751B0"/>
    <w:rsid w:val="00B762E0"/>
    <w:rsid w:val="00B86188"/>
    <w:rsid w:val="00B86C54"/>
    <w:rsid w:val="00B874C4"/>
    <w:rsid w:val="00B97AA2"/>
    <w:rsid w:val="00B97B8E"/>
    <w:rsid w:val="00BA00A8"/>
    <w:rsid w:val="00BA0378"/>
    <w:rsid w:val="00BA37A4"/>
    <w:rsid w:val="00BA4FB0"/>
    <w:rsid w:val="00BA6138"/>
    <w:rsid w:val="00BB1930"/>
    <w:rsid w:val="00BB3478"/>
    <w:rsid w:val="00BC2247"/>
    <w:rsid w:val="00BC5572"/>
    <w:rsid w:val="00BD497C"/>
    <w:rsid w:val="00BD57EE"/>
    <w:rsid w:val="00BE4E8A"/>
    <w:rsid w:val="00BE6478"/>
    <w:rsid w:val="00BF2A79"/>
    <w:rsid w:val="00BF375F"/>
    <w:rsid w:val="00C02372"/>
    <w:rsid w:val="00C044C3"/>
    <w:rsid w:val="00C10453"/>
    <w:rsid w:val="00C12E60"/>
    <w:rsid w:val="00C13BCA"/>
    <w:rsid w:val="00C141B9"/>
    <w:rsid w:val="00C158CF"/>
    <w:rsid w:val="00C16518"/>
    <w:rsid w:val="00C1787D"/>
    <w:rsid w:val="00C20F14"/>
    <w:rsid w:val="00C22B7C"/>
    <w:rsid w:val="00C23B8E"/>
    <w:rsid w:val="00C3184D"/>
    <w:rsid w:val="00C331FD"/>
    <w:rsid w:val="00C340E5"/>
    <w:rsid w:val="00C34DCB"/>
    <w:rsid w:val="00C36D0C"/>
    <w:rsid w:val="00C3708D"/>
    <w:rsid w:val="00C4138A"/>
    <w:rsid w:val="00C4191B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CD4"/>
    <w:rsid w:val="00C609C3"/>
    <w:rsid w:val="00C60E16"/>
    <w:rsid w:val="00C65E4E"/>
    <w:rsid w:val="00C66610"/>
    <w:rsid w:val="00C66648"/>
    <w:rsid w:val="00C66FEF"/>
    <w:rsid w:val="00C70CB4"/>
    <w:rsid w:val="00C727A7"/>
    <w:rsid w:val="00C728D5"/>
    <w:rsid w:val="00C72CF7"/>
    <w:rsid w:val="00C74C16"/>
    <w:rsid w:val="00C75119"/>
    <w:rsid w:val="00C76DD6"/>
    <w:rsid w:val="00C90B62"/>
    <w:rsid w:val="00C91C08"/>
    <w:rsid w:val="00C959F3"/>
    <w:rsid w:val="00C97F0E"/>
    <w:rsid w:val="00CA06AC"/>
    <w:rsid w:val="00CA1D9E"/>
    <w:rsid w:val="00CA242A"/>
    <w:rsid w:val="00CA27BD"/>
    <w:rsid w:val="00CA2AB6"/>
    <w:rsid w:val="00CA36DE"/>
    <w:rsid w:val="00CA4BCC"/>
    <w:rsid w:val="00CA5313"/>
    <w:rsid w:val="00CB01D6"/>
    <w:rsid w:val="00CB311E"/>
    <w:rsid w:val="00CB71E1"/>
    <w:rsid w:val="00CC021F"/>
    <w:rsid w:val="00CC0ED3"/>
    <w:rsid w:val="00CC1894"/>
    <w:rsid w:val="00CC2EE2"/>
    <w:rsid w:val="00CC3D03"/>
    <w:rsid w:val="00CC45DB"/>
    <w:rsid w:val="00CC5651"/>
    <w:rsid w:val="00CC73FF"/>
    <w:rsid w:val="00CD141E"/>
    <w:rsid w:val="00CD43F2"/>
    <w:rsid w:val="00CD45DA"/>
    <w:rsid w:val="00CD4FA9"/>
    <w:rsid w:val="00CE2EA4"/>
    <w:rsid w:val="00CE5714"/>
    <w:rsid w:val="00CE6138"/>
    <w:rsid w:val="00CE6F33"/>
    <w:rsid w:val="00CE6F59"/>
    <w:rsid w:val="00CE7AAB"/>
    <w:rsid w:val="00CF2673"/>
    <w:rsid w:val="00CF2DA1"/>
    <w:rsid w:val="00CF43B1"/>
    <w:rsid w:val="00CF7E35"/>
    <w:rsid w:val="00D0614B"/>
    <w:rsid w:val="00D06AD1"/>
    <w:rsid w:val="00D17549"/>
    <w:rsid w:val="00D24D97"/>
    <w:rsid w:val="00D275F5"/>
    <w:rsid w:val="00D376F1"/>
    <w:rsid w:val="00D43CA8"/>
    <w:rsid w:val="00D4523D"/>
    <w:rsid w:val="00D4593F"/>
    <w:rsid w:val="00D45BD4"/>
    <w:rsid w:val="00D4775B"/>
    <w:rsid w:val="00D47AB8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53F6"/>
    <w:rsid w:val="00D7737D"/>
    <w:rsid w:val="00D80897"/>
    <w:rsid w:val="00D81375"/>
    <w:rsid w:val="00D8540E"/>
    <w:rsid w:val="00D85C4D"/>
    <w:rsid w:val="00D8730B"/>
    <w:rsid w:val="00D87749"/>
    <w:rsid w:val="00D9072A"/>
    <w:rsid w:val="00D94852"/>
    <w:rsid w:val="00DA039C"/>
    <w:rsid w:val="00DA10B4"/>
    <w:rsid w:val="00DA6EBE"/>
    <w:rsid w:val="00DB27CC"/>
    <w:rsid w:val="00DB2A54"/>
    <w:rsid w:val="00DB4EF9"/>
    <w:rsid w:val="00DC29FE"/>
    <w:rsid w:val="00DC430C"/>
    <w:rsid w:val="00DC60FB"/>
    <w:rsid w:val="00DC7319"/>
    <w:rsid w:val="00DC742E"/>
    <w:rsid w:val="00DD38DC"/>
    <w:rsid w:val="00DD63FF"/>
    <w:rsid w:val="00DF1BBF"/>
    <w:rsid w:val="00DF3145"/>
    <w:rsid w:val="00DF4B0E"/>
    <w:rsid w:val="00E01E4B"/>
    <w:rsid w:val="00E062B0"/>
    <w:rsid w:val="00E0711E"/>
    <w:rsid w:val="00E0770C"/>
    <w:rsid w:val="00E14DFA"/>
    <w:rsid w:val="00E17EA5"/>
    <w:rsid w:val="00E229DB"/>
    <w:rsid w:val="00E2571A"/>
    <w:rsid w:val="00E26EDC"/>
    <w:rsid w:val="00E2713C"/>
    <w:rsid w:val="00E30B42"/>
    <w:rsid w:val="00E342D7"/>
    <w:rsid w:val="00E34554"/>
    <w:rsid w:val="00E34D1F"/>
    <w:rsid w:val="00E35C26"/>
    <w:rsid w:val="00E40003"/>
    <w:rsid w:val="00E410EA"/>
    <w:rsid w:val="00E41D5C"/>
    <w:rsid w:val="00E437F7"/>
    <w:rsid w:val="00E45281"/>
    <w:rsid w:val="00E529F9"/>
    <w:rsid w:val="00E55017"/>
    <w:rsid w:val="00E55416"/>
    <w:rsid w:val="00E557D1"/>
    <w:rsid w:val="00E56282"/>
    <w:rsid w:val="00E616BF"/>
    <w:rsid w:val="00E658AA"/>
    <w:rsid w:val="00E6656A"/>
    <w:rsid w:val="00E70D30"/>
    <w:rsid w:val="00E716BA"/>
    <w:rsid w:val="00E735DC"/>
    <w:rsid w:val="00E75977"/>
    <w:rsid w:val="00E76431"/>
    <w:rsid w:val="00E7686D"/>
    <w:rsid w:val="00E813BA"/>
    <w:rsid w:val="00E8590C"/>
    <w:rsid w:val="00E85F76"/>
    <w:rsid w:val="00E93590"/>
    <w:rsid w:val="00E94506"/>
    <w:rsid w:val="00E95A7B"/>
    <w:rsid w:val="00E969E9"/>
    <w:rsid w:val="00E970B2"/>
    <w:rsid w:val="00EA01A0"/>
    <w:rsid w:val="00EA155A"/>
    <w:rsid w:val="00EA24D4"/>
    <w:rsid w:val="00EA2851"/>
    <w:rsid w:val="00EA3515"/>
    <w:rsid w:val="00EA4472"/>
    <w:rsid w:val="00EA55FE"/>
    <w:rsid w:val="00EB0B4F"/>
    <w:rsid w:val="00EB1B59"/>
    <w:rsid w:val="00EB4384"/>
    <w:rsid w:val="00EB6065"/>
    <w:rsid w:val="00EB734B"/>
    <w:rsid w:val="00EC0826"/>
    <w:rsid w:val="00EC4E99"/>
    <w:rsid w:val="00EC7E23"/>
    <w:rsid w:val="00ED3A21"/>
    <w:rsid w:val="00ED54F9"/>
    <w:rsid w:val="00ED6982"/>
    <w:rsid w:val="00EE0218"/>
    <w:rsid w:val="00EE0E54"/>
    <w:rsid w:val="00EE1033"/>
    <w:rsid w:val="00EE114E"/>
    <w:rsid w:val="00EE5C60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2F3F"/>
    <w:rsid w:val="00F05EE0"/>
    <w:rsid w:val="00F06985"/>
    <w:rsid w:val="00F07DE8"/>
    <w:rsid w:val="00F156B3"/>
    <w:rsid w:val="00F15FD8"/>
    <w:rsid w:val="00F21A1A"/>
    <w:rsid w:val="00F22813"/>
    <w:rsid w:val="00F22FC8"/>
    <w:rsid w:val="00F27F36"/>
    <w:rsid w:val="00F32B8C"/>
    <w:rsid w:val="00F33383"/>
    <w:rsid w:val="00F33D5B"/>
    <w:rsid w:val="00F4030B"/>
    <w:rsid w:val="00F42F65"/>
    <w:rsid w:val="00F444F5"/>
    <w:rsid w:val="00F4602E"/>
    <w:rsid w:val="00F46BCF"/>
    <w:rsid w:val="00F515AF"/>
    <w:rsid w:val="00F53E05"/>
    <w:rsid w:val="00F5550A"/>
    <w:rsid w:val="00F55A56"/>
    <w:rsid w:val="00F56088"/>
    <w:rsid w:val="00F6031D"/>
    <w:rsid w:val="00F61303"/>
    <w:rsid w:val="00F65606"/>
    <w:rsid w:val="00F66614"/>
    <w:rsid w:val="00F67764"/>
    <w:rsid w:val="00F67C19"/>
    <w:rsid w:val="00F71232"/>
    <w:rsid w:val="00F74722"/>
    <w:rsid w:val="00F75F45"/>
    <w:rsid w:val="00F81908"/>
    <w:rsid w:val="00F82957"/>
    <w:rsid w:val="00F83BD2"/>
    <w:rsid w:val="00F857CA"/>
    <w:rsid w:val="00F92C2B"/>
    <w:rsid w:val="00F94241"/>
    <w:rsid w:val="00F945CD"/>
    <w:rsid w:val="00F95ECF"/>
    <w:rsid w:val="00F9792C"/>
    <w:rsid w:val="00F97AAA"/>
    <w:rsid w:val="00FA4AD8"/>
    <w:rsid w:val="00FB3597"/>
    <w:rsid w:val="00FB53CA"/>
    <w:rsid w:val="00FC3750"/>
    <w:rsid w:val="00FC487C"/>
    <w:rsid w:val="00FC51A5"/>
    <w:rsid w:val="00FD0B36"/>
    <w:rsid w:val="00FD168A"/>
    <w:rsid w:val="00FD3643"/>
    <w:rsid w:val="00FD553C"/>
    <w:rsid w:val="00FD6F5E"/>
    <w:rsid w:val="00FE087D"/>
    <w:rsid w:val="00FE133D"/>
    <w:rsid w:val="00FE2090"/>
    <w:rsid w:val="00FE359D"/>
    <w:rsid w:val="00FE47EA"/>
    <w:rsid w:val="00FE4D5F"/>
    <w:rsid w:val="00FE7BC4"/>
    <w:rsid w:val="00FF050D"/>
    <w:rsid w:val="00FF29D4"/>
    <w:rsid w:val="00FF388D"/>
    <w:rsid w:val="1DD45313"/>
    <w:rsid w:val="24B27C0E"/>
    <w:rsid w:val="4CC052CA"/>
    <w:rsid w:val="5556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B9C4FCE-399D-456E-BA54-9AA8B77D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unhideWhenUsed="1" w:qFormat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val="de-DE"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Pr>
      <w:sz w:val="20"/>
      <w:szCs w:val="20"/>
      <w:lang w:val="zh-CN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iPriority w:val="99"/>
    <w:qFormat/>
    <w:pPr>
      <w:tabs>
        <w:tab w:val="center" w:pos="4536"/>
        <w:tab w:val="right" w:pos="9072"/>
      </w:tabs>
    </w:pPr>
  </w:style>
  <w:style w:type="paragraph" w:styleId="a8">
    <w:name w:val="header"/>
    <w:basedOn w:val="a"/>
    <w:link w:val="a9"/>
    <w:qFormat/>
    <w:pPr>
      <w:tabs>
        <w:tab w:val="center" w:pos="4536"/>
        <w:tab w:val="right" w:pos="9072"/>
      </w:tabs>
    </w:pPr>
    <w:rPr>
      <w:lang w:val="zh-CN"/>
    </w:rPr>
  </w:style>
  <w:style w:type="paragraph" w:styleId="aa">
    <w:name w:val="footnote text"/>
    <w:basedOn w:val="a"/>
    <w:semiHidden/>
    <w:qFormat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styleId="ab">
    <w:name w:val="Normal (Web)"/>
    <w:basedOn w:val="a"/>
    <w:uiPriority w:val="99"/>
    <w:semiHidden/>
    <w:unhideWhenUsed/>
    <w:qFormat/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qFormat/>
    <w:rPr>
      <w:rFonts w:eastAsia="宋体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0">
    <w:name w:val="annotation reference"/>
    <w:uiPriority w:val="99"/>
    <w:semiHidden/>
    <w:unhideWhenUsed/>
    <w:qFormat/>
    <w:rPr>
      <w:sz w:val="16"/>
      <w:szCs w:val="16"/>
    </w:rPr>
  </w:style>
  <w:style w:type="paragraph" w:customStyle="1" w:styleId="History">
    <w:name w:val="History"/>
    <w:basedOn w:val="a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qFormat/>
  </w:style>
  <w:style w:type="paragraph" w:customStyle="1" w:styleId="TableCaption">
    <w:name w:val="TableCaption"/>
    <w:basedOn w:val="a"/>
    <w:qFormat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</w:style>
  <w:style w:type="paragraph" w:customStyle="1" w:styleId="TableFoot">
    <w:name w:val="TableFoot"/>
    <w:basedOn w:val="TableBody"/>
    <w:pPr>
      <w:spacing w:before="60" w:after="60"/>
    </w:pPr>
  </w:style>
  <w:style w:type="paragraph" w:customStyle="1" w:styleId="SchemeCaption">
    <w:name w:val="SchemeCaption"/>
    <w:basedOn w:val="a"/>
    <w:qFormat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Pr>
      <w:rFonts w:ascii="Times" w:hAnsi="Times"/>
      <w:sz w:val="18"/>
      <w:szCs w:val="3276"/>
      <w:lang w:val="en-GB" w:eastAsia="de-DE" w:bidi="ar-SA"/>
    </w:rPr>
  </w:style>
  <w:style w:type="paragraph" w:customStyle="1" w:styleId="Title1">
    <w:name w:val="Title1"/>
    <w:basedOn w:val="a"/>
    <w:qFormat/>
    <w:rPr>
      <w:b/>
      <w:lang w:val="en-US"/>
    </w:rPr>
  </w:style>
  <w:style w:type="paragraph" w:customStyle="1" w:styleId="AuthorsFull">
    <w:name w:val="Authors Full"/>
    <w:basedOn w:val="a"/>
    <w:qFormat/>
    <w:rPr>
      <w:i/>
      <w:lang w:val="en-US"/>
    </w:rPr>
  </w:style>
  <w:style w:type="paragraph" w:customStyle="1" w:styleId="dedication">
    <w:name w:val="dedication"/>
    <w:basedOn w:val="a"/>
    <w:qFormat/>
    <w:rPr>
      <w:i/>
      <w:lang w:val="en-US"/>
    </w:rPr>
  </w:style>
  <w:style w:type="paragraph" w:customStyle="1" w:styleId="Addresses">
    <w:name w:val="Addresses"/>
    <w:basedOn w:val="a"/>
    <w:qFormat/>
    <w:rPr>
      <w:lang w:val="en-US"/>
    </w:rPr>
  </w:style>
  <w:style w:type="paragraph" w:customStyle="1" w:styleId="Acknowledgements">
    <w:name w:val="Acknowledgements"/>
    <w:basedOn w:val="a"/>
    <w:qFormat/>
    <w:rPr>
      <w:lang w:val="en-US"/>
    </w:rPr>
  </w:style>
  <w:style w:type="paragraph" w:customStyle="1" w:styleId="Abstract">
    <w:name w:val="Abstract"/>
    <w:basedOn w:val="a"/>
    <w:autoRedefine/>
    <w:qFormat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qFormat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qFormat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pPr>
      <w:spacing w:line="480" w:lineRule="auto"/>
    </w:pPr>
  </w:style>
  <w:style w:type="paragraph" w:customStyle="1" w:styleId="Legend">
    <w:name w:val="Legend"/>
    <w:basedOn w:val="a"/>
    <w:qFormat/>
    <w:rPr>
      <w:lang w:val="en-US"/>
    </w:rPr>
  </w:style>
  <w:style w:type="paragraph" w:customStyle="1" w:styleId="MainText">
    <w:name w:val="Main Text"/>
    <w:basedOn w:val="a"/>
    <w:link w:val="MainTextChar"/>
    <w:qFormat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autoRedefine/>
    <w:qFormat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qFormat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qFormat/>
    <w:rPr>
      <w:b/>
      <w:lang w:val="en-US"/>
    </w:rPr>
  </w:style>
  <w:style w:type="paragraph" w:customStyle="1" w:styleId="Dedication0">
    <w:name w:val="Dedication"/>
    <w:basedOn w:val="a"/>
    <w:autoRedefine/>
    <w:qFormat/>
    <w:rPr>
      <w:lang w:val="en-US"/>
    </w:rPr>
  </w:style>
  <w:style w:type="paragraph" w:customStyle="1" w:styleId="Maintext0">
    <w:name w:val="Main text"/>
    <w:basedOn w:val="a"/>
    <w:link w:val="MaintextChar0"/>
    <w:autoRedefine/>
    <w:qFormat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qFormat/>
    <w:rPr>
      <w:i/>
      <w:lang w:val="en-US"/>
    </w:rPr>
  </w:style>
  <w:style w:type="character" w:customStyle="1" w:styleId="a9">
    <w:name w:val="页眉 字符"/>
    <w:link w:val="a8"/>
    <w:qFormat/>
    <w:rPr>
      <w:sz w:val="24"/>
      <w:szCs w:val="24"/>
      <w:lang w:eastAsia="ja-JP"/>
    </w:rPr>
  </w:style>
  <w:style w:type="character" w:customStyle="1" w:styleId="a4">
    <w:name w:val="批注文字 字符"/>
    <w:link w:val="a3"/>
    <w:uiPriority w:val="99"/>
    <w:qFormat/>
    <w:rPr>
      <w:lang w:eastAsia="ja-JP"/>
    </w:rPr>
  </w:style>
  <w:style w:type="character" w:customStyle="1" w:styleId="ad">
    <w:name w:val="批注主题 字符"/>
    <w:link w:val="ac"/>
    <w:uiPriority w:val="99"/>
    <w:semiHidden/>
    <w:qFormat/>
    <w:rPr>
      <w:b/>
      <w:bCs/>
      <w:lang w:eastAsia="ja-JP"/>
    </w:rPr>
  </w:style>
  <w:style w:type="character" w:customStyle="1" w:styleId="a7">
    <w:name w:val="页脚 字符"/>
    <w:link w:val="a6"/>
    <w:uiPriority w:val="99"/>
    <w:qFormat/>
    <w:rPr>
      <w:sz w:val="24"/>
      <w:szCs w:val="24"/>
      <w:lang w:eastAsia="ja-JP"/>
    </w:rPr>
  </w:style>
  <w:style w:type="paragraph" w:customStyle="1" w:styleId="1">
    <w:name w:val="修订1"/>
    <w:hidden/>
    <w:uiPriority w:val="99"/>
    <w:semiHidden/>
    <w:qFormat/>
    <w:rPr>
      <w:sz w:val="24"/>
      <w:szCs w:val="24"/>
      <w:lang w:val="de-DE" w:eastAsia="ja-JP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71e7dc79-1ff7-45e8-997d-0ebda3762b91">
    <w:name w:val="71e7dc79-1ff7-45e8-997d-0ebda3762b91"/>
    <w:basedOn w:val="2"/>
    <w:next w:val="a"/>
    <w:link w:val="71e7dc79-1ff7-45e8-997d-0ebda3762b910"/>
    <w:qFormat/>
    <w:pPr>
      <w:widowControl w:val="0"/>
      <w:adjustRightInd w:val="0"/>
      <w:spacing w:before="0" w:after="0" w:line="288" w:lineRule="auto"/>
      <w:ind w:firstLineChars="200" w:firstLine="200"/>
    </w:pPr>
    <w:rPr>
      <w:rFonts w:ascii="微软雅黑" w:eastAsia="微软雅黑" w:hAnsi="微软雅黑" w:cs="Times New Roman"/>
      <w:color w:val="000000"/>
      <w:kern w:val="2"/>
      <w:sz w:val="28"/>
      <w:szCs w:val="18"/>
      <w:lang w:val="en-US" w:eastAsia="zh-CN"/>
    </w:rPr>
  </w:style>
  <w:style w:type="character" w:customStyle="1" w:styleId="71e7dc79-1ff7-45e8-997d-0ebda3762b910">
    <w:name w:val="71e7dc79-1ff7-45e8-997d-0ebda3762b91 字符"/>
    <w:basedOn w:val="a0"/>
    <w:link w:val="71e7dc79-1ff7-45e8-997d-0ebda3762b91"/>
    <w:qFormat/>
    <w:rPr>
      <w:rFonts w:ascii="微软雅黑" w:eastAsia="微软雅黑" w:hAnsi="微软雅黑"/>
      <w:b/>
      <w:bCs/>
      <w:color w:val="000000"/>
      <w:kern w:val="2"/>
      <w:sz w:val="28"/>
      <w:szCs w:val="18"/>
      <w:lang w:val="en-US" w:eastAsia="zh-CN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  <w:lang w:val="de-DE" w:eastAsia="ja-JP"/>
    </w:rPr>
  </w:style>
  <w:style w:type="character" w:customStyle="1" w:styleId="fontstyle01">
    <w:name w:val="fontstyle01"/>
    <w:basedOn w:val="a0"/>
    <w:qFormat/>
    <w:rsid w:val="00484912"/>
    <w:rPr>
      <w:rFonts w:ascii="AdvOTb83ee1dd . B" w:eastAsia="AdvOTb83ee1dd . B" w:hAnsi="AdvOTb83ee1dd . B" w:cs="AdvOTb83ee1dd . B"/>
      <w:color w:val="000000"/>
      <w:sz w:val="16"/>
      <w:szCs w:val="16"/>
    </w:rPr>
  </w:style>
  <w:style w:type="character" w:styleId="af1">
    <w:name w:val="line number"/>
    <w:basedOn w:val="a0"/>
    <w:uiPriority w:val="99"/>
    <w:semiHidden/>
    <w:unhideWhenUsed/>
    <w:rsid w:val="00764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446C3525B3CB46BD92ABA5C2617223" ma:contentTypeVersion="12" ma:contentTypeDescription="Ein neues Dokument erstellen." ma:contentTypeScope="" ma:versionID="ace6bbd061d3e3241e07436f437a906c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645148a839964f4ba651d3ea90aa0208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6C925C-E763-4769-9959-2FEDA6D7C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DAF621-91F5-4737-901A-4C75DCC51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1075</Words>
  <Characters>6134</Characters>
  <Application>Microsoft Office Word</Application>
  <DocSecurity>0</DocSecurity>
  <Lines>51</Lines>
  <Paragraphs>14</Paragraphs>
  <ScaleCrop>false</ScaleCrop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Göbel, Uta</dc:creator>
  <cp:lastModifiedBy>小铜</cp:lastModifiedBy>
  <cp:revision>6</cp:revision>
  <dcterms:created xsi:type="dcterms:W3CDTF">2026-08-22T07:55:00Z</dcterms:created>
  <dcterms:modified xsi:type="dcterms:W3CDTF">2026-09-15T13:48:00Z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KSOTemplateDocerSaveRecord">
    <vt:lpwstr>eyJoZGlkIjoiOGQ2ODI2ZTBkNWEzYjFiMGFjZDcyOTAzNGQ0NDAxNjUiLCJ1c2VySWQiOiIxMDYzMDc5NjI1In0=</vt:lpwstr>
  </property>
  <property fmtid="{D5CDD505-2E9C-101B-9397-08002B2CF9AE}" pid="4" name="KSOProductBuildVer">
    <vt:lpwstr>2052-12.1.0.28505</vt:lpwstr>
  </property>
  <property fmtid="{D5CDD505-2E9C-101B-9397-08002B2CF9AE}" pid="5" name="ICV">
    <vt:lpwstr>83DB9F2151A34E5991722BEB2F26189B_12</vt:lpwstr>
  </property>
</Properties>
</file>