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6F5AD" w14:textId="77777777" w:rsidR="005D1439" w:rsidRPr="005D1439" w:rsidRDefault="005D1439" w:rsidP="005D1439">
      <w:pPr>
        <w:rPr>
          <w:b/>
          <w:bCs/>
          <w:lang w:val="en-US"/>
        </w:rPr>
      </w:pPr>
      <w:r w:rsidRPr="005D1439">
        <w:rPr>
          <w:b/>
          <w:lang w:val="en-US"/>
        </w:rPr>
        <w:t>Supplementary Materials</w:t>
      </w:r>
      <w:r w:rsidRPr="005D1439">
        <w:rPr>
          <w:b/>
          <w:lang w:val="en-US"/>
        </w:rPr>
        <w:br/>
      </w:r>
      <w:r w:rsidRPr="005D1439">
        <w:rPr>
          <w:lang w:val="en-US"/>
        </w:rPr>
        <w:t xml:space="preserve">The following supplementary material is available with this article: Supplementary Table S1, complete locked 30-gene program definitions for eight programs; Supplementary Table S2, provenance of the 50 exact GSE135337 discovery states and 18 exact GSE169379 validation states; Supplementary Table S3, external </w:t>
      </w:r>
      <w:proofErr w:type="spellStart"/>
      <w:r w:rsidRPr="005D1439">
        <w:rPr>
          <w:lang w:val="en-US"/>
        </w:rPr>
        <w:t>scRNA</w:t>
      </w:r>
      <w:proofErr w:type="spellEnd"/>
      <w:r w:rsidRPr="005D1439">
        <w:rPr>
          <w:lang w:val="en-US"/>
        </w:rPr>
        <w:t>-seq matching, Harmony sensitivity, patient-level leave-one-gene-out coherence and expression-matched null V2 summaries; Supplementary Table S4, program-gene robustness, fixed-marker composition sensitivity and spatial source results; and Supplementary Table S5, full multiplicity-adjusted clinical association results and overall-survival summaries.</w:t>
      </w:r>
    </w:p>
    <w:p w14:paraId="06ED0970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39"/>
    <w:rsid w:val="001D0669"/>
    <w:rsid w:val="005D1439"/>
    <w:rsid w:val="00767E38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D2B99"/>
  <w15:chartTrackingRefBased/>
  <w15:docId w15:val="{EB2A2D1F-A275-42A2-8093-CEC38619A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14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14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14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14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14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14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14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14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14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4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14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14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14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14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14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14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14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14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14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14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14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14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14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14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14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14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4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4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14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2026-10-30T17:16:00Z</dcterms:created>
  <dcterms:modified xsi:type="dcterms:W3CDTF">2026-10-30T17:16:00Z</dcterms:modified>
</cp:coreProperties>
</file>