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777E4" w14:textId="279CE025" w:rsidR="00C57FCA" w:rsidRDefault="005935C3" w:rsidP="003A6B23">
      <w:pPr>
        <w:spacing w:after="0" w:line="360" w:lineRule="auto"/>
        <w:jc w:val="center"/>
        <w:rPr>
          <w:rFonts w:ascii="Times New Roman" w:hAnsi="Times New Roman" w:cs="Times New Roman"/>
          <w:b/>
          <w:bCs/>
        </w:rPr>
      </w:pPr>
      <w:r w:rsidRPr="00C9284D">
        <w:rPr>
          <w:rFonts w:ascii="Times New Roman" w:hAnsi="Times New Roman" w:cs="Times New Roman"/>
          <w:b/>
          <w:bCs/>
        </w:rPr>
        <w:t>Supplementary Material</w:t>
      </w:r>
    </w:p>
    <w:p w14:paraId="6B88F1AF" w14:textId="77777777" w:rsidR="00F909E7" w:rsidRDefault="00F909E7" w:rsidP="00F909E7">
      <w:pPr>
        <w:spacing w:after="0" w:line="360" w:lineRule="auto"/>
        <w:rPr>
          <w:rFonts w:ascii="Times New Roman" w:hAnsi="Times New Roman" w:cs="Times New Roman"/>
          <w:b/>
          <w:bCs/>
        </w:rPr>
      </w:pPr>
      <w:r w:rsidRPr="00F909E7">
        <w:rPr>
          <w:rFonts w:ascii="Times New Roman" w:hAnsi="Times New Roman" w:cs="Times New Roman"/>
          <w:b/>
          <w:bCs/>
        </w:rPr>
        <w:t>Study Protocol</w:t>
      </w:r>
    </w:p>
    <w:p w14:paraId="3E04479D" w14:textId="716A6D08" w:rsidR="00F909E7" w:rsidRDefault="00F909E7" w:rsidP="00F909E7">
      <w:pPr>
        <w:spacing w:after="0" w:line="360" w:lineRule="auto"/>
        <w:rPr>
          <w:rFonts w:ascii="Times New Roman" w:hAnsi="Times New Roman" w:cs="Times New Roman"/>
          <w:b/>
          <w:bCs/>
        </w:rPr>
      </w:pPr>
      <w:r>
        <w:rPr>
          <w:rFonts w:ascii="Times New Roman" w:hAnsi="Times New Roman" w:cs="Times New Roman" w:hint="eastAsia"/>
          <w:b/>
          <w:bCs/>
        </w:rPr>
        <w:t>Supplementary tables</w:t>
      </w:r>
    </w:p>
    <w:p w14:paraId="3293E938" w14:textId="22E554D3" w:rsidR="00F909E7" w:rsidRDefault="00806E9D" w:rsidP="00806E9D">
      <w:pPr>
        <w:spacing w:after="0" w:line="360" w:lineRule="auto"/>
        <w:rPr>
          <w:rFonts w:ascii="Times New Roman" w:hAnsi="Times New Roman" w:cs="Times New Roman"/>
          <w:b/>
          <w:bCs/>
        </w:rPr>
      </w:pPr>
      <w:r>
        <w:rPr>
          <w:rFonts w:ascii="Times New Roman" w:hAnsi="Times New Roman" w:cs="Times New Roman" w:hint="eastAsia"/>
          <w:b/>
          <w:bCs/>
        </w:rPr>
        <w:t>Supplementary figure</w:t>
      </w:r>
    </w:p>
    <w:p w14:paraId="028EADF1" w14:textId="11AAF29A" w:rsidR="00873759" w:rsidRPr="00873759" w:rsidRDefault="00873759" w:rsidP="00806E9D">
      <w:pPr>
        <w:spacing w:after="0" w:line="360" w:lineRule="auto"/>
        <w:rPr>
          <w:rFonts w:ascii="Times New Roman" w:hAnsi="Times New Roman" w:cs="Times New Roman"/>
          <w:b/>
          <w:bCs/>
        </w:rPr>
      </w:pPr>
      <w:r>
        <w:rPr>
          <w:rFonts w:ascii="Times New Roman" w:hAnsi="Times New Roman" w:cs="Times New Roman" w:hint="eastAsia"/>
          <w:b/>
          <w:bCs/>
        </w:rPr>
        <w:t>References</w:t>
      </w:r>
    </w:p>
    <w:p w14:paraId="557D3DE8" w14:textId="77777777" w:rsidR="00F909E7" w:rsidRDefault="00F909E7" w:rsidP="003A6B23">
      <w:pPr>
        <w:spacing w:after="0" w:line="360" w:lineRule="auto"/>
        <w:jc w:val="center"/>
        <w:rPr>
          <w:rFonts w:ascii="Times New Roman" w:hAnsi="Times New Roman" w:cs="Times New Roman"/>
          <w:b/>
          <w:bCs/>
        </w:rPr>
      </w:pPr>
    </w:p>
    <w:p w14:paraId="253B416B" w14:textId="77777777" w:rsidR="00F909E7" w:rsidRDefault="00F909E7" w:rsidP="003A6B23">
      <w:pPr>
        <w:spacing w:after="0" w:line="360" w:lineRule="auto"/>
        <w:jc w:val="center"/>
        <w:rPr>
          <w:rFonts w:ascii="Times New Roman" w:hAnsi="Times New Roman" w:cs="Times New Roman"/>
          <w:b/>
          <w:bCs/>
        </w:rPr>
      </w:pPr>
    </w:p>
    <w:p w14:paraId="352B9805" w14:textId="77777777" w:rsidR="00F909E7" w:rsidRDefault="00F909E7" w:rsidP="003A6B23">
      <w:pPr>
        <w:spacing w:after="0" w:line="360" w:lineRule="auto"/>
        <w:jc w:val="center"/>
        <w:rPr>
          <w:rFonts w:ascii="Times New Roman" w:hAnsi="Times New Roman" w:cs="Times New Roman"/>
          <w:b/>
          <w:bCs/>
        </w:rPr>
      </w:pPr>
    </w:p>
    <w:p w14:paraId="46061C54" w14:textId="77777777" w:rsidR="00F909E7" w:rsidRDefault="00F909E7" w:rsidP="003A6B23">
      <w:pPr>
        <w:spacing w:after="0" w:line="360" w:lineRule="auto"/>
        <w:jc w:val="center"/>
        <w:rPr>
          <w:rFonts w:ascii="Times New Roman" w:hAnsi="Times New Roman" w:cs="Times New Roman"/>
          <w:b/>
          <w:bCs/>
        </w:rPr>
      </w:pPr>
    </w:p>
    <w:p w14:paraId="1D9DC7A5" w14:textId="77777777" w:rsidR="00F909E7" w:rsidRDefault="00F909E7" w:rsidP="003A6B23">
      <w:pPr>
        <w:spacing w:after="0" w:line="360" w:lineRule="auto"/>
        <w:jc w:val="center"/>
        <w:rPr>
          <w:rFonts w:ascii="Times New Roman" w:hAnsi="Times New Roman" w:cs="Times New Roman"/>
          <w:b/>
          <w:bCs/>
        </w:rPr>
      </w:pPr>
    </w:p>
    <w:p w14:paraId="3C8A28B7" w14:textId="77777777" w:rsidR="00F909E7" w:rsidRDefault="00F909E7" w:rsidP="003A6B23">
      <w:pPr>
        <w:spacing w:after="0" w:line="360" w:lineRule="auto"/>
        <w:jc w:val="center"/>
        <w:rPr>
          <w:rFonts w:ascii="Times New Roman" w:hAnsi="Times New Roman" w:cs="Times New Roman"/>
          <w:b/>
          <w:bCs/>
        </w:rPr>
      </w:pPr>
    </w:p>
    <w:p w14:paraId="521D3D19" w14:textId="77777777" w:rsidR="00F909E7" w:rsidRDefault="00F909E7" w:rsidP="003A6B23">
      <w:pPr>
        <w:spacing w:after="0" w:line="360" w:lineRule="auto"/>
        <w:jc w:val="center"/>
        <w:rPr>
          <w:rFonts w:ascii="Times New Roman" w:hAnsi="Times New Roman" w:cs="Times New Roman"/>
          <w:b/>
          <w:bCs/>
        </w:rPr>
      </w:pPr>
    </w:p>
    <w:p w14:paraId="7C8B20F3" w14:textId="77777777" w:rsidR="00F909E7" w:rsidRDefault="00F909E7" w:rsidP="003A6B23">
      <w:pPr>
        <w:spacing w:after="0" w:line="360" w:lineRule="auto"/>
        <w:jc w:val="center"/>
        <w:rPr>
          <w:rFonts w:ascii="Times New Roman" w:hAnsi="Times New Roman" w:cs="Times New Roman"/>
          <w:b/>
          <w:bCs/>
        </w:rPr>
      </w:pPr>
    </w:p>
    <w:p w14:paraId="310FA96A" w14:textId="77777777" w:rsidR="00F909E7" w:rsidRDefault="00F909E7" w:rsidP="003A6B23">
      <w:pPr>
        <w:spacing w:after="0" w:line="360" w:lineRule="auto"/>
        <w:jc w:val="center"/>
        <w:rPr>
          <w:rFonts w:ascii="Times New Roman" w:hAnsi="Times New Roman" w:cs="Times New Roman"/>
          <w:b/>
          <w:bCs/>
        </w:rPr>
      </w:pPr>
    </w:p>
    <w:p w14:paraId="64581272" w14:textId="77777777" w:rsidR="00F909E7" w:rsidRDefault="00F909E7" w:rsidP="003A6B23">
      <w:pPr>
        <w:spacing w:after="0" w:line="360" w:lineRule="auto"/>
        <w:jc w:val="center"/>
        <w:rPr>
          <w:rFonts w:ascii="Times New Roman" w:hAnsi="Times New Roman" w:cs="Times New Roman"/>
          <w:b/>
          <w:bCs/>
        </w:rPr>
      </w:pPr>
    </w:p>
    <w:p w14:paraId="22C6A573" w14:textId="77777777" w:rsidR="00F909E7" w:rsidRDefault="00F909E7" w:rsidP="003A6B23">
      <w:pPr>
        <w:spacing w:after="0" w:line="360" w:lineRule="auto"/>
        <w:jc w:val="center"/>
        <w:rPr>
          <w:rFonts w:ascii="Times New Roman" w:hAnsi="Times New Roman" w:cs="Times New Roman"/>
          <w:b/>
          <w:bCs/>
        </w:rPr>
      </w:pPr>
    </w:p>
    <w:p w14:paraId="7CB6900B" w14:textId="77777777" w:rsidR="00F909E7" w:rsidRDefault="00F909E7" w:rsidP="003A6B23">
      <w:pPr>
        <w:spacing w:after="0" w:line="360" w:lineRule="auto"/>
        <w:jc w:val="center"/>
        <w:rPr>
          <w:rFonts w:ascii="Times New Roman" w:hAnsi="Times New Roman" w:cs="Times New Roman"/>
          <w:b/>
          <w:bCs/>
        </w:rPr>
      </w:pPr>
    </w:p>
    <w:p w14:paraId="3C95982C" w14:textId="77777777" w:rsidR="00F909E7" w:rsidRDefault="00F909E7" w:rsidP="003A6B23">
      <w:pPr>
        <w:spacing w:after="0" w:line="360" w:lineRule="auto"/>
        <w:jc w:val="center"/>
        <w:rPr>
          <w:rFonts w:ascii="Times New Roman" w:hAnsi="Times New Roman" w:cs="Times New Roman"/>
          <w:b/>
          <w:bCs/>
        </w:rPr>
      </w:pPr>
    </w:p>
    <w:p w14:paraId="3F4D0537" w14:textId="77777777" w:rsidR="00F909E7" w:rsidRDefault="00F909E7" w:rsidP="003A6B23">
      <w:pPr>
        <w:spacing w:after="0" w:line="360" w:lineRule="auto"/>
        <w:jc w:val="center"/>
        <w:rPr>
          <w:rFonts w:ascii="Times New Roman" w:hAnsi="Times New Roman" w:cs="Times New Roman"/>
          <w:b/>
          <w:bCs/>
        </w:rPr>
      </w:pPr>
    </w:p>
    <w:p w14:paraId="5D839C4E" w14:textId="77777777" w:rsidR="00F909E7" w:rsidRDefault="00F909E7" w:rsidP="003A6B23">
      <w:pPr>
        <w:spacing w:after="0" w:line="360" w:lineRule="auto"/>
        <w:jc w:val="center"/>
        <w:rPr>
          <w:rFonts w:ascii="Times New Roman" w:hAnsi="Times New Roman" w:cs="Times New Roman"/>
          <w:b/>
          <w:bCs/>
        </w:rPr>
      </w:pPr>
    </w:p>
    <w:p w14:paraId="1553C77C" w14:textId="77777777" w:rsidR="00F909E7" w:rsidRDefault="00F909E7" w:rsidP="003A6B23">
      <w:pPr>
        <w:spacing w:after="0" w:line="360" w:lineRule="auto"/>
        <w:jc w:val="center"/>
        <w:rPr>
          <w:rFonts w:ascii="Times New Roman" w:hAnsi="Times New Roman" w:cs="Times New Roman"/>
          <w:b/>
          <w:bCs/>
        </w:rPr>
      </w:pPr>
    </w:p>
    <w:p w14:paraId="2BBDCEE8" w14:textId="77777777" w:rsidR="00F909E7" w:rsidRDefault="00F909E7" w:rsidP="003A6B23">
      <w:pPr>
        <w:spacing w:after="0" w:line="360" w:lineRule="auto"/>
        <w:jc w:val="center"/>
        <w:rPr>
          <w:rFonts w:ascii="Times New Roman" w:hAnsi="Times New Roman" w:cs="Times New Roman"/>
          <w:b/>
          <w:bCs/>
        </w:rPr>
      </w:pPr>
    </w:p>
    <w:p w14:paraId="33C70AC9" w14:textId="77777777" w:rsidR="00F909E7" w:rsidRDefault="00F909E7" w:rsidP="003A6B23">
      <w:pPr>
        <w:spacing w:after="0" w:line="360" w:lineRule="auto"/>
        <w:jc w:val="center"/>
        <w:rPr>
          <w:rFonts w:ascii="Times New Roman" w:hAnsi="Times New Roman" w:cs="Times New Roman"/>
          <w:b/>
          <w:bCs/>
        </w:rPr>
      </w:pPr>
    </w:p>
    <w:p w14:paraId="68BBCD2E" w14:textId="77777777" w:rsidR="00F909E7" w:rsidRDefault="00F909E7" w:rsidP="003A6B23">
      <w:pPr>
        <w:spacing w:after="0" w:line="360" w:lineRule="auto"/>
        <w:jc w:val="center"/>
        <w:rPr>
          <w:rFonts w:ascii="Times New Roman" w:hAnsi="Times New Roman" w:cs="Times New Roman"/>
          <w:b/>
          <w:bCs/>
        </w:rPr>
      </w:pPr>
    </w:p>
    <w:p w14:paraId="37C44610" w14:textId="77777777" w:rsidR="00F909E7" w:rsidRDefault="00F909E7" w:rsidP="003A6B23">
      <w:pPr>
        <w:spacing w:after="0" w:line="360" w:lineRule="auto"/>
        <w:jc w:val="center"/>
        <w:rPr>
          <w:rFonts w:ascii="Times New Roman" w:hAnsi="Times New Roman" w:cs="Times New Roman"/>
          <w:b/>
          <w:bCs/>
        </w:rPr>
      </w:pPr>
    </w:p>
    <w:p w14:paraId="1D42F7CF" w14:textId="77777777" w:rsidR="00F909E7" w:rsidRDefault="00F909E7" w:rsidP="003A6B23">
      <w:pPr>
        <w:spacing w:after="0" w:line="360" w:lineRule="auto"/>
        <w:jc w:val="center"/>
        <w:rPr>
          <w:rFonts w:ascii="Times New Roman" w:hAnsi="Times New Roman" w:cs="Times New Roman"/>
          <w:b/>
          <w:bCs/>
        </w:rPr>
      </w:pPr>
    </w:p>
    <w:p w14:paraId="6CCC4B49" w14:textId="77777777" w:rsidR="00F909E7" w:rsidRDefault="00F909E7" w:rsidP="003A6B23">
      <w:pPr>
        <w:spacing w:after="0" w:line="360" w:lineRule="auto"/>
        <w:jc w:val="center"/>
        <w:rPr>
          <w:rFonts w:ascii="Times New Roman" w:hAnsi="Times New Roman" w:cs="Times New Roman"/>
          <w:b/>
          <w:bCs/>
        </w:rPr>
      </w:pPr>
    </w:p>
    <w:p w14:paraId="33C52F07" w14:textId="77777777" w:rsidR="00F909E7" w:rsidRDefault="00F909E7" w:rsidP="003A6B23">
      <w:pPr>
        <w:spacing w:after="0" w:line="360" w:lineRule="auto"/>
        <w:jc w:val="center"/>
        <w:rPr>
          <w:rFonts w:ascii="Times New Roman" w:hAnsi="Times New Roman" w:cs="Times New Roman"/>
          <w:b/>
          <w:bCs/>
        </w:rPr>
      </w:pPr>
    </w:p>
    <w:p w14:paraId="4616A136" w14:textId="77777777" w:rsidR="00F909E7" w:rsidRDefault="00F909E7" w:rsidP="003A6B23">
      <w:pPr>
        <w:spacing w:after="0" w:line="360" w:lineRule="auto"/>
        <w:jc w:val="center"/>
        <w:rPr>
          <w:rFonts w:ascii="Times New Roman" w:hAnsi="Times New Roman" w:cs="Times New Roman"/>
          <w:b/>
          <w:bCs/>
        </w:rPr>
      </w:pPr>
    </w:p>
    <w:p w14:paraId="61D907CB" w14:textId="77777777" w:rsidR="00F909E7" w:rsidRPr="00C9284D" w:rsidRDefault="00F909E7" w:rsidP="003A6B23">
      <w:pPr>
        <w:spacing w:after="0" w:line="360" w:lineRule="auto"/>
        <w:jc w:val="center"/>
        <w:rPr>
          <w:rFonts w:ascii="Times New Roman" w:hAnsi="Times New Roman" w:cs="Times New Roman"/>
          <w:b/>
          <w:bCs/>
        </w:rPr>
      </w:pPr>
    </w:p>
    <w:p w14:paraId="3542247F" w14:textId="38AF2355" w:rsidR="005935C3" w:rsidRPr="00F909E7" w:rsidRDefault="003A6B23" w:rsidP="00F909E7">
      <w:pPr>
        <w:spacing w:after="0" w:line="360" w:lineRule="auto"/>
        <w:jc w:val="center"/>
        <w:rPr>
          <w:rFonts w:ascii="Times New Roman" w:hAnsi="Times New Roman" w:cs="Times New Roman"/>
          <w:b/>
          <w:bCs/>
        </w:rPr>
      </w:pPr>
      <w:r w:rsidRPr="00F909E7">
        <w:rPr>
          <w:rFonts w:ascii="Times New Roman" w:hAnsi="Times New Roman" w:cs="Times New Roman"/>
          <w:b/>
          <w:bCs/>
        </w:rPr>
        <w:lastRenderedPageBreak/>
        <w:t>Study Protocol</w:t>
      </w:r>
    </w:p>
    <w:p w14:paraId="143169D2" w14:textId="77777777" w:rsidR="003A6B23" w:rsidRPr="00C9284D" w:rsidRDefault="003A6B23" w:rsidP="003A6B23">
      <w:pPr>
        <w:spacing w:after="0" w:line="360" w:lineRule="auto"/>
        <w:rPr>
          <w:rFonts w:ascii="Times New Roman" w:hAnsi="Times New Roman" w:cs="Times New Roman"/>
          <w:b/>
          <w:bCs/>
        </w:rPr>
      </w:pPr>
      <w:r w:rsidRPr="00C9284D">
        <w:rPr>
          <w:rFonts w:ascii="Times New Roman" w:hAnsi="Times New Roman" w:cs="Times New Roman"/>
          <w:b/>
          <w:bCs/>
        </w:rPr>
        <w:t>Patients</w:t>
      </w:r>
    </w:p>
    <w:p w14:paraId="46B5558F" w14:textId="700CBF73" w:rsidR="003A6B23" w:rsidRPr="00C9284D" w:rsidRDefault="003A6B23" w:rsidP="003A6B23">
      <w:pPr>
        <w:spacing w:after="0" w:line="360" w:lineRule="auto"/>
        <w:rPr>
          <w:rFonts w:ascii="Times New Roman" w:hAnsi="Times New Roman" w:cs="Times New Roman"/>
        </w:rPr>
      </w:pPr>
      <w:r w:rsidRPr="00C9284D">
        <w:rPr>
          <w:rFonts w:ascii="Times New Roman" w:hAnsi="Times New Roman" w:cs="Times New Roman"/>
        </w:rPr>
        <w:t xml:space="preserve">The study was approved by the Institutional Review Board of the Sixth Affiliated Hospital, Sun Yat-sen University (Approval Number: 2022ZSLYEC-511). This study reports the pilot phase of the ongoing trial NCT06165289. Recruitment was temporarily suspended after this feasibility analysis; the decision to resume accrual will be made pending feasibility review and resource confirmation. Patients with CD in our hospital were recruited for this study between </w:t>
      </w:r>
      <w:r w:rsidR="00B039FF">
        <w:rPr>
          <w:rFonts w:ascii="Times New Roman" w:hAnsi="Times New Roman" w:cs="Times New Roman" w:hint="eastAsia"/>
          <w:sz w:val="21"/>
          <w:szCs w:val="21"/>
        </w:rPr>
        <w:t>April</w:t>
      </w:r>
      <w:r w:rsidR="00B039FF" w:rsidRPr="00AF05B0">
        <w:rPr>
          <w:rFonts w:ascii="Times New Roman" w:hAnsi="Times New Roman" w:cs="Times New Roman"/>
          <w:sz w:val="21"/>
          <w:szCs w:val="21"/>
        </w:rPr>
        <w:t xml:space="preserve"> 2024 and </w:t>
      </w:r>
      <w:r w:rsidR="00E3650C">
        <w:rPr>
          <w:rFonts w:ascii="Times New Roman" w:hAnsi="Times New Roman" w:cs="Times New Roman" w:hint="eastAsia"/>
          <w:sz w:val="21"/>
          <w:szCs w:val="21"/>
        </w:rPr>
        <w:t>August</w:t>
      </w:r>
      <w:r w:rsidR="00B039FF" w:rsidRPr="00AF05B0">
        <w:rPr>
          <w:rFonts w:ascii="Times New Roman" w:hAnsi="Times New Roman" w:cs="Times New Roman"/>
          <w:sz w:val="21"/>
          <w:szCs w:val="21"/>
        </w:rPr>
        <w:t xml:space="preserve"> 2025</w:t>
      </w:r>
      <w:r w:rsidRPr="00C9284D">
        <w:rPr>
          <w:rFonts w:ascii="Times New Roman" w:hAnsi="Times New Roman" w:cs="Times New Roman"/>
        </w:rPr>
        <w:t xml:space="preserve">. Written informed consent was obtained from all participants prior to enrollment. </w:t>
      </w:r>
    </w:p>
    <w:p w14:paraId="3489D679" w14:textId="29CC5125" w:rsidR="003A6B23" w:rsidRPr="00C9284D" w:rsidRDefault="003A6B23" w:rsidP="005C2231">
      <w:pPr>
        <w:spacing w:after="0" w:line="360" w:lineRule="auto"/>
        <w:ind w:firstLineChars="200" w:firstLine="440"/>
        <w:rPr>
          <w:rFonts w:ascii="Times New Roman" w:hAnsi="Times New Roman" w:cs="Times New Roman"/>
        </w:rPr>
      </w:pPr>
      <w:r w:rsidRPr="00C9284D">
        <w:rPr>
          <w:rFonts w:ascii="Times New Roman" w:hAnsi="Times New Roman" w:cs="Times New Roman"/>
        </w:rPr>
        <w:t xml:space="preserve">The inclusion criteria were as follows: </w:t>
      </w:r>
      <w:r w:rsidRPr="00C9284D">
        <w:rPr>
          <w:rFonts w:ascii="Cambria Math" w:hAnsi="Cambria Math" w:cs="Cambria Math"/>
        </w:rPr>
        <w:t>①</w:t>
      </w:r>
      <w:r w:rsidRPr="00C9284D">
        <w:rPr>
          <w:rFonts w:ascii="Times New Roman" w:hAnsi="Times New Roman" w:cs="Times New Roman"/>
        </w:rPr>
        <w:t xml:space="preserve"> diagnosed as CD</w:t>
      </w:r>
      <w:bookmarkStart w:id="0" w:name="_Hlk219625727"/>
      <w:r w:rsidRPr="00C9284D">
        <w:rPr>
          <w:rFonts w:ascii="Times New Roman" w:hAnsi="Times New Roman" w:cs="Times New Roman"/>
        </w:rPr>
        <w:t xml:space="preserve">; </w:t>
      </w:r>
      <w:r w:rsidRPr="00C9284D">
        <w:rPr>
          <w:rFonts w:ascii="Cambria Math" w:hAnsi="Cambria Math" w:cs="Cambria Math"/>
        </w:rPr>
        <w:t>②</w:t>
      </w:r>
      <w:r w:rsidRPr="00C9284D">
        <w:rPr>
          <w:rFonts w:ascii="Times New Roman" w:hAnsi="Times New Roman" w:cs="Times New Roman"/>
        </w:rPr>
        <w:t xml:space="preserve"> </w:t>
      </w:r>
      <w:bookmarkEnd w:id="0"/>
      <w:r w:rsidRPr="00C9284D">
        <w:rPr>
          <w:rFonts w:ascii="Times New Roman" w:hAnsi="Times New Roman" w:cs="Times New Roman"/>
        </w:rPr>
        <w:t>stenosis of the colon was found during colonoscopy</w:t>
      </w:r>
      <w:r w:rsidR="00273A47" w:rsidRPr="00C9284D">
        <w:rPr>
          <w:rFonts w:ascii="Times New Roman" w:hAnsi="Times New Roman" w:cs="Times New Roman"/>
        </w:rPr>
        <w:t xml:space="preserve"> (</w:t>
      </w:r>
      <w:r w:rsidR="00273A47" w:rsidRPr="00C9284D">
        <w:rPr>
          <w:rFonts w:ascii="Times New Roman" w:hAnsi="Times New Roman" w:cs="Times New Roman"/>
          <w:sz w:val="21"/>
          <w:szCs w:val="21"/>
        </w:rPr>
        <w:t>the endoscopy with size of 10.5mm cannot pass the stricture</w:t>
      </w:r>
      <w:r w:rsidR="00273A47" w:rsidRPr="00C9284D">
        <w:rPr>
          <w:rFonts w:ascii="Times New Roman" w:hAnsi="Times New Roman" w:cs="Times New Roman"/>
        </w:rPr>
        <w:t>)</w:t>
      </w:r>
      <w:r w:rsidRPr="00C9284D">
        <w:rPr>
          <w:rFonts w:ascii="Times New Roman" w:hAnsi="Times New Roman" w:cs="Times New Roman"/>
        </w:rPr>
        <w:t xml:space="preserve">, and surgery was not considered for the time being; </w:t>
      </w:r>
      <w:r w:rsidRPr="00C9284D">
        <w:rPr>
          <w:rFonts w:ascii="Cambria Math" w:hAnsi="Cambria Math" w:cs="Cambria Math"/>
        </w:rPr>
        <w:t>③</w:t>
      </w:r>
      <w:r w:rsidRPr="00C9284D">
        <w:rPr>
          <w:rFonts w:ascii="Times New Roman" w:hAnsi="Times New Roman" w:cs="Times New Roman"/>
        </w:rPr>
        <w:t xml:space="preserve"> narrow length &lt;5cm; </w:t>
      </w:r>
      <w:r w:rsidRPr="00C9284D">
        <w:rPr>
          <w:rFonts w:ascii="Cambria Math" w:hAnsi="Cambria Math" w:cs="Cambria Math"/>
        </w:rPr>
        <w:t>④</w:t>
      </w:r>
      <w:r w:rsidRPr="00C9284D">
        <w:rPr>
          <w:rFonts w:ascii="Times New Roman" w:hAnsi="Times New Roman" w:cs="Times New Roman"/>
        </w:rPr>
        <w:t xml:space="preserve"> the patients agreed to undergo EBD and voluntarily signed the informed consent to participate in this study, and were capable of complying with the agreement. The exclusion criteria were as follows: </w:t>
      </w:r>
      <w:r w:rsidRPr="00C9284D">
        <w:rPr>
          <w:rFonts w:ascii="Cambria Math" w:hAnsi="Cambria Math" w:cs="Cambria Math"/>
        </w:rPr>
        <w:t>①</w:t>
      </w:r>
      <w:r w:rsidRPr="00C9284D">
        <w:rPr>
          <w:rFonts w:ascii="Times New Roman" w:hAnsi="Times New Roman" w:cs="Times New Roman"/>
        </w:rPr>
        <w:t xml:space="preserve"> the patient has contraindications for endoscopic therapy, such as coagulation disorder, severe cardiopulmonary dysfunction, active bleeding, and inability to cooperate</w:t>
      </w:r>
      <w:r w:rsidR="00D71FB4" w:rsidRPr="00C9284D">
        <w:rPr>
          <w:rFonts w:ascii="Times New Roman" w:hAnsi="Times New Roman" w:cs="Times New Roman"/>
        </w:rPr>
        <w:t>;</w:t>
      </w:r>
      <w:r w:rsidRPr="00C9284D">
        <w:rPr>
          <w:rFonts w:ascii="Times New Roman" w:hAnsi="Times New Roman" w:cs="Times New Roman"/>
        </w:rPr>
        <w:t xml:space="preserve"> </w:t>
      </w:r>
      <w:r w:rsidRPr="00C9284D">
        <w:rPr>
          <w:rFonts w:ascii="Cambria Math" w:hAnsi="Cambria Math" w:cs="Cambria Math"/>
        </w:rPr>
        <w:t>②</w:t>
      </w:r>
      <w:r w:rsidRPr="00C9284D">
        <w:rPr>
          <w:rFonts w:ascii="Times New Roman" w:hAnsi="Times New Roman" w:cs="Times New Roman"/>
        </w:rPr>
        <w:t xml:space="preserve"> deep and large active ulcer was found in the stenosis; </w:t>
      </w:r>
      <w:r w:rsidRPr="00C9284D">
        <w:rPr>
          <w:rFonts w:ascii="Cambria Math" w:hAnsi="Cambria Math" w:cs="Cambria Math"/>
        </w:rPr>
        <w:t>③</w:t>
      </w:r>
      <w:r w:rsidRPr="00C9284D">
        <w:rPr>
          <w:rFonts w:ascii="Times New Roman" w:hAnsi="Times New Roman" w:cs="Times New Roman"/>
        </w:rPr>
        <w:t xml:space="preserve">&lt; 18 years old; </w:t>
      </w:r>
      <w:r w:rsidRPr="00C9284D">
        <w:rPr>
          <w:rFonts w:ascii="Cambria Math" w:hAnsi="Cambria Math" w:cs="Cambria Math"/>
        </w:rPr>
        <w:t>④</w:t>
      </w:r>
      <w:r w:rsidRPr="00C9284D">
        <w:rPr>
          <w:rFonts w:ascii="Times New Roman" w:hAnsi="Times New Roman" w:cs="Times New Roman"/>
        </w:rPr>
        <w:t xml:space="preserve"> foreign patients; </w:t>
      </w:r>
      <w:r w:rsidRPr="00C9284D">
        <w:rPr>
          <w:rFonts w:ascii="Cambria Math" w:hAnsi="Cambria Math" w:cs="Cambria Math"/>
        </w:rPr>
        <w:t>⑤</w:t>
      </w:r>
      <w:r w:rsidRPr="00C9284D">
        <w:rPr>
          <w:rFonts w:ascii="Times New Roman" w:hAnsi="Times New Roman" w:cs="Times New Roman"/>
        </w:rPr>
        <w:t xml:space="preserve"> patients with a history of malignant tumors, including melanoma (except local skin cancer); </w:t>
      </w:r>
      <w:r w:rsidRPr="00C9284D">
        <w:rPr>
          <w:rFonts w:ascii="Cambria Math" w:hAnsi="Cambria Math" w:cs="Cambria Math"/>
        </w:rPr>
        <w:t>⑥</w:t>
      </w:r>
      <w:r w:rsidRPr="00C9284D">
        <w:rPr>
          <w:rFonts w:ascii="Times New Roman" w:hAnsi="Times New Roman" w:cs="Times New Roman"/>
        </w:rPr>
        <w:t xml:space="preserve"> pregnant or nursing patients; </w:t>
      </w:r>
      <w:r w:rsidRPr="00C9284D">
        <w:rPr>
          <w:rFonts w:ascii="Cambria Math" w:hAnsi="Cambria Math" w:cs="Cambria Math"/>
        </w:rPr>
        <w:t>⑦</w:t>
      </w:r>
      <w:r w:rsidRPr="00C9284D">
        <w:rPr>
          <w:rFonts w:ascii="Times New Roman" w:hAnsi="Times New Roman" w:cs="Times New Roman"/>
        </w:rPr>
        <w:t xml:space="preserve"> patients who could not be followed at all nodes of the primary outcome indicator; </w:t>
      </w:r>
      <w:r w:rsidRPr="00C9284D">
        <w:rPr>
          <w:rFonts w:ascii="Cambria Math" w:hAnsi="Cambria Math" w:cs="Cambria Math"/>
        </w:rPr>
        <w:t>⑧</w:t>
      </w:r>
      <w:r w:rsidRPr="00C9284D">
        <w:rPr>
          <w:rFonts w:ascii="Times New Roman" w:hAnsi="Times New Roman" w:cs="Times New Roman"/>
        </w:rPr>
        <w:t xml:space="preserve"> other diseases that researchers believe could put patients at risk.</w:t>
      </w:r>
    </w:p>
    <w:p w14:paraId="0BA21638" w14:textId="77777777" w:rsidR="003A6B23" w:rsidRPr="00C9284D" w:rsidRDefault="003A6B23" w:rsidP="003A6B23">
      <w:pPr>
        <w:spacing w:after="0" w:line="360" w:lineRule="auto"/>
        <w:rPr>
          <w:rFonts w:ascii="Times New Roman" w:hAnsi="Times New Roman" w:cs="Times New Roman"/>
        </w:rPr>
      </w:pPr>
      <w:r w:rsidRPr="00C9284D">
        <w:rPr>
          <w:rFonts w:ascii="Times New Roman" w:hAnsi="Times New Roman" w:cs="Times New Roman"/>
          <w:b/>
          <w:bCs/>
        </w:rPr>
        <w:t xml:space="preserve">Randomization and Blinding </w:t>
      </w:r>
    </w:p>
    <w:p w14:paraId="3C2CE24D" w14:textId="51A21DE4" w:rsidR="003A6B23" w:rsidRPr="00C9284D" w:rsidRDefault="003A6B23" w:rsidP="00F1387D">
      <w:pPr>
        <w:spacing w:after="0" w:line="360" w:lineRule="auto"/>
        <w:rPr>
          <w:rFonts w:ascii="Times New Roman" w:hAnsi="Times New Roman" w:cs="Times New Roman"/>
        </w:rPr>
      </w:pPr>
      <w:r w:rsidRPr="00C9284D">
        <w:rPr>
          <w:rFonts w:ascii="Times New Roman" w:hAnsi="Times New Roman" w:cs="Times New Roman"/>
        </w:rPr>
        <w:t xml:space="preserve">In this prospective, randomized, non-controlled single-center clinical study, eligible CD patients were included. Participants were randomly assigned to the PRP </w:t>
      </w:r>
      <w:r w:rsidR="00E867EA">
        <w:rPr>
          <w:rFonts w:ascii="Times New Roman" w:hAnsi="Times New Roman" w:cs="Times New Roman" w:hint="eastAsia"/>
        </w:rPr>
        <w:t>low</w:t>
      </w:r>
      <w:r w:rsidR="004A26ED">
        <w:rPr>
          <w:rFonts w:ascii="Times New Roman" w:hAnsi="Times New Roman" w:cs="Times New Roman" w:hint="eastAsia"/>
        </w:rPr>
        <w:t>-</w:t>
      </w:r>
      <w:r w:rsidRPr="00C9284D">
        <w:rPr>
          <w:rFonts w:ascii="Times New Roman" w:hAnsi="Times New Roman" w:cs="Times New Roman"/>
        </w:rPr>
        <w:t xml:space="preserve">concentration group, and PRP </w:t>
      </w:r>
      <w:r w:rsidR="00E867EA">
        <w:rPr>
          <w:rFonts w:ascii="Times New Roman" w:hAnsi="Times New Roman" w:cs="Times New Roman" w:hint="eastAsia"/>
        </w:rPr>
        <w:t>high</w:t>
      </w:r>
      <w:r w:rsidR="004A26ED">
        <w:rPr>
          <w:rFonts w:ascii="Times New Roman" w:hAnsi="Times New Roman" w:cs="Times New Roman" w:hint="eastAsia"/>
        </w:rPr>
        <w:t>-</w:t>
      </w:r>
      <w:r w:rsidRPr="00C9284D">
        <w:rPr>
          <w:rFonts w:ascii="Times New Roman" w:hAnsi="Times New Roman" w:cs="Times New Roman"/>
        </w:rPr>
        <w:t xml:space="preserve">concentration group in a 1:1 ratio using the envelope method. This study implemented a </w:t>
      </w:r>
      <w:r w:rsidR="00D71FB4" w:rsidRPr="00C9284D">
        <w:rPr>
          <w:rFonts w:ascii="Times New Roman" w:hAnsi="Times New Roman" w:cs="Times New Roman"/>
        </w:rPr>
        <w:t>sing</w:t>
      </w:r>
      <w:r w:rsidRPr="00C9284D">
        <w:rPr>
          <w:rFonts w:ascii="Times New Roman" w:hAnsi="Times New Roman" w:cs="Times New Roman"/>
        </w:rPr>
        <w:t xml:space="preserve">le-blind design in which outcome assessors remained unaware of group assignments. </w:t>
      </w:r>
    </w:p>
    <w:p w14:paraId="2CB60BE0" w14:textId="05DADF8F" w:rsidR="00CF0FC7" w:rsidRPr="00C9284D" w:rsidRDefault="00BC5F62" w:rsidP="00F1387D">
      <w:pPr>
        <w:spacing w:after="0" w:line="360" w:lineRule="auto"/>
        <w:rPr>
          <w:rFonts w:ascii="Times New Roman" w:hAnsi="Times New Roman" w:cs="Times New Roman"/>
          <w:b/>
          <w:bCs/>
        </w:rPr>
      </w:pPr>
      <w:r w:rsidRPr="00C9284D">
        <w:rPr>
          <w:rFonts w:ascii="Times New Roman" w:hAnsi="Times New Roman" w:cs="Times New Roman"/>
          <w:b/>
          <w:bCs/>
        </w:rPr>
        <w:t>Medica</w:t>
      </w:r>
      <w:r w:rsidR="00044AE5" w:rsidRPr="00C9284D">
        <w:rPr>
          <w:rFonts w:ascii="Times New Roman" w:hAnsi="Times New Roman" w:cs="Times New Roman"/>
          <w:b/>
          <w:bCs/>
        </w:rPr>
        <w:t>l</w:t>
      </w:r>
      <w:r w:rsidRPr="00C9284D">
        <w:rPr>
          <w:rFonts w:ascii="Times New Roman" w:hAnsi="Times New Roman" w:cs="Times New Roman"/>
          <w:b/>
          <w:bCs/>
        </w:rPr>
        <w:t xml:space="preserve"> h</w:t>
      </w:r>
      <w:r w:rsidR="00CF0FC7" w:rsidRPr="00C9284D">
        <w:rPr>
          <w:rFonts w:ascii="Times New Roman" w:hAnsi="Times New Roman" w:cs="Times New Roman"/>
          <w:b/>
          <w:bCs/>
        </w:rPr>
        <w:t>istory and examination collection</w:t>
      </w:r>
    </w:p>
    <w:p w14:paraId="72E89722" w14:textId="474BE0F0" w:rsidR="008C7E59" w:rsidRPr="003866CD" w:rsidRDefault="00BC5F62" w:rsidP="00F1387D">
      <w:pPr>
        <w:spacing w:after="0" w:line="360" w:lineRule="auto"/>
        <w:rPr>
          <w:rFonts w:ascii="Times New Roman" w:hAnsi="Times New Roman" w:cs="Times New Roman" w:hint="eastAsia"/>
          <w:color w:val="000000" w:themeColor="text1"/>
        </w:rPr>
      </w:pPr>
      <w:r w:rsidRPr="00C9284D">
        <w:rPr>
          <w:rFonts w:ascii="Times New Roman" w:hAnsi="Times New Roman" w:cs="Times New Roman"/>
        </w:rPr>
        <w:t>Before the procedure, t</w:t>
      </w:r>
      <w:r w:rsidR="00CF0FC7" w:rsidRPr="00C9284D">
        <w:rPr>
          <w:rFonts w:ascii="Times New Roman" w:hAnsi="Times New Roman" w:cs="Times New Roman"/>
        </w:rPr>
        <w:t xml:space="preserve">he patients’ basic information, </w:t>
      </w:r>
      <w:r w:rsidR="008C7E59" w:rsidRPr="00C9284D">
        <w:rPr>
          <w:rFonts w:ascii="Times New Roman" w:hAnsi="Times New Roman" w:cs="Times New Roman"/>
          <w:color w:val="0D0D0D" w:themeColor="text1" w:themeTint="F2"/>
        </w:rPr>
        <w:t>Harvey-Bradshaw Index (HBI)</w:t>
      </w:r>
      <w:r w:rsidR="00CF0FC7" w:rsidRPr="00C9284D">
        <w:rPr>
          <w:rFonts w:ascii="Times New Roman" w:hAnsi="Times New Roman" w:cs="Times New Roman"/>
          <w:color w:val="0D0D0D" w:themeColor="text1" w:themeTint="F2"/>
        </w:rPr>
        <w:t>, and laboratory results (blood routine, liver function, C-reaction protein) were obtained.</w:t>
      </w:r>
      <w:r w:rsidRPr="00C9284D">
        <w:rPr>
          <w:rFonts w:ascii="Times New Roman" w:hAnsi="Times New Roman" w:cs="Times New Roman"/>
          <w:color w:val="0D0D0D" w:themeColor="text1" w:themeTint="F2"/>
        </w:rPr>
        <w:t xml:space="preserve"> </w:t>
      </w:r>
      <w:r w:rsidR="003866CD" w:rsidRPr="00C9284D">
        <w:rPr>
          <w:rFonts w:ascii="Times New Roman" w:hAnsi="Times New Roman" w:cs="Times New Roman"/>
          <w:color w:val="0D0D0D" w:themeColor="text1" w:themeTint="F2"/>
        </w:rPr>
        <w:t xml:space="preserve">Intestinal </w:t>
      </w:r>
      <w:r w:rsidR="003866CD" w:rsidRPr="00C9284D">
        <w:rPr>
          <w:rFonts w:ascii="Times New Roman" w:hAnsi="Times New Roman" w:cs="Times New Roman"/>
          <w:color w:val="0D0D0D" w:themeColor="text1" w:themeTint="F2"/>
        </w:rPr>
        <w:lastRenderedPageBreak/>
        <w:t>ultrasound was performed by experienced ultrasonographers, the thickness of the strictured bowel segment and in the luminal diameter proximal to the stricture was measured.</w:t>
      </w:r>
    </w:p>
    <w:p w14:paraId="1B64BFC7" w14:textId="53FB95EB" w:rsidR="003A6B23" w:rsidRPr="00C9284D" w:rsidRDefault="00F1387D" w:rsidP="003A6B23">
      <w:pPr>
        <w:spacing w:after="0" w:line="360" w:lineRule="auto"/>
        <w:rPr>
          <w:rFonts w:ascii="Times New Roman" w:hAnsi="Times New Roman" w:cs="Times New Roman"/>
          <w:color w:val="000000" w:themeColor="text1"/>
        </w:rPr>
      </w:pPr>
      <w:r w:rsidRPr="00C9284D">
        <w:rPr>
          <w:rFonts w:ascii="Times New Roman" w:hAnsi="Times New Roman" w:cs="Times New Roman"/>
          <w:b/>
          <w:bCs/>
          <w:color w:val="000000" w:themeColor="text1"/>
        </w:rPr>
        <w:t>PRP preparation</w:t>
      </w:r>
    </w:p>
    <w:p w14:paraId="7D8C8920" w14:textId="59BA352D" w:rsidR="00334B4D" w:rsidRPr="00C9284D" w:rsidRDefault="00592B5B" w:rsidP="00334B4D">
      <w:pPr>
        <w:spacing w:after="0" w:line="360" w:lineRule="auto"/>
        <w:rPr>
          <w:rFonts w:ascii="Times New Roman" w:hAnsi="Times New Roman" w:cs="Times New Roman"/>
          <w:color w:val="000000" w:themeColor="text1"/>
        </w:rPr>
      </w:pPr>
      <w:r w:rsidRPr="00C9284D">
        <w:rPr>
          <w:rFonts w:ascii="Times New Roman" w:hAnsi="Times New Roman" w:cs="Times New Roman"/>
          <w:color w:val="000000" w:themeColor="text1"/>
        </w:rPr>
        <w:t>Approximately 30 m</w:t>
      </w:r>
      <w:r w:rsidR="00ED2E10" w:rsidRPr="00C9284D">
        <w:rPr>
          <w:rFonts w:ascii="Times New Roman" w:hAnsi="Times New Roman" w:cs="Times New Roman"/>
          <w:color w:val="000000" w:themeColor="text1"/>
        </w:rPr>
        <w:t>L</w:t>
      </w:r>
      <w:r w:rsidRPr="00C9284D">
        <w:rPr>
          <w:rFonts w:ascii="Times New Roman" w:hAnsi="Times New Roman" w:cs="Times New Roman"/>
          <w:color w:val="000000" w:themeColor="text1"/>
        </w:rPr>
        <w:t xml:space="preserve"> of blood was taken from the patients</w:t>
      </w:r>
      <w:r w:rsidR="00BC5F62" w:rsidRPr="00C9284D">
        <w:rPr>
          <w:rFonts w:ascii="Times New Roman" w:hAnsi="Times New Roman" w:cs="Times New Roman"/>
          <w:color w:val="000000" w:themeColor="text1"/>
        </w:rPr>
        <w:t>’</w:t>
      </w:r>
      <w:r w:rsidRPr="00C9284D">
        <w:rPr>
          <w:rFonts w:ascii="Times New Roman" w:hAnsi="Times New Roman" w:cs="Times New Roman"/>
          <w:color w:val="000000" w:themeColor="text1"/>
        </w:rPr>
        <w:t xml:space="preserve"> peripheral vein </w:t>
      </w:r>
      <w:r w:rsidR="0000538A" w:rsidRPr="00C9284D">
        <w:rPr>
          <w:rFonts w:ascii="Times New Roman" w:hAnsi="Times New Roman" w:cs="Times New Roman"/>
          <w:color w:val="000000" w:themeColor="text1"/>
        </w:rPr>
        <w:t xml:space="preserve">using blood collection tubes </w:t>
      </w:r>
      <w:r w:rsidR="00ED2E10" w:rsidRPr="00C9284D">
        <w:rPr>
          <w:rFonts w:ascii="Times New Roman" w:hAnsi="Times New Roman" w:cs="Times New Roman"/>
          <w:color w:val="000000" w:themeColor="text1"/>
        </w:rPr>
        <w:t xml:space="preserve">(2 tubes, each 15mL blood) </w:t>
      </w:r>
      <w:r w:rsidR="0000538A" w:rsidRPr="00C9284D">
        <w:rPr>
          <w:rFonts w:ascii="Times New Roman" w:hAnsi="Times New Roman" w:cs="Times New Roman"/>
          <w:color w:val="000000" w:themeColor="text1"/>
        </w:rPr>
        <w:t xml:space="preserve">containing 5 ml citrate solution, </w:t>
      </w:r>
      <w:r w:rsidRPr="00C9284D">
        <w:rPr>
          <w:rFonts w:ascii="Times New Roman" w:hAnsi="Times New Roman" w:cs="Times New Roman"/>
          <w:color w:val="000000" w:themeColor="text1"/>
        </w:rPr>
        <w:t>and the</w:t>
      </w:r>
      <w:r w:rsidR="00334B4D" w:rsidRPr="00C9284D">
        <w:rPr>
          <w:rFonts w:ascii="Times New Roman" w:hAnsi="Times New Roman" w:cs="Times New Roman"/>
          <w:color w:val="000000" w:themeColor="text1"/>
        </w:rPr>
        <w:t xml:space="preserve"> baseline</w:t>
      </w:r>
      <w:r w:rsidRPr="00C9284D">
        <w:rPr>
          <w:rFonts w:ascii="Times New Roman" w:hAnsi="Times New Roman" w:cs="Times New Roman"/>
          <w:color w:val="000000" w:themeColor="text1"/>
        </w:rPr>
        <w:t xml:space="preserve"> platelet count was checked.</w:t>
      </w:r>
      <w:r w:rsidR="0000538A" w:rsidRPr="00C9284D">
        <w:rPr>
          <w:rFonts w:ascii="Times New Roman" w:hAnsi="Times New Roman" w:cs="Times New Roman"/>
          <w:color w:val="000000" w:themeColor="text1"/>
        </w:rPr>
        <w:t xml:space="preserve"> </w:t>
      </w:r>
      <w:r w:rsidR="004C534E" w:rsidRPr="00C9284D">
        <w:rPr>
          <w:rFonts w:ascii="Times New Roman" w:hAnsi="Times New Roman" w:cs="Times New Roman"/>
          <w:color w:val="000000" w:themeColor="text1"/>
        </w:rPr>
        <w:t xml:space="preserve">Two-step centrifugation was used to </w:t>
      </w:r>
      <w:r w:rsidRPr="00C9284D">
        <w:rPr>
          <w:rFonts w:ascii="Times New Roman" w:hAnsi="Times New Roman" w:cs="Times New Roman"/>
          <w:color w:val="000000" w:themeColor="text1"/>
        </w:rPr>
        <w:t xml:space="preserve">remove the red blood cells and </w:t>
      </w:r>
      <w:r w:rsidR="004C534E" w:rsidRPr="00C9284D">
        <w:rPr>
          <w:rFonts w:ascii="Times New Roman" w:hAnsi="Times New Roman" w:cs="Times New Roman"/>
          <w:color w:val="000000" w:themeColor="text1"/>
        </w:rPr>
        <w:t>prepare PRP</w:t>
      </w:r>
      <w:r w:rsidRPr="00C9284D">
        <w:rPr>
          <w:rFonts w:ascii="Times New Roman" w:hAnsi="Times New Roman" w:cs="Times New Roman"/>
          <w:color w:val="000000" w:themeColor="text1"/>
        </w:rPr>
        <w:t>.</w:t>
      </w:r>
      <w:r w:rsidR="0000538A" w:rsidRPr="00C9284D">
        <w:rPr>
          <w:rFonts w:ascii="Times New Roman" w:hAnsi="Times New Roman" w:cs="Times New Roman"/>
          <w:color w:val="000000" w:themeColor="text1"/>
        </w:rPr>
        <w:t xml:space="preserve"> </w:t>
      </w:r>
      <w:r w:rsidR="0023407B" w:rsidRPr="00C9284D">
        <w:rPr>
          <w:rFonts w:ascii="Times New Roman" w:hAnsi="Times New Roman" w:cs="Times New Roman"/>
          <w:color w:val="000000" w:themeColor="text1"/>
        </w:rPr>
        <w:t>Firstly, the blood was centrifuged at 300 X g for 10 minutes at 18°C</w:t>
      </w:r>
      <w:r w:rsidR="003F4040" w:rsidRPr="00C9284D">
        <w:rPr>
          <w:rFonts w:ascii="Times New Roman" w:hAnsi="Times New Roman" w:cs="Times New Roman"/>
          <w:color w:val="000000" w:themeColor="text1"/>
        </w:rPr>
        <w:t>, yielding three distinct layers: erythrocytes at the base, a buffy-coat interface, and cell-rich plasma above</w:t>
      </w:r>
      <w:r w:rsidR="0023407B" w:rsidRPr="00C9284D">
        <w:rPr>
          <w:rFonts w:ascii="Times New Roman" w:hAnsi="Times New Roman" w:cs="Times New Roman"/>
          <w:color w:val="000000" w:themeColor="text1"/>
        </w:rPr>
        <w:t xml:space="preserve">. </w:t>
      </w:r>
      <w:r w:rsidR="003F4040" w:rsidRPr="00C9284D">
        <w:rPr>
          <w:rFonts w:ascii="Times New Roman" w:hAnsi="Times New Roman" w:cs="Times New Roman"/>
          <w:color w:val="000000" w:themeColor="text1"/>
        </w:rPr>
        <w:t xml:space="preserve">The upper two layers were transferred to a sterile tube and recentrifuged at 700 X g for minutes at 18°C. After removing about 75 % of the supernatant, PRP was aspirated from the bottom. Platelet counts of whole blood and PRP were measured with an automated analyzer (Siemens Advia 2120i; Siemens Healthcare Diagnostics, Erlangen, Germany), yielding </w:t>
      </w:r>
      <w:r w:rsidR="00314C83" w:rsidRPr="00C9284D">
        <w:rPr>
          <w:rFonts w:ascii="Times New Roman" w:hAnsi="Times New Roman" w:cs="Times New Roman"/>
          <w:color w:val="000000" w:themeColor="text1"/>
        </w:rPr>
        <w:t>5</w:t>
      </w:r>
      <w:r w:rsidR="003F4040" w:rsidRPr="00C9284D">
        <w:rPr>
          <w:rFonts w:ascii="Times New Roman" w:hAnsi="Times New Roman" w:cs="Times New Roman"/>
          <w:color w:val="000000" w:themeColor="text1"/>
        </w:rPr>
        <w:t>-</w:t>
      </w:r>
      <w:r w:rsidR="00314C83" w:rsidRPr="00C9284D">
        <w:rPr>
          <w:rFonts w:ascii="Times New Roman" w:hAnsi="Times New Roman" w:cs="Times New Roman"/>
          <w:color w:val="000000" w:themeColor="text1"/>
        </w:rPr>
        <w:t>7</w:t>
      </w:r>
      <w:r w:rsidR="003F4040" w:rsidRPr="00C9284D">
        <w:rPr>
          <w:rFonts w:ascii="Times New Roman" w:hAnsi="Times New Roman" w:cs="Times New Roman"/>
          <w:color w:val="000000" w:themeColor="text1"/>
        </w:rPr>
        <w:t xml:space="preserve"> mL of PRP. </w:t>
      </w:r>
      <w:r w:rsidR="00081EE0" w:rsidRPr="00C9284D">
        <w:rPr>
          <w:rFonts w:ascii="Times New Roman" w:hAnsi="Times New Roman" w:cs="Times New Roman"/>
          <w:color w:val="000000" w:themeColor="text1"/>
        </w:rPr>
        <w:t>The concentration of PRP in the</w:t>
      </w:r>
      <w:bookmarkStart w:id="1" w:name="_Hlk220966744"/>
      <w:r w:rsidR="00081EE0" w:rsidRPr="00C9284D">
        <w:rPr>
          <w:rFonts w:ascii="Times New Roman" w:hAnsi="Times New Roman" w:cs="Times New Roman"/>
          <w:color w:val="000000" w:themeColor="text1"/>
        </w:rPr>
        <w:t xml:space="preserve"> low</w:t>
      </w:r>
      <w:r w:rsidR="004A26ED">
        <w:rPr>
          <w:rFonts w:ascii="Times New Roman" w:hAnsi="Times New Roman" w:cs="Times New Roman" w:hint="eastAsia"/>
          <w:color w:val="000000" w:themeColor="text1"/>
        </w:rPr>
        <w:t>-</w:t>
      </w:r>
      <w:r w:rsidR="00081EE0" w:rsidRPr="00C9284D">
        <w:rPr>
          <w:rFonts w:ascii="Times New Roman" w:hAnsi="Times New Roman" w:cs="Times New Roman"/>
          <w:color w:val="000000" w:themeColor="text1"/>
        </w:rPr>
        <w:t>concentration group was 1*10^6/</w:t>
      </w:r>
      <w:proofErr w:type="spellStart"/>
      <w:r w:rsidR="00081EE0" w:rsidRPr="00C9284D">
        <w:rPr>
          <w:rFonts w:ascii="Times New Roman" w:hAnsi="Times New Roman" w:cs="Times New Roman"/>
          <w:color w:val="000000" w:themeColor="text1"/>
        </w:rPr>
        <w:t>μL</w:t>
      </w:r>
      <w:proofErr w:type="spellEnd"/>
      <w:r w:rsidR="00081EE0" w:rsidRPr="00C9284D">
        <w:rPr>
          <w:rFonts w:ascii="Times New Roman" w:hAnsi="Times New Roman" w:cs="Times New Roman"/>
          <w:color w:val="000000" w:themeColor="text1"/>
        </w:rPr>
        <w:t>, and 2*10^6/</w:t>
      </w:r>
      <w:proofErr w:type="spellStart"/>
      <w:r w:rsidR="00081EE0" w:rsidRPr="00C9284D">
        <w:rPr>
          <w:rFonts w:ascii="Times New Roman" w:hAnsi="Times New Roman" w:cs="Times New Roman"/>
          <w:color w:val="000000" w:themeColor="text1"/>
        </w:rPr>
        <w:t>μL</w:t>
      </w:r>
      <w:proofErr w:type="spellEnd"/>
      <w:r w:rsidR="00081EE0" w:rsidRPr="00C9284D">
        <w:rPr>
          <w:rFonts w:ascii="Times New Roman" w:hAnsi="Times New Roman" w:cs="Times New Roman"/>
          <w:color w:val="000000" w:themeColor="text1"/>
        </w:rPr>
        <w:t xml:space="preserve"> in the high</w:t>
      </w:r>
      <w:r w:rsidR="004A26ED">
        <w:rPr>
          <w:rFonts w:ascii="Times New Roman" w:hAnsi="Times New Roman" w:cs="Times New Roman" w:hint="eastAsia"/>
          <w:color w:val="000000" w:themeColor="text1"/>
        </w:rPr>
        <w:t>-</w:t>
      </w:r>
      <w:r w:rsidR="00081EE0" w:rsidRPr="00C9284D">
        <w:rPr>
          <w:rFonts w:ascii="Times New Roman" w:hAnsi="Times New Roman" w:cs="Times New Roman"/>
          <w:color w:val="000000" w:themeColor="text1"/>
        </w:rPr>
        <w:t>concentration group</w:t>
      </w:r>
      <w:bookmarkEnd w:id="1"/>
      <w:r w:rsidR="00081EE0" w:rsidRPr="00C9284D">
        <w:rPr>
          <w:rFonts w:ascii="Times New Roman" w:hAnsi="Times New Roman" w:cs="Times New Roman"/>
          <w:color w:val="000000" w:themeColor="text1"/>
        </w:rPr>
        <w:t xml:space="preserve">. </w:t>
      </w:r>
      <w:r w:rsidR="00334B4D" w:rsidRPr="00C9284D">
        <w:rPr>
          <w:rFonts w:ascii="Times New Roman" w:hAnsi="Times New Roman" w:cs="Times New Roman"/>
          <w:color w:val="000000" w:themeColor="text1"/>
        </w:rPr>
        <w:t>After preparation of PRP, it was activated by mechanical oscillation and then injected intralesionally.</w:t>
      </w:r>
    </w:p>
    <w:p w14:paraId="39AC0DD3" w14:textId="6D273103" w:rsidR="00F1387D" w:rsidRPr="00C9284D" w:rsidRDefault="00F1387D" w:rsidP="00F1387D">
      <w:pPr>
        <w:spacing w:after="0" w:line="360" w:lineRule="auto"/>
        <w:rPr>
          <w:rFonts w:ascii="Times New Roman" w:hAnsi="Times New Roman" w:cs="Times New Roman"/>
          <w:b/>
          <w:bCs/>
          <w:color w:val="000000" w:themeColor="text1"/>
        </w:rPr>
      </w:pPr>
      <w:r w:rsidRPr="00C9284D">
        <w:rPr>
          <w:rFonts w:ascii="Times New Roman" w:hAnsi="Times New Roman" w:cs="Times New Roman"/>
          <w:b/>
          <w:bCs/>
          <w:color w:val="000000" w:themeColor="text1"/>
        </w:rPr>
        <w:t>Endoscopic procedures</w:t>
      </w:r>
    </w:p>
    <w:p w14:paraId="7BA18A1E" w14:textId="3A69284A" w:rsidR="006B6920" w:rsidRPr="00C9284D" w:rsidRDefault="006B6920" w:rsidP="006B6920">
      <w:pPr>
        <w:spacing w:after="0" w:line="360" w:lineRule="auto"/>
        <w:rPr>
          <w:rFonts w:ascii="Times New Roman" w:hAnsi="Times New Roman" w:cs="Times New Roman"/>
          <w:color w:val="000000" w:themeColor="text1"/>
        </w:rPr>
      </w:pPr>
      <w:r w:rsidRPr="00C9284D">
        <w:rPr>
          <w:rFonts w:ascii="Times New Roman" w:hAnsi="Times New Roman" w:cs="Times New Roman"/>
          <w:color w:val="000000" w:themeColor="text1"/>
        </w:rPr>
        <w:t xml:space="preserve">All endoscopic procedures were performed by experienced endoscopists, who has experience of more than 100 cases of EBD. Patients received intravenous anesthesia by using propofol, or sedation with midazolam/ remimazolam and dezocine (in this pilot study, the patients were all sedated with midazolam/ remimazolam and dezocine). In both situations, Heart rate, blood pressure, and oxygen saturation were continuously monitored throughout. </w:t>
      </w:r>
    </w:p>
    <w:p w14:paraId="1FF2CB5E" w14:textId="13094857" w:rsidR="00F1387D" w:rsidRPr="00C9284D" w:rsidRDefault="00F148B8" w:rsidP="003541E4">
      <w:pPr>
        <w:spacing w:after="0" w:line="360" w:lineRule="auto"/>
        <w:ind w:firstLineChars="200" w:firstLine="440"/>
        <w:rPr>
          <w:rFonts w:ascii="Times New Roman" w:hAnsi="Times New Roman" w:cs="Times New Roman"/>
          <w:color w:val="000000" w:themeColor="text1"/>
        </w:rPr>
      </w:pPr>
      <w:r w:rsidRPr="00C9284D">
        <w:rPr>
          <w:rFonts w:ascii="Times New Roman" w:hAnsi="Times New Roman" w:cs="Times New Roman"/>
          <w:color w:val="000000" w:themeColor="text1"/>
        </w:rPr>
        <w:t xml:space="preserve">All the procedure was performed using the thin colonoscopy, with a diameter of 10.5mm. </w:t>
      </w:r>
      <w:r w:rsidR="00526C2A">
        <w:rPr>
          <w:rFonts w:ascii="Times New Roman" w:hAnsi="Times New Roman" w:cs="Times New Roman" w:hint="eastAsia"/>
          <w:color w:val="000000" w:themeColor="text1"/>
        </w:rPr>
        <w:t>The procedure was d</w:t>
      </w:r>
      <w:r w:rsidR="00526C2A" w:rsidRPr="00526C2A">
        <w:rPr>
          <w:rFonts w:ascii="Times New Roman" w:hAnsi="Times New Roman" w:cs="Times New Roman"/>
          <w:color w:val="000000" w:themeColor="text1"/>
        </w:rPr>
        <w:t>etailed as reported previously</w:t>
      </w:r>
      <w:r w:rsidR="003541E4" w:rsidRPr="00C9284D">
        <w:rPr>
          <w:rFonts w:ascii="Times New Roman" w:hAnsi="Times New Roman" w:cs="Times New Roman"/>
          <w:color w:val="000000" w:themeColor="text1"/>
        </w:rPr>
        <w:t xml:space="preserve"> </w:t>
      </w:r>
      <w:r w:rsidR="0053507E">
        <w:rPr>
          <w:rFonts w:ascii="Times New Roman" w:hAnsi="Times New Roman" w:cs="Times New Roman"/>
          <w:color w:val="000000" w:themeColor="text1"/>
        </w:rPr>
        <w:fldChar w:fldCharType="begin"/>
      </w:r>
      <w:r w:rsidR="0053507E">
        <w:rPr>
          <w:rFonts w:ascii="Times New Roman" w:hAnsi="Times New Roman" w:cs="Times New Roman"/>
          <w:color w:val="000000" w:themeColor="text1"/>
        </w:rPr>
        <w:instrText xml:space="preserve"> ADDIN NE.Ref.{E3D8FE0C-6839-46D0-9709-083D2314A2F4}</w:instrText>
      </w:r>
      <w:r w:rsidR="0053507E">
        <w:rPr>
          <w:rFonts w:ascii="Times New Roman" w:hAnsi="Times New Roman" w:cs="Times New Roman"/>
          <w:color w:val="000000" w:themeColor="text1"/>
        </w:rPr>
        <w:fldChar w:fldCharType="separate"/>
      </w:r>
      <w:r w:rsidR="0053507E">
        <w:rPr>
          <w:rFonts w:ascii="Times New Roman" w:hAnsi="Times New Roman" w:cs="Times New Roman"/>
          <w:color w:val="080000"/>
          <w:kern w:val="0"/>
          <w:szCs w:val="22"/>
          <w:vertAlign w:val="superscript"/>
        </w:rPr>
        <w:t>1</w:t>
      </w:r>
      <w:r w:rsidR="0053507E">
        <w:rPr>
          <w:rFonts w:ascii="Times New Roman" w:hAnsi="Times New Roman" w:cs="Times New Roman"/>
          <w:color w:val="000000" w:themeColor="text1"/>
        </w:rPr>
        <w:fldChar w:fldCharType="end"/>
      </w:r>
      <w:r w:rsidR="00526C2A">
        <w:rPr>
          <w:rFonts w:ascii="Times New Roman" w:hAnsi="Times New Roman" w:cs="Times New Roman" w:hint="eastAsia"/>
          <w:color w:val="000000" w:themeColor="text1"/>
        </w:rPr>
        <w:t xml:space="preserve">. </w:t>
      </w:r>
      <w:r w:rsidR="00526C2A" w:rsidRPr="00C9284D">
        <w:rPr>
          <w:rFonts w:ascii="Times New Roman" w:hAnsi="Times New Roman" w:cs="Times New Roman"/>
          <w:color w:val="000000" w:themeColor="text1"/>
        </w:rPr>
        <w:t>When the endoscope reached the stricture, a guidewire (Boston Scientific, 0.035in X 450cm) was inserted through the stricture (in only one case, the guidewire was not used). The EBD was performed using the balloon catheter (ECL-14/ 16/ 18*5.5cm, COOK). The balloon diameter was selected primarily according to the diameter of the luminal orifice of the stricture. Then the ballon catheter was inserted along with the guidewire.</w:t>
      </w:r>
      <w:r w:rsidR="00526C2A" w:rsidRPr="00C9284D">
        <w:rPr>
          <w:rFonts w:ascii="Times New Roman" w:hAnsi="Times New Roman" w:cs="Times New Roman"/>
        </w:rPr>
        <w:t xml:space="preserve"> </w:t>
      </w:r>
      <w:r w:rsidR="00526C2A" w:rsidRPr="00C9284D">
        <w:rPr>
          <w:rFonts w:ascii="Times New Roman" w:hAnsi="Times New Roman" w:cs="Times New Roman"/>
          <w:color w:val="000000" w:themeColor="text1"/>
        </w:rPr>
        <w:t xml:space="preserve">The balloon was </w:t>
      </w:r>
      <w:r w:rsidR="00526C2A" w:rsidRPr="00C9284D">
        <w:rPr>
          <w:rFonts w:ascii="Times New Roman" w:hAnsi="Times New Roman" w:cs="Times New Roman"/>
          <w:color w:val="000000" w:themeColor="text1"/>
          <w:sz w:val="21"/>
          <w:szCs w:val="21"/>
        </w:rPr>
        <w:t>advanced in an antegrade fashion and inflated twice, each for 120 s. After dilation of the stricture,</w:t>
      </w:r>
      <w:r w:rsidR="00526C2A" w:rsidRPr="00C9284D">
        <w:rPr>
          <w:rFonts w:ascii="Times New Roman" w:eastAsia="宋体" w:hAnsi="Times New Roman" w:cs="Times New Roman"/>
          <w:color w:val="000000"/>
          <w:kern w:val="0"/>
          <w:sz w:val="21"/>
          <w:szCs w:val="21"/>
          <w14:ligatures w14:val="none"/>
        </w:rPr>
        <w:t xml:space="preserve"> 1-2 mL of PRP was injected </w:t>
      </w:r>
      <w:r w:rsidR="00526C2A" w:rsidRPr="00C9284D">
        <w:rPr>
          <w:rFonts w:ascii="Times New Roman" w:hAnsi="Times New Roman" w:cs="Times New Roman"/>
          <w:color w:val="000000" w:themeColor="text1"/>
          <w:sz w:val="21"/>
          <w:szCs w:val="21"/>
        </w:rPr>
        <w:t>submucosally at 3-4 points of the wound site of the stricture. In som</w:t>
      </w:r>
      <w:r w:rsidR="00526C2A" w:rsidRPr="00C9284D">
        <w:rPr>
          <w:rFonts w:ascii="Times New Roman" w:hAnsi="Times New Roman" w:cs="Times New Roman"/>
          <w:color w:val="000000" w:themeColor="text1"/>
        </w:rPr>
        <w:t xml:space="preserve">e cases, </w:t>
      </w:r>
      <w:r w:rsidR="00526C2A" w:rsidRPr="00C9284D">
        <w:rPr>
          <w:rFonts w:ascii="Times New Roman" w:hAnsi="Times New Roman" w:cs="Times New Roman"/>
          <w:color w:val="000000" w:themeColor="text1"/>
        </w:rPr>
        <w:lastRenderedPageBreak/>
        <w:t xml:space="preserve">polypectomy was performed using snares (NOE342216-C, ENDO-FLEX GmbH or JHY-SD-23-230-30-A1, JIUHONG) to </w:t>
      </w:r>
      <w:proofErr w:type="spellStart"/>
      <w:r w:rsidR="00526C2A" w:rsidRPr="00C9284D">
        <w:rPr>
          <w:rFonts w:ascii="Times New Roman" w:hAnsi="Times New Roman" w:cs="Times New Roman"/>
          <w:color w:val="000000" w:themeColor="text1"/>
        </w:rPr>
        <w:t>resect</w:t>
      </w:r>
      <w:proofErr w:type="spellEnd"/>
      <w:r w:rsidR="00526C2A" w:rsidRPr="00C9284D">
        <w:rPr>
          <w:rFonts w:ascii="Times New Roman" w:hAnsi="Times New Roman" w:cs="Times New Roman"/>
          <w:color w:val="000000" w:themeColor="text1"/>
        </w:rPr>
        <w:t xml:space="preserve"> the pseudopolyps around the stricture.</w:t>
      </w:r>
      <w:r w:rsidR="00526C2A">
        <w:rPr>
          <w:rFonts w:ascii="Times New Roman" w:hAnsi="Times New Roman" w:cs="Times New Roman" w:hint="eastAsia"/>
          <w:color w:val="000000" w:themeColor="text1"/>
        </w:rPr>
        <w:t xml:space="preserve"> </w:t>
      </w:r>
      <w:r w:rsidR="003541E4" w:rsidRPr="00C9284D">
        <w:rPr>
          <w:rFonts w:ascii="Times New Roman" w:hAnsi="Times New Roman" w:cs="Times New Roman"/>
          <w:color w:val="000000" w:themeColor="text1"/>
        </w:rPr>
        <w:t>After the procedure, the patients were fasted for 1 day and then received clear fluids for 2 days.</w:t>
      </w:r>
      <w:r w:rsidR="00F916D7">
        <w:rPr>
          <w:rFonts w:ascii="Times New Roman" w:hAnsi="Times New Roman" w:cs="Times New Roman" w:hint="eastAsia"/>
          <w:color w:val="000000" w:themeColor="text1"/>
        </w:rPr>
        <w:t xml:space="preserve"> The patients were m</w:t>
      </w:r>
      <w:r w:rsidR="00F916D7" w:rsidRPr="00F916D7">
        <w:rPr>
          <w:rFonts w:ascii="Times New Roman" w:hAnsi="Times New Roman" w:cs="Times New Roman"/>
          <w:color w:val="000000" w:themeColor="text1"/>
        </w:rPr>
        <w:t>onitor</w:t>
      </w:r>
      <w:r w:rsidR="00F916D7">
        <w:rPr>
          <w:rFonts w:ascii="Times New Roman" w:hAnsi="Times New Roman" w:cs="Times New Roman" w:hint="eastAsia"/>
          <w:color w:val="000000" w:themeColor="text1"/>
        </w:rPr>
        <w:t>ed</w:t>
      </w:r>
      <w:r w:rsidR="00F916D7" w:rsidRPr="00F916D7">
        <w:rPr>
          <w:rFonts w:ascii="Times New Roman" w:hAnsi="Times New Roman" w:cs="Times New Roman"/>
          <w:color w:val="000000" w:themeColor="text1"/>
        </w:rPr>
        <w:t xml:space="preserve"> for the occurrence of</w:t>
      </w:r>
      <w:r w:rsidR="00302164">
        <w:rPr>
          <w:rFonts w:ascii="Times New Roman" w:hAnsi="Times New Roman" w:cs="Times New Roman" w:hint="eastAsia"/>
          <w:color w:val="000000" w:themeColor="text1"/>
        </w:rPr>
        <w:t xml:space="preserve"> adverse event</w:t>
      </w:r>
      <w:r w:rsidR="00F916D7" w:rsidRPr="00F916D7">
        <w:rPr>
          <w:rFonts w:ascii="Times New Roman" w:hAnsi="Times New Roman" w:cs="Times New Roman"/>
          <w:color w:val="000000" w:themeColor="text1"/>
        </w:rPr>
        <w:t>s such as bleeding, perforation, or infection</w:t>
      </w:r>
      <w:r w:rsidR="00847228">
        <w:rPr>
          <w:rFonts w:ascii="Times New Roman" w:hAnsi="Times New Roman" w:cs="Times New Roman" w:hint="eastAsia"/>
          <w:color w:val="000000" w:themeColor="text1"/>
        </w:rPr>
        <w:t xml:space="preserve"> </w:t>
      </w:r>
      <w:r w:rsidR="00847228">
        <w:rPr>
          <w:rFonts w:ascii="Times New Roman" w:hAnsi="Times New Roman" w:cs="Times New Roman"/>
          <w:color w:val="000000" w:themeColor="text1"/>
        </w:rPr>
        <w:fldChar w:fldCharType="begin"/>
      </w:r>
      <w:r w:rsidR="00847228">
        <w:rPr>
          <w:rFonts w:ascii="Times New Roman" w:hAnsi="Times New Roman" w:cs="Times New Roman"/>
          <w:color w:val="000000" w:themeColor="text1"/>
        </w:rPr>
        <w:instrText xml:space="preserve"> ADDIN NE.Ref.{04A9CAF7-2E55-4543-86CC-D2915CF06B1C}</w:instrText>
      </w:r>
      <w:r w:rsidR="00847228">
        <w:rPr>
          <w:rFonts w:ascii="Times New Roman" w:hAnsi="Times New Roman" w:cs="Times New Roman"/>
          <w:color w:val="000000" w:themeColor="text1"/>
        </w:rPr>
        <w:fldChar w:fldCharType="separate"/>
      </w:r>
      <w:r w:rsidR="00847228">
        <w:rPr>
          <w:rFonts w:ascii="Times New Roman" w:hAnsi="Times New Roman" w:cs="Times New Roman"/>
          <w:color w:val="080000"/>
          <w:kern w:val="0"/>
          <w:szCs w:val="22"/>
          <w:vertAlign w:val="superscript"/>
        </w:rPr>
        <w:t>2</w:t>
      </w:r>
      <w:r w:rsidR="00847228">
        <w:rPr>
          <w:rFonts w:ascii="Times New Roman" w:hAnsi="Times New Roman" w:cs="Times New Roman"/>
          <w:color w:val="000000" w:themeColor="text1"/>
        </w:rPr>
        <w:fldChar w:fldCharType="end"/>
      </w:r>
      <w:r w:rsidR="00F916D7" w:rsidRPr="00F916D7">
        <w:rPr>
          <w:rFonts w:ascii="Times New Roman" w:hAnsi="Times New Roman" w:cs="Times New Roman"/>
          <w:color w:val="000000" w:themeColor="text1"/>
        </w:rPr>
        <w:t>.</w:t>
      </w:r>
    </w:p>
    <w:p w14:paraId="15A431B1" w14:textId="459211BA" w:rsidR="00F543CC" w:rsidRPr="00C9284D" w:rsidRDefault="00F543CC" w:rsidP="00F543CC">
      <w:pPr>
        <w:spacing w:after="0" w:line="360" w:lineRule="auto"/>
        <w:rPr>
          <w:rFonts w:ascii="Times New Roman" w:hAnsi="Times New Roman" w:cs="Times New Roman"/>
          <w:b/>
          <w:bCs/>
          <w:color w:val="000000" w:themeColor="text1"/>
        </w:rPr>
      </w:pPr>
      <w:r w:rsidRPr="00C9284D">
        <w:rPr>
          <w:rFonts w:ascii="Times New Roman" w:hAnsi="Times New Roman" w:cs="Times New Roman"/>
          <w:b/>
          <w:bCs/>
          <w:color w:val="000000" w:themeColor="text1"/>
        </w:rPr>
        <w:t>Follow-up</w:t>
      </w:r>
    </w:p>
    <w:p w14:paraId="7F2314CB" w14:textId="552ED581" w:rsidR="00D0530E" w:rsidRPr="00C9284D" w:rsidRDefault="00D0530E" w:rsidP="003A6B23">
      <w:pPr>
        <w:pStyle w:val="a9"/>
        <w:spacing w:after="0" w:line="360" w:lineRule="auto"/>
        <w:ind w:left="0"/>
        <w:rPr>
          <w:rFonts w:ascii="Times New Roman" w:hAnsi="Times New Roman" w:cs="Times New Roman"/>
          <w:color w:val="000000" w:themeColor="text1"/>
        </w:rPr>
      </w:pPr>
      <w:r w:rsidRPr="00C9284D">
        <w:rPr>
          <w:rFonts w:ascii="Times New Roman" w:hAnsi="Times New Roman" w:cs="Times New Roman"/>
          <w:color w:val="000000" w:themeColor="text1"/>
        </w:rPr>
        <w:t>Patients return for reassessment at 3 weeks post-procedure. If the endoscope sized 10.5mm can traverse the stricture at that visit, follow-up is scheduled 1 year later. If passage is not possible, repeat dilation is performed</w:t>
      </w:r>
      <w:r w:rsidR="00F478E0" w:rsidRPr="00C9284D">
        <w:rPr>
          <w:rFonts w:ascii="Times New Roman" w:hAnsi="Times New Roman" w:cs="Times New Roman"/>
          <w:color w:val="000000" w:themeColor="text1"/>
        </w:rPr>
        <w:t xml:space="preserve"> at 3 weeks post-procedure, and the patient return for reassessment at 6 weeks post-procedure. If the endoscope sized 10.5mm can traverse the stricture at that visit, follow-up is scheduled 1 year later. If passage is not possible, repeat dilation is performed at 6 weeks post-procedure, and the patient return for reassessment at 9 weeks and 1year post-procedure. </w:t>
      </w:r>
      <w:r w:rsidR="00C807F2" w:rsidRPr="00C9284D">
        <w:rPr>
          <w:rFonts w:ascii="Times New Roman" w:hAnsi="Times New Roman" w:cs="Times New Roman"/>
          <w:color w:val="000000" w:themeColor="text1"/>
        </w:rPr>
        <w:t>The explicit study schedule is presented in Figure S1.</w:t>
      </w:r>
    </w:p>
    <w:p w14:paraId="6FDDC146" w14:textId="77777777" w:rsidR="00F478E0" w:rsidRPr="00C9284D" w:rsidRDefault="00F478E0" w:rsidP="00F478E0">
      <w:pPr>
        <w:pStyle w:val="a9"/>
        <w:spacing w:after="0" w:line="360" w:lineRule="auto"/>
        <w:ind w:left="0"/>
        <w:rPr>
          <w:rFonts w:ascii="Times New Roman" w:hAnsi="Times New Roman" w:cs="Times New Roman"/>
          <w:b/>
          <w:bCs/>
          <w:color w:val="000000" w:themeColor="text1"/>
          <w:sz w:val="21"/>
          <w:szCs w:val="21"/>
        </w:rPr>
      </w:pPr>
      <w:r w:rsidRPr="00C9284D">
        <w:rPr>
          <w:rFonts w:ascii="Times New Roman" w:hAnsi="Times New Roman" w:cs="Times New Roman"/>
          <w:b/>
          <w:bCs/>
          <w:color w:val="000000" w:themeColor="text1"/>
          <w:sz w:val="21"/>
          <w:szCs w:val="21"/>
        </w:rPr>
        <w:t>Outcome measures</w:t>
      </w:r>
    </w:p>
    <w:p w14:paraId="5863FAFE" w14:textId="77777777" w:rsidR="003866CD" w:rsidRPr="00C9284D" w:rsidRDefault="003866CD" w:rsidP="003866CD">
      <w:pPr>
        <w:pStyle w:val="a9"/>
        <w:spacing w:after="0" w:line="360" w:lineRule="auto"/>
        <w:ind w:left="0"/>
        <w:rPr>
          <w:rFonts w:ascii="Times New Roman" w:hAnsi="Times New Roman" w:cs="Times New Roman"/>
        </w:rPr>
      </w:pPr>
      <w:r w:rsidRPr="00C9284D">
        <w:rPr>
          <w:rFonts w:ascii="Times New Roman" w:hAnsi="Times New Roman" w:cs="Times New Roman"/>
          <w:sz w:val="21"/>
          <w:szCs w:val="21"/>
        </w:rPr>
        <w:t xml:space="preserve">The primary outcome parameter was the restenosis rate at 3 weeks </w:t>
      </w:r>
      <w:r w:rsidRPr="00C9284D">
        <w:rPr>
          <w:rFonts w:ascii="Times New Roman" w:hAnsi="Times New Roman" w:cs="Times New Roman"/>
          <w:color w:val="000000" w:themeColor="text1"/>
        </w:rPr>
        <w:t>post-procedure</w:t>
      </w:r>
      <w:r w:rsidRPr="00C9284D">
        <w:rPr>
          <w:rFonts w:ascii="Times New Roman" w:hAnsi="Times New Roman" w:cs="Times New Roman"/>
          <w:sz w:val="21"/>
          <w:szCs w:val="21"/>
        </w:rPr>
        <w:t xml:space="preserve">: restenosis was defined as the endoscopy with size of 10.5mm cannot pass the stricture. </w:t>
      </w:r>
      <w:r w:rsidRPr="00AF05B0">
        <w:rPr>
          <w:rFonts w:ascii="Times New Roman" w:eastAsia="宋体" w:hAnsi="Times New Roman" w:cs="Times New Roman"/>
          <w:sz w:val="21"/>
          <w:szCs w:val="21"/>
        </w:rPr>
        <w:t>The secondary outcome measures were</w:t>
      </w:r>
      <w:r>
        <w:rPr>
          <w:rFonts w:ascii="Times New Roman" w:eastAsia="宋体" w:hAnsi="Times New Roman" w:cs="Times New Roman" w:hint="eastAsia"/>
          <w:sz w:val="21"/>
          <w:szCs w:val="21"/>
        </w:rPr>
        <w:t xml:space="preserve"> technical success, adverse events,</w:t>
      </w:r>
      <w:r w:rsidRPr="00AF05B0">
        <w:rPr>
          <w:rFonts w:ascii="Times New Roman" w:eastAsia="宋体" w:hAnsi="Times New Roman" w:cs="Times New Roman"/>
          <w:sz w:val="21"/>
          <w:szCs w:val="21"/>
        </w:rPr>
        <w:t xml:space="preserve"> </w:t>
      </w:r>
      <w:r>
        <w:rPr>
          <w:rFonts w:ascii="Times New Roman" w:eastAsia="宋体" w:hAnsi="Times New Roman" w:cs="Times New Roman" w:hint="eastAsia"/>
          <w:sz w:val="21"/>
          <w:szCs w:val="21"/>
        </w:rPr>
        <w:t>changes</w:t>
      </w:r>
      <w:r w:rsidRPr="00C9284D">
        <w:rPr>
          <w:rFonts w:ascii="Times New Roman" w:hAnsi="Times New Roman" w:cs="Times New Roman"/>
          <w:sz w:val="21"/>
          <w:szCs w:val="21"/>
        </w:rPr>
        <w:t xml:space="preserve"> in intestinal ultrasound (including the thickness of the stricture intestinal wall, and the width of the proximal intestinal cavity, and the</w:t>
      </w:r>
      <w:r w:rsidRPr="00C9284D">
        <w:rPr>
          <w:rFonts w:ascii="Times New Roman" w:hAnsi="Times New Roman" w:cs="Times New Roman"/>
        </w:rPr>
        <w:t xml:space="preserve"> proportion of surgery due to stenosis or perforation in 1 year post-procedure.</w:t>
      </w:r>
    </w:p>
    <w:p w14:paraId="42727C68" w14:textId="4FFB44A6" w:rsidR="00C807F2" w:rsidRPr="00C9284D" w:rsidRDefault="00C807F2" w:rsidP="00C807F2">
      <w:pPr>
        <w:pStyle w:val="a9"/>
        <w:spacing w:after="0" w:line="360" w:lineRule="auto"/>
        <w:ind w:left="0"/>
        <w:jc w:val="center"/>
        <w:rPr>
          <w:rFonts w:ascii="Times New Roman" w:hAnsi="Times New Roman" w:cs="Times New Roman"/>
          <w:color w:val="000000" w:themeColor="text1"/>
        </w:rPr>
      </w:pPr>
      <w:r w:rsidRPr="00C9284D">
        <w:rPr>
          <w:rFonts w:ascii="Times New Roman" w:hAnsi="Times New Roman" w:cs="Times New Roman"/>
          <w:noProof/>
        </w:rPr>
        <w:lastRenderedPageBreak/>
        <w:drawing>
          <wp:inline distT="0" distB="0" distL="0" distR="0" wp14:anchorId="0BB13879" wp14:editId="7A138EC0">
            <wp:extent cx="6027420" cy="8003422"/>
            <wp:effectExtent l="0" t="0" r="0" b="0"/>
            <wp:docPr id="8003337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1627" cy="8022286"/>
                    </a:xfrm>
                    <a:prstGeom prst="rect">
                      <a:avLst/>
                    </a:prstGeom>
                    <a:noFill/>
                    <a:ln>
                      <a:noFill/>
                    </a:ln>
                  </pic:spPr>
                </pic:pic>
              </a:graphicData>
            </a:graphic>
          </wp:inline>
        </w:drawing>
      </w:r>
    </w:p>
    <w:p w14:paraId="64A4381C" w14:textId="4046C27C" w:rsidR="00C807F2" w:rsidRPr="00C9284D" w:rsidRDefault="00C807F2" w:rsidP="00C807F2">
      <w:pPr>
        <w:pStyle w:val="a9"/>
        <w:spacing w:after="0" w:line="360" w:lineRule="auto"/>
        <w:ind w:left="0"/>
        <w:jc w:val="center"/>
        <w:rPr>
          <w:rFonts w:ascii="Times New Roman" w:hAnsi="Times New Roman" w:cs="Times New Roman"/>
          <w:color w:val="000000" w:themeColor="text1"/>
        </w:rPr>
      </w:pPr>
      <w:r w:rsidRPr="00C9284D">
        <w:rPr>
          <w:rFonts w:ascii="Times New Roman" w:hAnsi="Times New Roman" w:cs="Times New Roman"/>
          <w:color w:val="000000" w:themeColor="text1"/>
        </w:rPr>
        <w:t xml:space="preserve">Figure S1 Study schedule </w:t>
      </w:r>
    </w:p>
    <w:p w14:paraId="4E610C06" w14:textId="77777777" w:rsidR="003A6B23" w:rsidRPr="00C9284D" w:rsidRDefault="003A6B23" w:rsidP="003A6B23">
      <w:pPr>
        <w:spacing w:after="0" w:line="360" w:lineRule="auto"/>
        <w:rPr>
          <w:rFonts w:ascii="Times New Roman" w:eastAsia="宋体" w:hAnsi="Times New Roman" w:cs="Times New Roman"/>
        </w:rPr>
      </w:pPr>
    </w:p>
    <w:p w14:paraId="77425F4D" w14:textId="3B3E509E" w:rsidR="00B53027" w:rsidRPr="00B53027" w:rsidRDefault="00B53027" w:rsidP="00B53027">
      <w:pPr>
        <w:spacing w:after="0" w:line="360" w:lineRule="auto"/>
        <w:rPr>
          <w:rFonts w:ascii="Times New Roman" w:hAnsi="Times New Roman" w:cs="Times New Roman"/>
          <w:b/>
          <w:bCs/>
        </w:rPr>
      </w:pPr>
      <w:r w:rsidRPr="00B53027">
        <w:rPr>
          <w:rFonts w:ascii="Times New Roman" w:hAnsi="Times New Roman" w:cs="Times New Roman" w:hint="eastAsia"/>
          <w:b/>
          <w:bCs/>
        </w:rPr>
        <w:lastRenderedPageBreak/>
        <w:t xml:space="preserve">Statistical Analysis </w:t>
      </w:r>
    </w:p>
    <w:p w14:paraId="1D4C2F0E" w14:textId="77777777" w:rsidR="004C665B" w:rsidRPr="00190FA8" w:rsidRDefault="004C665B" w:rsidP="004C665B">
      <w:pPr>
        <w:spacing w:after="0" w:line="360" w:lineRule="auto"/>
        <w:rPr>
          <w:rFonts w:ascii="Times New Roman" w:eastAsia="宋体" w:hAnsi="Times New Roman" w:cs="Times New Roman"/>
          <w:color w:val="000000" w:themeColor="text1"/>
          <w:sz w:val="21"/>
          <w:szCs w:val="21"/>
        </w:rPr>
      </w:pPr>
      <w:bookmarkStart w:id="2" w:name="_Hlk219837731"/>
      <w:r w:rsidRPr="00190FA8">
        <w:rPr>
          <w:rFonts w:ascii="Times New Roman" w:eastAsia="宋体" w:hAnsi="Times New Roman" w:cs="Times New Roman"/>
          <w:color w:val="000000" w:themeColor="text1"/>
          <w:sz w:val="21"/>
          <w:szCs w:val="21"/>
        </w:rPr>
        <w:t xml:space="preserve">Continuous, normally distributed variables are presented as </w:t>
      </w:r>
      <w:bookmarkStart w:id="3" w:name="_Hlk220787341"/>
      <w:r w:rsidRPr="00190FA8">
        <w:rPr>
          <w:rFonts w:ascii="Times New Roman" w:eastAsia="宋体" w:hAnsi="Times New Roman" w:cs="Times New Roman"/>
          <w:color w:val="000000" w:themeColor="text1"/>
          <w:sz w:val="21"/>
          <w:szCs w:val="21"/>
        </w:rPr>
        <w:t xml:space="preserve">mean </w:t>
      </w:r>
      <w:r w:rsidRPr="00190FA8">
        <w:rPr>
          <w:rFonts w:ascii="Times New Roman" w:hAnsi="Times New Roman" w:cs="Times New Roman"/>
          <w:color w:val="000000" w:themeColor="text1"/>
          <w:sz w:val="21"/>
          <w:szCs w:val="21"/>
        </w:rPr>
        <w:t>±</w:t>
      </w:r>
      <w:r w:rsidRPr="00190FA8">
        <w:rPr>
          <w:rFonts w:ascii="Times New Roman" w:eastAsia="宋体" w:hAnsi="Times New Roman" w:cs="Times New Roman"/>
          <w:color w:val="000000" w:themeColor="text1"/>
          <w:sz w:val="21"/>
          <w:szCs w:val="21"/>
        </w:rPr>
        <w:t xml:space="preserve"> </w:t>
      </w:r>
      <w:bookmarkStart w:id="4" w:name="_Hlk220787230"/>
      <w:r w:rsidRPr="00190FA8">
        <w:rPr>
          <w:rFonts w:ascii="Times New Roman" w:eastAsia="宋体" w:hAnsi="Times New Roman" w:cs="Times New Roman"/>
          <w:color w:val="000000" w:themeColor="text1"/>
          <w:sz w:val="21"/>
          <w:szCs w:val="21"/>
        </w:rPr>
        <w:t>standard deviation</w:t>
      </w:r>
      <w:bookmarkEnd w:id="4"/>
      <w:r w:rsidRPr="00190FA8">
        <w:rPr>
          <w:rFonts w:ascii="Times New Roman" w:eastAsia="宋体" w:hAnsi="Times New Roman" w:cs="Times New Roman"/>
          <w:color w:val="000000" w:themeColor="text1"/>
          <w:sz w:val="21"/>
          <w:szCs w:val="21"/>
        </w:rPr>
        <w:t xml:space="preserve"> (SD)</w:t>
      </w:r>
      <w:bookmarkEnd w:id="3"/>
      <w:r w:rsidRPr="00190FA8">
        <w:rPr>
          <w:rFonts w:ascii="Times New Roman" w:eastAsia="宋体" w:hAnsi="Times New Roman" w:cs="Times New Roman" w:hint="eastAsia"/>
          <w:color w:val="000000" w:themeColor="text1"/>
          <w:sz w:val="21"/>
          <w:szCs w:val="21"/>
        </w:rPr>
        <w:t>.</w:t>
      </w:r>
      <w:r w:rsidRPr="00190FA8">
        <w:rPr>
          <w:rFonts w:ascii="Times New Roman" w:eastAsia="宋体" w:hAnsi="Times New Roman" w:cs="Times New Roman"/>
          <w:color w:val="000000" w:themeColor="text1"/>
          <w:sz w:val="21"/>
          <w:szCs w:val="21"/>
        </w:rPr>
        <w:t xml:space="preserve"> Non-normally distributed continuous variables are reported as median (</w:t>
      </w:r>
      <w:bookmarkStart w:id="5" w:name="_Hlk220787314"/>
      <w:r w:rsidRPr="00190FA8">
        <w:rPr>
          <w:rFonts w:ascii="Times New Roman" w:eastAsia="宋体" w:hAnsi="Times New Roman" w:cs="Times New Roman"/>
          <w:color w:val="000000" w:themeColor="text1"/>
          <w:sz w:val="21"/>
          <w:szCs w:val="21"/>
        </w:rPr>
        <w:t>inter-quartile range</w:t>
      </w:r>
      <w:bookmarkEnd w:id="5"/>
      <w:r w:rsidRPr="00190FA8">
        <w:rPr>
          <w:rFonts w:ascii="Times New Roman" w:eastAsia="宋体" w:hAnsi="Times New Roman" w:cs="Times New Roman"/>
          <w:color w:val="000000" w:themeColor="text1"/>
          <w:sz w:val="21"/>
          <w:szCs w:val="21"/>
        </w:rPr>
        <w:t>, IQR). Categorical data are given as n (%). All analyses were performed with SPSS version 22 (IBM Corp., Boston, MA, USA).</w:t>
      </w:r>
    </w:p>
    <w:p w14:paraId="0EB5E483" w14:textId="77777777" w:rsidR="004C665B" w:rsidRPr="00190FA8" w:rsidRDefault="004C665B" w:rsidP="004C665B">
      <w:pPr>
        <w:spacing w:after="0" w:line="360" w:lineRule="auto"/>
        <w:ind w:firstLineChars="200" w:firstLine="420"/>
        <w:rPr>
          <w:rFonts w:ascii="Times New Roman" w:eastAsia="宋体" w:hAnsi="Times New Roman" w:cs="Times New Roman"/>
          <w:color w:val="000000" w:themeColor="text1"/>
          <w:sz w:val="21"/>
          <w:szCs w:val="21"/>
        </w:rPr>
      </w:pPr>
      <w:r w:rsidRPr="00190FA8">
        <w:rPr>
          <w:rFonts w:ascii="Times New Roman" w:eastAsia="宋体" w:hAnsi="Times New Roman" w:cs="Times New Roman"/>
          <w:color w:val="000000" w:themeColor="text1"/>
          <w:sz w:val="21"/>
          <w:szCs w:val="21"/>
        </w:rPr>
        <w:t xml:space="preserve">Stricture-free survival was defined as the interval from the first endoscopic intervention until endoscopic restenosis (inability to pass a 10.5-mm colonoscope) or surgical resection for colonic stricture. Surgery-free survival was defined as the interval from the first endoscopic intervention until surgery due to stricture or perforation. </w:t>
      </w:r>
    </w:p>
    <w:bookmarkEnd w:id="2"/>
    <w:p w14:paraId="0273D3BC" w14:textId="77777777" w:rsidR="00F909E7" w:rsidRDefault="00F909E7" w:rsidP="00564413">
      <w:pPr>
        <w:spacing w:after="0" w:line="360" w:lineRule="auto"/>
        <w:rPr>
          <w:rFonts w:ascii="Times New Roman" w:hAnsi="Times New Roman" w:cs="Times New Roman"/>
        </w:rPr>
      </w:pPr>
    </w:p>
    <w:p w14:paraId="475F9E7C" w14:textId="77777777" w:rsidR="004C665B" w:rsidRDefault="004C665B" w:rsidP="00564413">
      <w:pPr>
        <w:spacing w:after="0" w:line="360" w:lineRule="auto"/>
        <w:rPr>
          <w:rFonts w:ascii="Times New Roman" w:hAnsi="Times New Roman" w:cs="Times New Roman"/>
        </w:rPr>
      </w:pPr>
    </w:p>
    <w:p w14:paraId="7ADC3992" w14:textId="77777777" w:rsidR="004C665B" w:rsidRDefault="004C665B" w:rsidP="00564413">
      <w:pPr>
        <w:spacing w:after="0" w:line="360" w:lineRule="auto"/>
        <w:rPr>
          <w:rFonts w:ascii="Times New Roman" w:hAnsi="Times New Roman" w:cs="Times New Roman"/>
        </w:rPr>
      </w:pPr>
    </w:p>
    <w:p w14:paraId="39170F68" w14:textId="77777777" w:rsidR="004C665B" w:rsidRDefault="004C665B" w:rsidP="00564413">
      <w:pPr>
        <w:spacing w:after="0" w:line="360" w:lineRule="auto"/>
        <w:rPr>
          <w:rFonts w:ascii="Times New Roman" w:hAnsi="Times New Roman" w:cs="Times New Roman"/>
        </w:rPr>
      </w:pPr>
    </w:p>
    <w:p w14:paraId="37FB359B" w14:textId="77777777" w:rsidR="004C665B" w:rsidRDefault="004C665B" w:rsidP="00564413">
      <w:pPr>
        <w:spacing w:after="0" w:line="360" w:lineRule="auto"/>
        <w:rPr>
          <w:rFonts w:ascii="Times New Roman" w:hAnsi="Times New Roman" w:cs="Times New Roman"/>
        </w:rPr>
      </w:pPr>
    </w:p>
    <w:p w14:paraId="4680B01E" w14:textId="77777777" w:rsidR="004C665B" w:rsidRPr="004C665B" w:rsidRDefault="004C665B" w:rsidP="00564413">
      <w:pPr>
        <w:spacing w:after="0" w:line="360" w:lineRule="auto"/>
        <w:rPr>
          <w:rFonts w:ascii="Times New Roman" w:hAnsi="Times New Roman" w:cs="Times New Roman"/>
        </w:rPr>
      </w:pPr>
    </w:p>
    <w:p w14:paraId="68171D1E" w14:textId="77777777" w:rsidR="00F909E7" w:rsidRDefault="00F909E7" w:rsidP="00564413">
      <w:pPr>
        <w:spacing w:after="0" w:line="360" w:lineRule="auto"/>
        <w:rPr>
          <w:rFonts w:ascii="Times New Roman" w:hAnsi="Times New Roman" w:cs="Times New Roman"/>
        </w:rPr>
      </w:pPr>
    </w:p>
    <w:p w14:paraId="74481C79" w14:textId="77777777" w:rsidR="00F909E7" w:rsidRDefault="00F909E7" w:rsidP="00564413">
      <w:pPr>
        <w:spacing w:after="0" w:line="360" w:lineRule="auto"/>
        <w:rPr>
          <w:rFonts w:ascii="Times New Roman" w:hAnsi="Times New Roman" w:cs="Times New Roman"/>
        </w:rPr>
      </w:pPr>
    </w:p>
    <w:p w14:paraId="7E1D963A" w14:textId="77777777" w:rsidR="00F909E7" w:rsidRDefault="00F909E7" w:rsidP="00564413">
      <w:pPr>
        <w:spacing w:after="0" w:line="360" w:lineRule="auto"/>
        <w:rPr>
          <w:rFonts w:ascii="Times New Roman" w:hAnsi="Times New Roman" w:cs="Times New Roman"/>
        </w:rPr>
      </w:pPr>
    </w:p>
    <w:p w14:paraId="70430D3E" w14:textId="77777777" w:rsidR="00F909E7" w:rsidRDefault="00F909E7" w:rsidP="00564413">
      <w:pPr>
        <w:spacing w:after="0" w:line="360" w:lineRule="auto"/>
        <w:rPr>
          <w:rFonts w:ascii="Times New Roman" w:hAnsi="Times New Roman" w:cs="Times New Roman"/>
        </w:rPr>
      </w:pPr>
    </w:p>
    <w:p w14:paraId="16820AAB" w14:textId="77777777" w:rsidR="00F909E7" w:rsidRDefault="00F909E7" w:rsidP="00564413">
      <w:pPr>
        <w:spacing w:after="0" w:line="360" w:lineRule="auto"/>
        <w:rPr>
          <w:rFonts w:ascii="Times New Roman" w:hAnsi="Times New Roman" w:cs="Times New Roman"/>
        </w:rPr>
      </w:pPr>
    </w:p>
    <w:p w14:paraId="4AD26C48" w14:textId="77777777" w:rsidR="00F909E7" w:rsidRDefault="00F909E7" w:rsidP="00564413">
      <w:pPr>
        <w:spacing w:after="0" w:line="360" w:lineRule="auto"/>
        <w:rPr>
          <w:rFonts w:ascii="Times New Roman" w:hAnsi="Times New Roman" w:cs="Times New Roman"/>
        </w:rPr>
      </w:pPr>
    </w:p>
    <w:p w14:paraId="21CE6CBC" w14:textId="77777777" w:rsidR="00F909E7" w:rsidRDefault="00F909E7" w:rsidP="00564413">
      <w:pPr>
        <w:spacing w:after="0" w:line="360" w:lineRule="auto"/>
        <w:rPr>
          <w:rFonts w:ascii="Times New Roman" w:hAnsi="Times New Roman" w:cs="Times New Roman"/>
        </w:rPr>
      </w:pPr>
    </w:p>
    <w:p w14:paraId="0FE6615A" w14:textId="77777777" w:rsidR="00F909E7" w:rsidRDefault="00F909E7" w:rsidP="00564413">
      <w:pPr>
        <w:spacing w:after="0" w:line="360" w:lineRule="auto"/>
        <w:rPr>
          <w:rFonts w:ascii="Times New Roman" w:hAnsi="Times New Roman" w:cs="Times New Roman"/>
        </w:rPr>
      </w:pPr>
    </w:p>
    <w:p w14:paraId="4AE7B81C" w14:textId="77777777" w:rsidR="00F909E7" w:rsidRDefault="00F909E7" w:rsidP="00564413">
      <w:pPr>
        <w:spacing w:after="0" w:line="360" w:lineRule="auto"/>
        <w:rPr>
          <w:rFonts w:ascii="Times New Roman" w:hAnsi="Times New Roman" w:cs="Times New Roman"/>
        </w:rPr>
      </w:pPr>
    </w:p>
    <w:p w14:paraId="20C5D02C" w14:textId="77777777" w:rsidR="00F909E7" w:rsidRDefault="00F909E7" w:rsidP="00564413">
      <w:pPr>
        <w:spacing w:after="0" w:line="360" w:lineRule="auto"/>
        <w:rPr>
          <w:rFonts w:ascii="Times New Roman" w:hAnsi="Times New Roman" w:cs="Times New Roman"/>
        </w:rPr>
      </w:pPr>
    </w:p>
    <w:p w14:paraId="469E52F5" w14:textId="77777777" w:rsidR="00F909E7" w:rsidRDefault="00F909E7" w:rsidP="00564413">
      <w:pPr>
        <w:spacing w:after="0" w:line="360" w:lineRule="auto"/>
        <w:rPr>
          <w:rFonts w:ascii="Times New Roman" w:hAnsi="Times New Roman" w:cs="Times New Roman"/>
        </w:rPr>
      </w:pPr>
    </w:p>
    <w:p w14:paraId="5BD3F1B7" w14:textId="77777777" w:rsidR="00F909E7" w:rsidRDefault="00F909E7" w:rsidP="00564413">
      <w:pPr>
        <w:spacing w:after="0" w:line="360" w:lineRule="auto"/>
        <w:rPr>
          <w:rFonts w:ascii="Times New Roman" w:hAnsi="Times New Roman" w:cs="Times New Roman"/>
        </w:rPr>
      </w:pPr>
    </w:p>
    <w:p w14:paraId="59337FFE" w14:textId="77777777" w:rsidR="00B039FF" w:rsidRDefault="00B039FF" w:rsidP="00564413">
      <w:pPr>
        <w:spacing w:after="0" w:line="360" w:lineRule="auto"/>
        <w:rPr>
          <w:rFonts w:ascii="Times New Roman" w:hAnsi="Times New Roman" w:cs="Times New Roman"/>
        </w:rPr>
      </w:pPr>
    </w:p>
    <w:p w14:paraId="59FC8907" w14:textId="77777777" w:rsidR="00B039FF" w:rsidRDefault="00B039FF" w:rsidP="00564413">
      <w:pPr>
        <w:spacing w:after="0" w:line="360" w:lineRule="auto"/>
        <w:rPr>
          <w:rFonts w:ascii="Times New Roman" w:hAnsi="Times New Roman" w:cs="Times New Roman"/>
        </w:rPr>
      </w:pPr>
    </w:p>
    <w:p w14:paraId="7EDEF9FA" w14:textId="77777777" w:rsidR="00F909E7" w:rsidRDefault="00F909E7" w:rsidP="00E354F8">
      <w:pPr>
        <w:spacing w:after="0" w:line="360" w:lineRule="auto"/>
        <w:rPr>
          <w:rFonts w:ascii="Times New Roman" w:hAnsi="Times New Roman" w:cs="Times New Roman"/>
        </w:rPr>
      </w:pPr>
    </w:p>
    <w:p w14:paraId="029A9B26" w14:textId="77777777" w:rsidR="00F909E7" w:rsidRDefault="00F909E7" w:rsidP="00F909E7">
      <w:pPr>
        <w:spacing w:after="0" w:line="360" w:lineRule="auto"/>
        <w:jc w:val="center"/>
        <w:rPr>
          <w:rFonts w:ascii="Times New Roman" w:hAnsi="Times New Roman" w:cs="Times New Roman"/>
          <w:b/>
          <w:bCs/>
        </w:rPr>
      </w:pPr>
      <w:r>
        <w:rPr>
          <w:rFonts w:ascii="Times New Roman" w:hAnsi="Times New Roman" w:cs="Times New Roman" w:hint="eastAsia"/>
          <w:b/>
          <w:bCs/>
        </w:rPr>
        <w:lastRenderedPageBreak/>
        <w:t>Supplementary tables</w:t>
      </w:r>
    </w:p>
    <w:p w14:paraId="17ABFF16" w14:textId="13AFC897" w:rsidR="006C4FEF" w:rsidRDefault="006C4FEF" w:rsidP="006C4FEF">
      <w:pPr>
        <w:jc w:val="center"/>
        <w:rPr>
          <w:rFonts w:ascii="Times New Roman" w:hAnsi="Times New Roman" w:cs="Times New Roman"/>
          <w:color w:val="0D0D0D" w:themeColor="text1" w:themeTint="F2"/>
        </w:rPr>
      </w:pPr>
      <w:r w:rsidRPr="008B3646">
        <w:rPr>
          <w:rFonts w:ascii="Times New Roman" w:hAnsi="Times New Roman" w:cs="Times New Roman"/>
        </w:rPr>
        <w:t xml:space="preserve">Table </w:t>
      </w:r>
      <w:r>
        <w:rPr>
          <w:rFonts w:ascii="Times New Roman" w:hAnsi="Times New Roman" w:cs="Times New Roman" w:hint="eastAsia"/>
        </w:rPr>
        <w:t>S</w:t>
      </w:r>
      <w:r w:rsidRPr="008B3646">
        <w:rPr>
          <w:rFonts w:ascii="Times New Roman" w:hAnsi="Times New Roman" w:cs="Times New Roman"/>
        </w:rPr>
        <w:t>1</w:t>
      </w:r>
      <w:r>
        <w:rPr>
          <w:rFonts w:ascii="Times New Roman" w:hAnsi="Times New Roman" w:cs="Times New Roman" w:hint="eastAsia"/>
        </w:rPr>
        <w:t xml:space="preserve"> </w:t>
      </w:r>
      <w:r>
        <w:rPr>
          <w:rFonts w:ascii="Times New Roman" w:hAnsi="Times New Roman" w:cs="Times New Roman" w:hint="eastAsia"/>
          <w:color w:val="0D0D0D" w:themeColor="text1" w:themeTint="F2"/>
        </w:rPr>
        <w:t>The laboratory results of the patients</w:t>
      </w:r>
    </w:p>
    <w:tbl>
      <w:tblPr>
        <w:tblStyle w:val="af2"/>
        <w:tblW w:w="11062"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1"/>
        <w:gridCol w:w="2126"/>
        <w:gridCol w:w="2410"/>
        <w:gridCol w:w="2835"/>
      </w:tblGrid>
      <w:tr w:rsidR="00A505C8" w:rsidRPr="004E0B27" w14:paraId="64B4F7F2" w14:textId="77777777" w:rsidTr="00A505C8">
        <w:tc>
          <w:tcPr>
            <w:tcW w:w="3691" w:type="dxa"/>
            <w:tcBorders>
              <w:top w:val="single" w:sz="4" w:space="0" w:color="auto"/>
              <w:bottom w:val="single" w:sz="4" w:space="0" w:color="auto"/>
            </w:tcBorders>
          </w:tcPr>
          <w:p w14:paraId="62CBC302" w14:textId="77777777" w:rsidR="00A505C8" w:rsidRPr="004E0B27" w:rsidRDefault="00A505C8" w:rsidP="00A505C8">
            <w:pPr>
              <w:rPr>
                <w:rFonts w:ascii="Times New Roman" w:hAnsi="Times New Roman" w:cs="Times New Roman"/>
              </w:rPr>
            </w:pPr>
          </w:p>
        </w:tc>
        <w:tc>
          <w:tcPr>
            <w:tcW w:w="2126" w:type="dxa"/>
            <w:tcBorders>
              <w:top w:val="single" w:sz="4" w:space="0" w:color="auto"/>
              <w:bottom w:val="single" w:sz="4" w:space="0" w:color="auto"/>
            </w:tcBorders>
          </w:tcPr>
          <w:p w14:paraId="5328A16F" w14:textId="77777777" w:rsidR="00A505C8" w:rsidRPr="004E0B27" w:rsidRDefault="00A505C8" w:rsidP="00A505C8">
            <w:pPr>
              <w:jc w:val="center"/>
              <w:rPr>
                <w:rFonts w:ascii="Times New Roman" w:hAnsi="Times New Roman" w:cs="Times New Roman"/>
              </w:rPr>
            </w:pPr>
            <w:r w:rsidRPr="004E0B27">
              <w:rPr>
                <w:rFonts w:ascii="Times New Roman" w:hAnsi="Times New Roman" w:cs="Times New Roman"/>
              </w:rPr>
              <w:t>All</w:t>
            </w:r>
          </w:p>
          <w:p w14:paraId="38C37270" w14:textId="58C5FBC9" w:rsidR="00A505C8" w:rsidRPr="004E0B27" w:rsidRDefault="00A505C8" w:rsidP="00A505C8">
            <w:pPr>
              <w:jc w:val="center"/>
              <w:rPr>
                <w:rFonts w:ascii="Times New Roman" w:hAnsi="Times New Roman" w:cs="Times New Roman"/>
              </w:rPr>
            </w:pPr>
            <w:r w:rsidRPr="004E0B27">
              <w:rPr>
                <w:rFonts w:ascii="Times New Roman" w:hAnsi="Times New Roman" w:cs="Times New Roman"/>
              </w:rPr>
              <w:t>(n=29)</w:t>
            </w:r>
          </w:p>
        </w:tc>
        <w:tc>
          <w:tcPr>
            <w:tcW w:w="2410" w:type="dxa"/>
            <w:tcBorders>
              <w:top w:val="single" w:sz="4" w:space="0" w:color="auto"/>
              <w:bottom w:val="single" w:sz="4" w:space="0" w:color="auto"/>
            </w:tcBorders>
          </w:tcPr>
          <w:p w14:paraId="6579DC0E" w14:textId="7E2FAB05" w:rsidR="00A505C8" w:rsidRPr="004E0B27" w:rsidRDefault="00A505C8" w:rsidP="00A505C8">
            <w:pPr>
              <w:jc w:val="center"/>
              <w:rPr>
                <w:rFonts w:ascii="Times New Roman" w:hAnsi="Times New Roman" w:cs="Times New Roman"/>
              </w:rPr>
            </w:pPr>
            <w:bookmarkStart w:id="6" w:name="OLE_LINK1"/>
            <w:r w:rsidRPr="004E0B27">
              <w:rPr>
                <w:rFonts w:ascii="Times New Roman" w:eastAsia="宋体" w:hAnsi="Times New Roman" w:cs="Times New Roman"/>
                <w:color w:val="000000" w:themeColor="text1"/>
                <w:sz w:val="21"/>
                <w:szCs w:val="21"/>
              </w:rPr>
              <w:t>Low-concentration</w:t>
            </w:r>
            <w:bookmarkEnd w:id="6"/>
            <w:r w:rsidRPr="004E0B27">
              <w:rPr>
                <w:rFonts w:ascii="Times New Roman" w:hAnsi="Times New Roman" w:cs="Times New Roman"/>
              </w:rPr>
              <w:t xml:space="preserve"> (n=15)</w:t>
            </w:r>
          </w:p>
        </w:tc>
        <w:tc>
          <w:tcPr>
            <w:tcW w:w="2835" w:type="dxa"/>
            <w:tcBorders>
              <w:top w:val="single" w:sz="4" w:space="0" w:color="auto"/>
              <w:bottom w:val="single" w:sz="4" w:space="0" w:color="auto"/>
            </w:tcBorders>
          </w:tcPr>
          <w:p w14:paraId="537211FA" w14:textId="77777777" w:rsidR="00A505C8" w:rsidRPr="004E0B27" w:rsidRDefault="00A505C8" w:rsidP="00A505C8">
            <w:pPr>
              <w:jc w:val="center"/>
              <w:rPr>
                <w:rFonts w:ascii="Times New Roman" w:hAnsi="Times New Roman" w:cs="Times New Roman"/>
              </w:rPr>
            </w:pPr>
            <w:r w:rsidRPr="004E0B27">
              <w:rPr>
                <w:rFonts w:ascii="Times New Roman" w:eastAsia="宋体" w:hAnsi="Times New Roman" w:cs="Times New Roman"/>
                <w:color w:val="000000" w:themeColor="text1"/>
                <w:sz w:val="21"/>
                <w:szCs w:val="21"/>
              </w:rPr>
              <w:t>High-concentration</w:t>
            </w:r>
            <w:r w:rsidRPr="004E0B27">
              <w:rPr>
                <w:rFonts w:ascii="Times New Roman" w:hAnsi="Times New Roman" w:cs="Times New Roman"/>
              </w:rPr>
              <w:t xml:space="preserve"> </w:t>
            </w:r>
          </w:p>
          <w:p w14:paraId="71F14141" w14:textId="5A287E7B" w:rsidR="00A505C8" w:rsidRPr="004E0B27" w:rsidRDefault="00A505C8" w:rsidP="00A505C8">
            <w:pPr>
              <w:jc w:val="center"/>
              <w:rPr>
                <w:rFonts w:ascii="Times New Roman" w:hAnsi="Times New Roman" w:cs="Times New Roman"/>
              </w:rPr>
            </w:pPr>
            <w:r w:rsidRPr="004E0B27">
              <w:rPr>
                <w:rFonts w:ascii="Times New Roman" w:hAnsi="Times New Roman" w:cs="Times New Roman"/>
              </w:rPr>
              <w:t>(n=14)</w:t>
            </w:r>
          </w:p>
        </w:tc>
      </w:tr>
      <w:tr w:rsidR="004E0B27" w:rsidRPr="004E0B27" w14:paraId="251F79D8" w14:textId="77777777" w:rsidTr="0012017F">
        <w:tc>
          <w:tcPr>
            <w:tcW w:w="3691" w:type="dxa"/>
            <w:tcBorders>
              <w:top w:val="single" w:sz="4" w:space="0" w:color="auto"/>
            </w:tcBorders>
            <w:vAlign w:val="center"/>
          </w:tcPr>
          <w:p w14:paraId="0D98DF93" w14:textId="78C458DC" w:rsidR="004E0B27" w:rsidRPr="004E0B27" w:rsidRDefault="004E0B27" w:rsidP="004E0B27">
            <w:pPr>
              <w:rPr>
                <w:rFonts w:ascii="Times New Roman" w:hAnsi="Times New Roman" w:cs="Times New Roman"/>
              </w:rPr>
            </w:pPr>
            <w:r w:rsidRPr="004E0B27">
              <w:rPr>
                <w:rFonts w:ascii="Times New Roman" w:eastAsia="等线" w:hAnsi="Times New Roman" w:cs="Times New Roman"/>
                <w:color w:val="000000"/>
                <w:szCs w:val="22"/>
              </w:rPr>
              <w:t>CRP</w:t>
            </w:r>
            <w:r w:rsidRPr="004E0B27">
              <w:rPr>
                <w:rFonts w:ascii="Times New Roman" w:hAnsi="Times New Roman" w:cs="Times New Roman"/>
                <w:color w:val="000000"/>
                <w:szCs w:val="22"/>
              </w:rPr>
              <w:t xml:space="preserve"> (</w:t>
            </w:r>
            <w:r w:rsidRPr="004E0B27">
              <w:rPr>
                <w:rFonts w:ascii="Times New Roman" w:eastAsia="等线" w:hAnsi="Times New Roman" w:cs="Times New Roman"/>
                <w:color w:val="000000"/>
                <w:szCs w:val="22"/>
              </w:rPr>
              <w:t>mg/L), median (IQR)</w:t>
            </w:r>
          </w:p>
        </w:tc>
        <w:tc>
          <w:tcPr>
            <w:tcW w:w="2126" w:type="dxa"/>
            <w:tcBorders>
              <w:top w:val="single" w:sz="4" w:space="0" w:color="auto"/>
            </w:tcBorders>
            <w:vAlign w:val="center"/>
          </w:tcPr>
          <w:p w14:paraId="46BD3B23" w14:textId="24E8396E" w:rsidR="004E0B27" w:rsidRPr="004E0B27" w:rsidRDefault="004E0B27" w:rsidP="004E0B27">
            <w:pPr>
              <w:jc w:val="center"/>
              <w:rPr>
                <w:rFonts w:ascii="Times New Roman" w:eastAsia="等线" w:hAnsi="Times New Roman" w:cs="Times New Roman"/>
                <w:color w:val="000000"/>
                <w:szCs w:val="22"/>
              </w:rPr>
            </w:pPr>
            <w:r w:rsidRPr="004E0B27">
              <w:rPr>
                <w:rFonts w:ascii="Times New Roman" w:eastAsia="等线" w:hAnsi="Times New Roman" w:cs="Times New Roman"/>
                <w:color w:val="000000"/>
                <w:szCs w:val="22"/>
              </w:rPr>
              <w:t>1.35 (1.93)</w:t>
            </w:r>
          </w:p>
        </w:tc>
        <w:tc>
          <w:tcPr>
            <w:tcW w:w="2410" w:type="dxa"/>
            <w:tcBorders>
              <w:top w:val="single" w:sz="4" w:space="0" w:color="auto"/>
            </w:tcBorders>
            <w:vAlign w:val="center"/>
          </w:tcPr>
          <w:p w14:paraId="3CC5CA04" w14:textId="668A9AEF"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1.29 (2.13)</w:t>
            </w:r>
          </w:p>
        </w:tc>
        <w:tc>
          <w:tcPr>
            <w:tcW w:w="2835" w:type="dxa"/>
            <w:tcBorders>
              <w:top w:val="single" w:sz="4" w:space="0" w:color="auto"/>
            </w:tcBorders>
            <w:vAlign w:val="center"/>
          </w:tcPr>
          <w:p w14:paraId="0AE3DD77" w14:textId="2F91C143"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1.36 (1.98)</w:t>
            </w:r>
          </w:p>
        </w:tc>
      </w:tr>
      <w:tr w:rsidR="004E0B27" w:rsidRPr="004E0B27" w14:paraId="2B9F722E" w14:textId="77777777" w:rsidTr="0012017F">
        <w:tc>
          <w:tcPr>
            <w:tcW w:w="3691" w:type="dxa"/>
            <w:vAlign w:val="center"/>
          </w:tcPr>
          <w:p w14:paraId="4392242B" w14:textId="15736415" w:rsidR="004E0B27" w:rsidRPr="004E0B27" w:rsidRDefault="004E0B27" w:rsidP="004E0B27">
            <w:pPr>
              <w:rPr>
                <w:rFonts w:ascii="Times New Roman" w:hAnsi="Times New Roman" w:cs="Times New Roman"/>
              </w:rPr>
            </w:pPr>
            <w:r w:rsidRPr="004E0B27">
              <w:rPr>
                <w:rFonts w:ascii="Times New Roman" w:eastAsia="等线" w:hAnsi="Times New Roman" w:cs="Times New Roman"/>
                <w:color w:val="000000"/>
                <w:szCs w:val="22"/>
              </w:rPr>
              <w:t>ALB (g/L), median (IQR)</w:t>
            </w:r>
          </w:p>
        </w:tc>
        <w:tc>
          <w:tcPr>
            <w:tcW w:w="2126" w:type="dxa"/>
            <w:vAlign w:val="center"/>
          </w:tcPr>
          <w:p w14:paraId="62BAD787" w14:textId="7BEFFEA9" w:rsidR="004E0B27" w:rsidRPr="004E0B27" w:rsidRDefault="004E0B27" w:rsidP="004E0B27">
            <w:pPr>
              <w:jc w:val="center"/>
              <w:rPr>
                <w:rFonts w:ascii="Times New Roman" w:eastAsia="等线" w:hAnsi="Times New Roman" w:cs="Times New Roman"/>
                <w:color w:val="000000"/>
                <w:szCs w:val="22"/>
              </w:rPr>
            </w:pPr>
            <w:r w:rsidRPr="004E0B27">
              <w:rPr>
                <w:rFonts w:ascii="Times New Roman" w:eastAsia="等线" w:hAnsi="Times New Roman" w:cs="Times New Roman"/>
                <w:color w:val="000000"/>
                <w:szCs w:val="22"/>
              </w:rPr>
              <w:t>42.63 (4.19)</w:t>
            </w:r>
          </w:p>
        </w:tc>
        <w:tc>
          <w:tcPr>
            <w:tcW w:w="2410" w:type="dxa"/>
            <w:vAlign w:val="center"/>
          </w:tcPr>
          <w:p w14:paraId="58825126" w14:textId="76046458"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42.95 (5.16)</w:t>
            </w:r>
          </w:p>
        </w:tc>
        <w:tc>
          <w:tcPr>
            <w:tcW w:w="2835" w:type="dxa"/>
            <w:vAlign w:val="center"/>
          </w:tcPr>
          <w:p w14:paraId="1A6FFC3E" w14:textId="4A022C37"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42.05 (3.26)</w:t>
            </w:r>
          </w:p>
        </w:tc>
      </w:tr>
      <w:tr w:rsidR="004E0B27" w:rsidRPr="004E0B27" w14:paraId="654AEA3F" w14:textId="77777777" w:rsidTr="0012017F">
        <w:tc>
          <w:tcPr>
            <w:tcW w:w="3691" w:type="dxa"/>
            <w:vAlign w:val="center"/>
          </w:tcPr>
          <w:p w14:paraId="1EEC088F" w14:textId="6D06294C" w:rsidR="004E0B27" w:rsidRPr="004E0B27" w:rsidRDefault="004E0B27" w:rsidP="004E0B27">
            <w:pPr>
              <w:rPr>
                <w:rFonts w:ascii="Times New Roman" w:hAnsi="Times New Roman" w:cs="Times New Roman"/>
              </w:rPr>
            </w:pPr>
            <w:r w:rsidRPr="004E0B27">
              <w:rPr>
                <w:rFonts w:ascii="Times New Roman" w:eastAsia="等线" w:hAnsi="Times New Roman" w:cs="Times New Roman"/>
                <w:color w:val="000000"/>
                <w:szCs w:val="22"/>
              </w:rPr>
              <w:t>Hb (g/L), median (IQR)</w:t>
            </w:r>
          </w:p>
        </w:tc>
        <w:tc>
          <w:tcPr>
            <w:tcW w:w="2126" w:type="dxa"/>
            <w:vAlign w:val="center"/>
          </w:tcPr>
          <w:p w14:paraId="3D902329" w14:textId="41098C99" w:rsidR="004E0B27" w:rsidRPr="004E0B27" w:rsidRDefault="004E0B27" w:rsidP="004E0B27">
            <w:pPr>
              <w:jc w:val="center"/>
              <w:rPr>
                <w:rFonts w:ascii="Times New Roman" w:eastAsia="等线" w:hAnsi="Times New Roman" w:cs="Times New Roman"/>
                <w:color w:val="000000"/>
                <w:szCs w:val="22"/>
              </w:rPr>
            </w:pPr>
            <w:r w:rsidRPr="004E0B27">
              <w:rPr>
                <w:rFonts w:ascii="Times New Roman" w:eastAsia="等线" w:hAnsi="Times New Roman" w:cs="Times New Roman"/>
                <w:color w:val="000000"/>
                <w:szCs w:val="22"/>
              </w:rPr>
              <w:t>132 (25)</w:t>
            </w:r>
          </w:p>
        </w:tc>
        <w:tc>
          <w:tcPr>
            <w:tcW w:w="2410" w:type="dxa"/>
            <w:vAlign w:val="center"/>
          </w:tcPr>
          <w:p w14:paraId="6011121D" w14:textId="5773BAF5"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129 (37)</w:t>
            </w:r>
          </w:p>
        </w:tc>
        <w:tc>
          <w:tcPr>
            <w:tcW w:w="2835" w:type="dxa"/>
            <w:vAlign w:val="center"/>
          </w:tcPr>
          <w:p w14:paraId="09F0DD45" w14:textId="1B370A92"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134 (23)</w:t>
            </w:r>
          </w:p>
        </w:tc>
      </w:tr>
      <w:tr w:rsidR="004E0B27" w:rsidRPr="004E0B27" w14:paraId="3CB2CA86" w14:textId="77777777" w:rsidTr="0012017F">
        <w:tc>
          <w:tcPr>
            <w:tcW w:w="3691" w:type="dxa"/>
            <w:vAlign w:val="center"/>
          </w:tcPr>
          <w:p w14:paraId="0609727E" w14:textId="4C90DB6A" w:rsidR="004E0B27" w:rsidRPr="004E0B27" w:rsidRDefault="004E0B27" w:rsidP="004E0B27">
            <w:pPr>
              <w:rPr>
                <w:rFonts w:ascii="Times New Roman" w:hAnsi="Times New Roman" w:cs="Times New Roman"/>
              </w:rPr>
            </w:pPr>
            <w:r w:rsidRPr="004E0B27">
              <w:rPr>
                <w:rFonts w:ascii="Times New Roman" w:eastAsia="等线" w:hAnsi="Times New Roman" w:cs="Times New Roman"/>
                <w:color w:val="000000"/>
                <w:szCs w:val="22"/>
              </w:rPr>
              <w:t>Platelet</w:t>
            </w:r>
            <w:r w:rsidRPr="004E0B27">
              <w:rPr>
                <w:rFonts w:ascii="Times New Roman" w:hAnsi="Times New Roman" w:cs="Times New Roman"/>
                <w:color w:val="000000"/>
                <w:szCs w:val="22"/>
              </w:rPr>
              <w:t xml:space="preserve"> (</w:t>
            </w:r>
            <w:r w:rsidRPr="004E0B27">
              <w:rPr>
                <w:rFonts w:ascii="Times New Roman" w:eastAsia="等线" w:hAnsi="Times New Roman" w:cs="Times New Roman"/>
                <w:color w:val="000000"/>
                <w:szCs w:val="22"/>
              </w:rPr>
              <w:t>10E9/L</w:t>
            </w:r>
            <w:r w:rsidRPr="004E0B27">
              <w:rPr>
                <w:rFonts w:ascii="Times New Roman" w:hAnsi="Times New Roman" w:cs="Times New Roman"/>
                <w:color w:val="000000"/>
                <w:szCs w:val="22"/>
              </w:rPr>
              <w:t>)</w:t>
            </w:r>
            <w:r w:rsidRPr="004E0B27">
              <w:rPr>
                <w:rFonts w:ascii="Times New Roman" w:eastAsia="等线" w:hAnsi="Times New Roman" w:cs="Times New Roman"/>
                <w:color w:val="000000"/>
                <w:szCs w:val="22"/>
              </w:rPr>
              <w:t>, median (IQR)</w:t>
            </w:r>
          </w:p>
        </w:tc>
        <w:tc>
          <w:tcPr>
            <w:tcW w:w="2126" w:type="dxa"/>
            <w:vAlign w:val="center"/>
          </w:tcPr>
          <w:p w14:paraId="218ECA68" w14:textId="26639ABB" w:rsidR="004E0B27" w:rsidRPr="004E0B27" w:rsidRDefault="004E0B27" w:rsidP="004E0B27">
            <w:pPr>
              <w:jc w:val="center"/>
              <w:rPr>
                <w:rFonts w:ascii="Times New Roman" w:eastAsia="等线" w:hAnsi="Times New Roman" w:cs="Times New Roman"/>
                <w:color w:val="000000"/>
                <w:szCs w:val="22"/>
              </w:rPr>
            </w:pPr>
            <w:r w:rsidRPr="004E0B27">
              <w:rPr>
                <w:rFonts w:ascii="Times New Roman" w:eastAsia="等线" w:hAnsi="Times New Roman" w:cs="Times New Roman"/>
                <w:color w:val="000000"/>
                <w:szCs w:val="22"/>
              </w:rPr>
              <w:t>263 (85)</w:t>
            </w:r>
          </w:p>
        </w:tc>
        <w:tc>
          <w:tcPr>
            <w:tcW w:w="2410" w:type="dxa"/>
            <w:vAlign w:val="center"/>
          </w:tcPr>
          <w:p w14:paraId="337A0C10" w14:textId="3A4FCC87"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263 (116)</w:t>
            </w:r>
          </w:p>
        </w:tc>
        <w:tc>
          <w:tcPr>
            <w:tcW w:w="2835" w:type="dxa"/>
            <w:vAlign w:val="center"/>
          </w:tcPr>
          <w:p w14:paraId="6C2D95CE" w14:textId="10BCA68F"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267 (64)</w:t>
            </w:r>
          </w:p>
        </w:tc>
      </w:tr>
      <w:tr w:rsidR="004E0B27" w:rsidRPr="004E0B27" w14:paraId="006FCB1B" w14:textId="77777777" w:rsidTr="0012017F">
        <w:tc>
          <w:tcPr>
            <w:tcW w:w="3691" w:type="dxa"/>
            <w:vAlign w:val="center"/>
          </w:tcPr>
          <w:p w14:paraId="32104E0C" w14:textId="11114F06" w:rsidR="004E0B27" w:rsidRPr="004E0B27" w:rsidRDefault="004E0B27" w:rsidP="004E0B27">
            <w:pPr>
              <w:rPr>
                <w:rFonts w:ascii="Times New Roman" w:hAnsi="Times New Roman" w:cs="Times New Roman"/>
              </w:rPr>
            </w:pPr>
            <w:r w:rsidRPr="004E0B27">
              <w:rPr>
                <w:rFonts w:ascii="Times New Roman" w:eastAsia="等线" w:hAnsi="Times New Roman" w:cs="Times New Roman"/>
                <w:color w:val="000000"/>
                <w:szCs w:val="22"/>
              </w:rPr>
              <w:t>Neutrophils (10E9/L), median (IQR)</w:t>
            </w:r>
          </w:p>
        </w:tc>
        <w:tc>
          <w:tcPr>
            <w:tcW w:w="2126" w:type="dxa"/>
            <w:vAlign w:val="center"/>
          </w:tcPr>
          <w:p w14:paraId="26AA7884" w14:textId="5633C6E8" w:rsidR="004E0B27" w:rsidRPr="004E0B27" w:rsidRDefault="004E0B27" w:rsidP="004E0B27">
            <w:pPr>
              <w:jc w:val="center"/>
              <w:rPr>
                <w:rFonts w:ascii="Times New Roman" w:eastAsia="等线" w:hAnsi="Times New Roman" w:cs="Times New Roman"/>
                <w:color w:val="000000"/>
                <w:szCs w:val="22"/>
              </w:rPr>
            </w:pPr>
            <w:r w:rsidRPr="004E0B27">
              <w:rPr>
                <w:rFonts w:ascii="Times New Roman" w:eastAsia="等线" w:hAnsi="Times New Roman" w:cs="Times New Roman"/>
                <w:color w:val="000000"/>
                <w:szCs w:val="22"/>
              </w:rPr>
              <w:t>3.26 (1.77)</w:t>
            </w:r>
          </w:p>
        </w:tc>
        <w:tc>
          <w:tcPr>
            <w:tcW w:w="2410" w:type="dxa"/>
            <w:vAlign w:val="center"/>
          </w:tcPr>
          <w:p w14:paraId="368EF442" w14:textId="41EA6841"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2.94 (1.71)</w:t>
            </w:r>
          </w:p>
        </w:tc>
        <w:tc>
          <w:tcPr>
            <w:tcW w:w="2835" w:type="dxa"/>
            <w:vAlign w:val="center"/>
          </w:tcPr>
          <w:p w14:paraId="253D4FE9" w14:textId="4AFBC6F1"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3.49 (2.25)</w:t>
            </w:r>
          </w:p>
        </w:tc>
      </w:tr>
      <w:tr w:rsidR="004E0B27" w:rsidRPr="004E0B27" w14:paraId="0F1B8B34" w14:textId="77777777" w:rsidTr="0012017F">
        <w:tc>
          <w:tcPr>
            <w:tcW w:w="3691" w:type="dxa"/>
            <w:vAlign w:val="center"/>
          </w:tcPr>
          <w:p w14:paraId="5BCF8C38" w14:textId="01CF996D" w:rsidR="004E0B27" w:rsidRPr="004E0B27" w:rsidRDefault="004E0B27" w:rsidP="004E0B27">
            <w:pPr>
              <w:rPr>
                <w:rFonts w:ascii="Times New Roman" w:hAnsi="Times New Roman" w:cs="Times New Roman"/>
              </w:rPr>
            </w:pPr>
            <w:r w:rsidRPr="004E0B27">
              <w:rPr>
                <w:rFonts w:ascii="Times New Roman" w:eastAsia="等线" w:hAnsi="Times New Roman" w:cs="Times New Roman"/>
                <w:color w:val="000000"/>
                <w:szCs w:val="22"/>
              </w:rPr>
              <w:t>Monocytes (10E9/L), median (IQR)</w:t>
            </w:r>
          </w:p>
        </w:tc>
        <w:tc>
          <w:tcPr>
            <w:tcW w:w="2126" w:type="dxa"/>
            <w:vAlign w:val="center"/>
          </w:tcPr>
          <w:p w14:paraId="06D5B20D" w14:textId="1B629D5B" w:rsidR="004E0B27" w:rsidRPr="004E0B27" w:rsidRDefault="004E0B27" w:rsidP="004E0B27">
            <w:pPr>
              <w:jc w:val="center"/>
              <w:rPr>
                <w:rFonts w:ascii="Times New Roman" w:eastAsia="等线" w:hAnsi="Times New Roman" w:cs="Times New Roman"/>
                <w:color w:val="000000"/>
                <w:szCs w:val="22"/>
              </w:rPr>
            </w:pPr>
            <w:r w:rsidRPr="004E0B27">
              <w:rPr>
                <w:rFonts w:ascii="Times New Roman" w:eastAsia="等线" w:hAnsi="Times New Roman" w:cs="Times New Roman"/>
                <w:color w:val="000000"/>
                <w:szCs w:val="22"/>
              </w:rPr>
              <w:t>0.38 (0.16)</w:t>
            </w:r>
          </w:p>
        </w:tc>
        <w:tc>
          <w:tcPr>
            <w:tcW w:w="2410" w:type="dxa"/>
            <w:vAlign w:val="center"/>
          </w:tcPr>
          <w:p w14:paraId="44433023" w14:textId="3254B08D"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0.39 (0.15)</w:t>
            </w:r>
          </w:p>
        </w:tc>
        <w:tc>
          <w:tcPr>
            <w:tcW w:w="2835" w:type="dxa"/>
            <w:vAlign w:val="center"/>
          </w:tcPr>
          <w:p w14:paraId="609A9451" w14:textId="3E62DCDC"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0.36 (0.17)</w:t>
            </w:r>
          </w:p>
        </w:tc>
      </w:tr>
      <w:tr w:rsidR="004E0B27" w:rsidRPr="004E0B27" w14:paraId="5CEDB767" w14:textId="77777777" w:rsidTr="0012017F">
        <w:tc>
          <w:tcPr>
            <w:tcW w:w="3691" w:type="dxa"/>
            <w:tcBorders>
              <w:bottom w:val="single" w:sz="4" w:space="0" w:color="auto"/>
            </w:tcBorders>
            <w:vAlign w:val="center"/>
          </w:tcPr>
          <w:p w14:paraId="309E2F58" w14:textId="39DDFE7C" w:rsidR="004E0B27" w:rsidRPr="004E0B27" w:rsidRDefault="004E0B27" w:rsidP="004E0B27">
            <w:pPr>
              <w:rPr>
                <w:rFonts w:ascii="Times New Roman" w:hAnsi="Times New Roman" w:cs="Times New Roman"/>
              </w:rPr>
            </w:pPr>
            <w:r w:rsidRPr="004E0B27">
              <w:rPr>
                <w:rFonts w:ascii="Times New Roman" w:eastAsia="等线" w:hAnsi="Times New Roman" w:cs="Times New Roman"/>
                <w:color w:val="000000"/>
                <w:szCs w:val="22"/>
              </w:rPr>
              <w:t>Lymphocytes (10E9/L), median (IQR)</w:t>
            </w:r>
          </w:p>
        </w:tc>
        <w:tc>
          <w:tcPr>
            <w:tcW w:w="2126" w:type="dxa"/>
            <w:tcBorders>
              <w:bottom w:val="single" w:sz="4" w:space="0" w:color="auto"/>
            </w:tcBorders>
            <w:vAlign w:val="center"/>
          </w:tcPr>
          <w:p w14:paraId="0B57908C" w14:textId="313B7531" w:rsidR="004E0B27" w:rsidRPr="004E0B27" w:rsidRDefault="004E0B27" w:rsidP="004E0B27">
            <w:pPr>
              <w:jc w:val="center"/>
              <w:rPr>
                <w:rFonts w:ascii="Times New Roman" w:eastAsia="等线" w:hAnsi="Times New Roman" w:cs="Times New Roman"/>
                <w:color w:val="000000"/>
                <w:szCs w:val="22"/>
              </w:rPr>
            </w:pPr>
            <w:r w:rsidRPr="004E0B27">
              <w:rPr>
                <w:rFonts w:ascii="Times New Roman" w:eastAsia="等线" w:hAnsi="Times New Roman" w:cs="Times New Roman"/>
                <w:color w:val="000000"/>
                <w:szCs w:val="22"/>
              </w:rPr>
              <w:t>1.45 (0.96)</w:t>
            </w:r>
          </w:p>
        </w:tc>
        <w:tc>
          <w:tcPr>
            <w:tcW w:w="2410" w:type="dxa"/>
            <w:tcBorders>
              <w:bottom w:val="single" w:sz="4" w:space="0" w:color="auto"/>
            </w:tcBorders>
            <w:vAlign w:val="center"/>
          </w:tcPr>
          <w:p w14:paraId="3F8B00A3" w14:textId="58716084"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1.68 (1.07)</w:t>
            </w:r>
          </w:p>
        </w:tc>
        <w:tc>
          <w:tcPr>
            <w:tcW w:w="2835" w:type="dxa"/>
            <w:tcBorders>
              <w:bottom w:val="single" w:sz="4" w:space="0" w:color="auto"/>
            </w:tcBorders>
            <w:vAlign w:val="center"/>
          </w:tcPr>
          <w:p w14:paraId="52A4337F" w14:textId="61BD8C15" w:rsidR="004E0B27" w:rsidRPr="004E0B27" w:rsidRDefault="004E0B27" w:rsidP="004E0B27">
            <w:pPr>
              <w:jc w:val="center"/>
              <w:rPr>
                <w:rFonts w:ascii="Times New Roman" w:hAnsi="Times New Roman" w:cs="Times New Roman"/>
              </w:rPr>
            </w:pPr>
            <w:r w:rsidRPr="004E0B27">
              <w:rPr>
                <w:rFonts w:ascii="Times New Roman" w:eastAsia="等线" w:hAnsi="Times New Roman" w:cs="Times New Roman"/>
                <w:color w:val="000000"/>
                <w:szCs w:val="22"/>
              </w:rPr>
              <w:t>1.29 (0.96)</w:t>
            </w:r>
          </w:p>
        </w:tc>
      </w:tr>
    </w:tbl>
    <w:p w14:paraId="30ECA553" w14:textId="77777777" w:rsidR="00847228" w:rsidRDefault="006C4FEF" w:rsidP="00847228">
      <w:pPr>
        <w:autoSpaceDE w:val="0"/>
        <w:autoSpaceDN w:val="0"/>
        <w:adjustRightInd w:val="0"/>
        <w:spacing w:after="0" w:line="240" w:lineRule="auto"/>
        <w:rPr>
          <w:rFonts w:ascii="默认字体" w:eastAsia="默认字体" w:hint="eastAsia"/>
          <w:kern w:val="0"/>
          <w:sz w:val="24"/>
        </w:rPr>
      </w:pPr>
      <w:r w:rsidRPr="007A7431">
        <w:rPr>
          <w:rFonts w:ascii="Times New Roman" w:hAnsi="Times New Roman" w:cs="Times New Roman"/>
        </w:rPr>
        <w:t>PRP</w:t>
      </w:r>
      <w:r>
        <w:rPr>
          <w:rFonts w:ascii="Times New Roman" w:hAnsi="Times New Roman" w:cs="Times New Roman" w:hint="eastAsia"/>
        </w:rPr>
        <w:t>, p</w:t>
      </w:r>
      <w:r w:rsidRPr="007A7431">
        <w:rPr>
          <w:rFonts w:ascii="Times New Roman" w:hAnsi="Times New Roman" w:cs="Times New Roman" w:hint="eastAsia"/>
        </w:rPr>
        <w:t>latelet-rich</w:t>
      </w:r>
      <w:r>
        <w:rPr>
          <w:rFonts w:ascii="Times New Roman" w:hAnsi="Times New Roman" w:cs="Times New Roman" w:hint="eastAsia"/>
        </w:rPr>
        <w:t xml:space="preserve"> p</w:t>
      </w:r>
      <w:r w:rsidRPr="007A7431">
        <w:rPr>
          <w:rFonts w:ascii="Times New Roman" w:hAnsi="Times New Roman" w:cs="Times New Roman" w:hint="eastAsia"/>
        </w:rPr>
        <w:t>lasma</w:t>
      </w:r>
      <w:r>
        <w:rPr>
          <w:rFonts w:ascii="Times New Roman" w:eastAsia="宋体" w:hAnsi="Times New Roman" w:cs="Times New Roman" w:hint="eastAsia"/>
        </w:rPr>
        <w:t xml:space="preserve">; CRP, </w:t>
      </w:r>
      <w:r w:rsidRPr="006C4FEF">
        <w:rPr>
          <w:rFonts w:ascii="Times New Roman" w:eastAsia="宋体" w:hAnsi="Times New Roman" w:cs="Times New Roman"/>
        </w:rPr>
        <w:t>C-reactive protein</w:t>
      </w:r>
      <w:r>
        <w:rPr>
          <w:rFonts w:ascii="Times New Roman" w:eastAsia="宋体" w:hAnsi="Times New Roman" w:cs="Times New Roman" w:hint="eastAsia"/>
        </w:rPr>
        <w:t xml:space="preserve">; ALB, </w:t>
      </w:r>
      <w:r w:rsidRPr="006C4FEF">
        <w:rPr>
          <w:rFonts w:ascii="Times New Roman" w:eastAsia="宋体" w:hAnsi="Times New Roman" w:cs="Times New Roman"/>
        </w:rPr>
        <w:t>albumin</w:t>
      </w:r>
      <w:r>
        <w:rPr>
          <w:rFonts w:ascii="Times New Roman" w:eastAsia="宋体" w:hAnsi="Times New Roman" w:cs="Times New Roman" w:hint="eastAsia"/>
        </w:rPr>
        <w:t xml:space="preserve">; Hb, </w:t>
      </w:r>
      <w:r w:rsidRPr="006C4FEF">
        <w:rPr>
          <w:rFonts w:ascii="Times New Roman" w:eastAsia="宋体" w:hAnsi="Times New Roman" w:cs="Times New Roman"/>
        </w:rPr>
        <w:t>hemoglobin</w:t>
      </w:r>
      <w:r>
        <w:rPr>
          <w:rFonts w:ascii="Times New Roman" w:eastAsia="宋体" w:hAnsi="Times New Roman" w:cs="Times New Roman" w:hint="eastAsia"/>
        </w:rPr>
        <w:t>;</w:t>
      </w:r>
      <w:r w:rsidRPr="006C4FEF">
        <w:rPr>
          <w:rFonts w:ascii="Times New Roman" w:eastAsia="宋体" w:hAnsi="Times New Roman" w:cs="Times New Roman" w:hint="eastAsia"/>
        </w:rPr>
        <w:t xml:space="preserve"> </w:t>
      </w:r>
      <w:r>
        <w:rPr>
          <w:rFonts w:ascii="Times New Roman" w:eastAsia="宋体" w:hAnsi="Times New Roman" w:cs="Times New Roman" w:hint="eastAsia"/>
        </w:rPr>
        <w:t xml:space="preserve">IQR, </w:t>
      </w:r>
      <w:r w:rsidRPr="00D43DF0">
        <w:rPr>
          <w:rFonts w:ascii="Times New Roman" w:eastAsia="宋体" w:hAnsi="Times New Roman" w:cs="Times New Roman" w:hint="eastAsia"/>
        </w:rPr>
        <w:t>inter-quartile range</w:t>
      </w:r>
      <w:r w:rsidR="0053507E">
        <w:rPr>
          <w:rFonts w:ascii="Times New Roman" w:hAnsi="Times New Roman" w:cs="Times New Roman"/>
        </w:rPr>
        <w:fldChar w:fldCharType="begin"/>
      </w:r>
      <w:r w:rsidR="0053507E">
        <w:rPr>
          <w:rFonts w:ascii="Times New Roman" w:hAnsi="Times New Roman" w:cs="Times New Roman"/>
        </w:rPr>
        <w:instrText xml:space="preserve"> ADDIN NE.Bib</w:instrText>
      </w:r>
      <w:r w:rsidR="0053507E">
        <w:rPr>
          <w:rFonts w:ascii="Times New Roman" w:hAnsi="Times New Roman" w:cs="Times New Roman"/>
        </w:rPr>
        <w:fldChar w:fldCharType="separate"/>
      </w:r>
    </w:p>
    <w:p w14:paraId="6A06F5CC"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1C1BD654"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7D67A910"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4C9939B8"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439A243D"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7061524D"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5A33C244"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2532B629"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2FFB209A"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361565B4" w14:textId="77777777" w:rsidR="00806E9D" w:rsidRDefault="00806E9D"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000743F4" w14:textId="77777777" w:rsidR="00806E9D" w:rsidRPr="004C665B" w:rsidRDefault="00806E9D"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0DD8574A" w14:textId="77777777" w:rsidR="00847228" w:rsidRDefault="00847228"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27B5E3A6" w14:textId="77777777" w:rsidR="00873759" w:rsidRDefault="00873759"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6198CED7" w14:textId="77777777" w:rsidR="00873759" w:rsidRDefault="00873759"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51001FBD" w14:textId="77777777" w:rsidR="00873759" w:rsidRDefault="00873759"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2F8E12A6" w14:textId="77777777" w:rsidR="00873759" w:rsidRDefault="00873759" w:rsidP="00847228">
      <w:pPr>
        <w:autoSpaceDE w:val="0"/>
        <w:autoSpaceDN w:val="0"/>
        <w:adjustRightInd w:val="0"/>
        <w:spacing w:after="0" w:line="240" w:lineRule="auto"/>
        <w:rPr>
          <w:rFonts w:ascii="默认字体" w:eastAsia="默认字体" w:cs="默认字体" w:hint="eastAsia"/>
          <w:b/>
          <w:bCs/>
          <w:color w:val="000000"/>
          <w:kern w:val="0"/>
          <w:sz w:val="40"/>
          <w:szCs w:val="40"/>
        </w:rPr>
      </w:pPr>
    </w:p>
    <w:p w14:paraId="018F3B38" w14:textId="5F724301" w:rsidR="00847228" w:rsidRPr="00873759" w:rsidRDefault="00847228" w:rsidP="00873759">
      <w:pPr>
        <w:autoSpaceDE w:val="0"/>
        <w:autoSpaceDN w:val="0"/>
        <w:adjustRightInd w:val="0"/>
        <w:spacing w:after="0" w:line="360" w:lineRule="auto"/>
        <w:rPr>
          <w:rFonts w:ascii="Times New Roman" w:eastAsia="默认字体" w:hAnsi="Times New Roman" w:cs="Times New Roman"/>
          <w:kern w:val="0"/>
          <w:sz w:val="21"/>
          <w:szCs w:val="21"/>
        </w:rPr>
      </w:pPr>
      <w:r w:rsidRPr="00873759">
        <w:rPr>
          <w:rFonts w:ascii="Times New Roman" w:eastAsia="默认字体" w:hAnsi="Times New Roman" w:cs="Times New Roman"/>
          <w:b/>
          <w:bCs/>
          <w:color w:val="000000"/>
          <w:kern w:val="0"/>
          <w:sz w:val="21"/>
          <w:szCs w:val="21"/>
        </w:rPr>
        <w:t>R</w:t>
      </w:r>
      <w:r w:rsidR="00873759" w:rsidRPr="00873759">
        <w:rPr>
          <w:rFonts w:ascii="Times New Roman" w:eastAsia="默认字体" w:hAnsi="Times New Roman" w:cs="Times New Roman"/>
          <w:b/>
          <w:bCs/>
          <w:color w:val="000000"/>
          <w:kern w:val="0"/>
          <w:sz w:val="21"/>
          <w:szCs w:val="21"/>
        </w:rPr>
        <w:t>eferences</w:t>
      </w:r>
    </w:p>
    <w:p w14:paraId="6EDF938E" w14:textId="77777777" w:rsidR="00847228" w:rsidRPr="00873759" w:rsidRDefault="00847228" w:rsidP="00873759">
      <w:pPr>
        <w:autoSpaceDE w:val="0"/>
        <w:autoSpaceDN w:val="0"/>
        <w:adjustRightInd w:val="0"/>
        <w:spacing w:after="0" w:line="360" w:lineRule="auto"/>
        <w:ind w:left="320" w:hanging="320"/>
        <w:jc w:val="both"/>
        <w:rPr>
          <w:rFonts w:ascii="Times New Roman" w:eastAsia="默认字体" w:hAnsi="Times New Roman" w:cs="Times New Roman"/>
          <w:kern w:val="0"/>
          <w:sz w:val="21"/>
          <w:szCs w:val="21"/>
        </w:rPr>
      </w:pPr>
      <w:r w:rsidRPr="00873759">
        <w:rPr>
          <w:rFonts w:ascii="Times New Roman" w:eastAsia="默认字体" w:hAnsi="Times New Roman" w:cs="Times New Roman"/>
          <w:color w:val="000000"/>
          <w:kern w:val="0"/>
          <w:sz w:val="21"/>
          <w:szCs w:val="21"/>
        </w:rPr>
        <w:t xml:space="preserve">1. </w:t>
      </w:r>
      <w:bookmarkStart w:id="7" w:name="_neb72725543_3111_448A_BD38_CCB4B03F79DE"/>
      <w:r w:rsidRPr="00873759">
        <w:rPr>
          <w:rFonts w:ascii="Times New Roman" w:eastAsia="默认字体" w:hAnsi="Times New Roman" w:cs="Times New Roman"/>
          <w:color w:val="000000"/>
          <w:kern w:val="0"/>
          <w:sz w:val="21"/>
          <w:szCs w:val="21"/>
        </w:rPr>
        <w:t xml:space="preserve">Lu Y, Yang T, Li J, Sun J. Endoscopic balloon dilation with injection of platelet-rich plasma in management  of recurrent stenosis in a patient with Crohn disease (with video). </w:t>
      </w:r>
      <w:r w:rsidRPr="00873759">
        <w:rPr>
          <w:rFonts w:ascii="Times New Roman" w:eastAsia="默认字体" w:hAnsi="Times New Roman" w:cs="Times New Roman"/>
          <w:i/>
          <w:iCs/>
          <w:color w:val="000000"/>
          <w:kern w:val="0"/>
          <w:sz w:val="21"/>
          <w:szCs w:val="21"/>
        </w:rPr>
        <w:t>Gastrointest Endosc</w:t>
      </w:r>
      <w:r w:rsidRPr="00873759">
        <w:rPr>
          <w:rFonts w:ascii="Times New Roman" w:eastAsia="默认字体" w:hAnsi="Times New Roman" w:cs="Times New Roman"/>
          <w:color w:val="000000"/>
          <w:kern w:val="0"/>
          <w:sz w:val="21"/>
          <w:szCs w:val="21"/>
        </w:rPr>
        <w:t>. 2025. DOI: 10.1016/j.gie.2025.06.033.</w:t>
      </w:r>
      <w:bookmarkEnd w:id="7"/>
    </w:p>
    <w:p w14:paraId="122CA1FB" w14:textId="77777777" w:rsidR="00847228" w:rsidRPr="00873759" w:rsidRDefault="00847228" w:rsidP="00873759">
      <w:pPr>
        <w:autoSpaceDE w:val="0"/>
        <w:autoSpaceDN w:val="0"/>
        <w:adjustRightInd w:val="0"/>
        <w:spacing w:after="0" w:line="360" w:lineRule="auto"/>
        <w:ind w:left="320" w:hanging="320"/>
        <w:jc w:val="both"/>
        <w:rPr>
          <w:rFonts w:ascii="Times New Roman" w:eastAsia="默认字体" w:hAnsi="Times New Roman" w:cs="Times New Roman"/>
          <w:kern w:val="0"/>
          <w:sz w:val="21"/>
          <w:szCs w:val="21"/>
        </w:rPr>
      </w:pPr>
      <w:r w:rsidRPr="00873759">
        <w:rPr>
          <w:rFonts w:ascii="Times New Roman" w:eastAsia="默认字体" w:hAnsi="Times New Roman" w:cs="Times New Roman"/>
          <w:color w:val="000000"/>
          <w:kern w:val="0"/>
          <w:sz w:val="21"/>
          <w:szCs w:val="21"/>
        </w:rPr>
        <w:t xml:space="preserve">2. </w:t>
      </w:r>
      <w:bookmarkStart w:id="8" w:name="_neb6886FE9D_E58E_44CA_BD64_870A795327C7"/>
      <w:r w:rsidRPr="00873759">
        <w:rPr>
          <w:rFonts w:ascii="Times New Roman" w:eastAsia="默认字体" w:hAnsi="Times New Roman" w:cs="Times New Roman"/>
          <w:color w:val="000000"/>
          <w:kern w:val="0"/>
          <w:sz w:val="21"/>
          <w:szCs w:val="21"/>
        </w:rPr>
        <w:t xml:space="preserve">Cotton PB. Outcomes of endoscopy procedures: struggling towards definitions. </w:t>
      </w:r>
      <w:r w:rsidRPr="00873759">
        <w:rPr>
          <w:rFonts w:ascii="Times New Roman" w:eastAsia="默认字体" w:hAnsi="Times New Roman" w:cs="Times New Roman"/>
          <w:i/>
          <w:iCs/>
          <w:color w:val="000000"/>
          <w:kern w:val="0"/>
          <w:sz w:val="21"/>
          <w:szCs w:val="21"/>
        </w:rPr>
        <w:t>Gastrointest Endosc</w:t>
      </w:r>
      <w:r w:rsidRPr="00873759">
        <w:rPr>
          <w:rFonts w:ascii="Times New Roman" w:eastAsia="默认字体" w:hAnsi="Times New Roman" w:cs="Times New Roman"/>
          <w:color w:val="000000"/>
          <w:kern w:val="0"/>
          <w:sz w:val="21"/>
          <w:szCs w:val="21"/>
        </w:rPr>
        <w:t>. 1994;40:514-518. DOI: 10.1016/s0016-5107(94)70228-4.</w:t>
      </w:r>
      <w:bookmarkEnd w:id="8"/>
    </w:p>
    <w:p w14:paraId="7CCDEA18" w14:textId="29E77A38" w:rsidR="00F909E7" w:rsidRPr="006C4FEF" w:rsidRDefault="0053507E" w:rsidP="00564413">
      <w:pPr>
        <w:spacing w:after="0" w:line="360" w:lineRule="auto"/>
        <w:rPr>
          <w:rFonts w:ascii="Times New Roman" w:hAnsi="Times New Roman" w:cs="Times New Roman"/>
        </w:rPr>
      </w:pPr>
      <w:r>
        <w:rPr>
          <w:rFonts w:ascii="Times New Roman" w:hAnsi="Times New Roman" w:cs="Times New Roman"/>
        </w:rPr>
        <w:fldChar w:fldCharType="end"/>
      </w:r>
    </w:p>
    <w:sectPr w:rsidR="00F909E7" w:rsidRPr="006C4F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811DD" w14:textId="77777777" w:rsidR="00A76C64" w:rsidRDefault="00A76C64" w:rsidP="00127980">
      <w:pPr>
        <w:spacing w:after="0" w:line="240" w:lineRule="auto"/>
        <w:rPr>
          <w:rFonts w:hint="eastAsia"/>
        </w:rPr>
      </w:pPr>
      <w:r>
        <w:separator/>
      </w:r>
    </w:p>
  </w:endnote>
  <w:endnote w:type="continuationSeparator" w:id="0">
    <w:p w14:paraId="54C3DD8E" w14:textId="77777777" w:rsidR="00A76C64" w:rsidRDefault="00A76C64" w:rsidP="0012798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默认字体">
    <w:altName w:val="微软雅黑"/>
    <w:panose1 w:val="00000000000000000000"/>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B15C4" w14:textId="77777777" w:rsidR="00A76C64" w:rsidRDefault="00A76C64" w:rsidP="00127980">
      <w:pPr>
        <w:spacing w:after="0" w:line="240" w:lineRule="auto"/>
        <w:rPr>
          <w:rFonts w:hint="eastAsia"/>
        </w:rPr>
      </w:pPr>
      <w:r>
        <w:separator/>
      </w:r>
    </w:p>
  </w:footnote>
  <w:footnote w:type="continuationSeparator" w:id="0">
    <w:p w14:paraId="60A889AB" w14:textId="77777777" w:rsidR="00A76C64" w:rsidRDefault="00A76C64" w:rsidP="0012798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A2879"/>
    <w:multiLevelType w:val="hybridMultilevel"/>
    <w:tmpl w:val="5B7C0376"/>
    <w:lvl w:ilvl="0" w:tplc="57A2502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03942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 ADDIN NE.CacheBib" w:val="{\rtf1\ansi\ansicpg936\pard\plain{\fonttbl{\f0\fnil\fcharset134\fprq2 {\u40664 ?}{\u35748 ?}{\u23383 ?}{\u20307 ?};}}{\colortbl;\red0\green0\blue0;}\par\pard\plain \ql{\f0\fs40\b\cf1 REFERENCES:}\par\pard\plain \fi-320\li320\qj{\f0\fs20\cf1 1}{\f0\fs20\cf1 . }{\bkmkstart _neb72725543_3111_448A_BD38_CCB4B03F79DE}{\f0\fs20\cf1 Lu Y}{\f0\fs20\cf1 , }{\f0\fs20\cf1 Yang T}{\f0\fs20\cf1 , }{\f0\fs20\cf1 Li J}{\f0\fs20\cf1 , }{\f0\fs20\cf1 Sun J}{\f0\fs20\cf1 . }{\f0\fs20\cf1 Endoscopic balloon dilation with injection of platelet-rich plasma in management  of recurrent stenosis in a patient with Crohn disease (with video)}{\f0\fs20\cf1 . }{\f0\fs20\i\cf1 Gastrointest Endosc}{\f0\fs20\cf1 . }{\f0\fs20\cf1 2025}{\f0\fs20\cf1 . DOI: }{\f0\fs20\cf1 10.1016/j.gie.2025.06.033}{\f0\fs20\cf1 .}{\bkmkend _neb72725543_3111_448A_BD38_CCB4B03F79DE}\par\pard\plain \fi-320\li320\qj{\f0\fs20\cf1 2}{\f0\fs20\cf1 . }{\bkmkstart _neb6886FE9D_E58E_44CA_BD64_870A795327C7}{\f0\fs20\cf1 Cotton PB}{\f0\fs20\cf1 . }{\f0\fs20\cf1 Outcomes of endoscopy procedures: struggling towards definitions}{\f0\fs20\cf1 . }{\f0\fs20\i\cf1 Gastrointest Endosc}{\f0\fs20\cf1 . }{\f0\fs20\cf1 1994}{\f0\fs20\cf1 ;}{\f0\fs20\cf1 40}{\f0\fs20\cf1 :}{\f0\fs20\cf1 514-518}{\f0\fs20\cf1 . DOI: }{\f0\fs20\cf1 10.1016/s0016-5107(94)70228-4}{\f0\fs20\cf1 .}{\bkmkend _neb6886FE9D_E58E_44CA_BD64_870A795327C7}\par\pard\plain \fi-320\li320\qj}"/>
    <w:docVar w:name=" ADDIN NE.CacheRef.{04A9CAF7-2E55-4543-86CC-D2915CF06B1C}" w:val="{\rtf1\ansi\ansicpg936\pard\plain{\fonttbl{\f0\fnil\fcharset0\fprq2 Times New Roman;}}{\colortbl;\red8\green0\blue0;}{\f0\fs22\super\cf1 2}}"/>
    <w:docVar w:name=" ADDIN NE.CacheRef.{E3D8FE0C-6839-46D0-9709-083D2314A2F4}" w:val="{\rtf1\ansi\ansicpg936\pard\plain{\fonttbl{\f0\fnil\fcharset0\fprq2 Times New Roman;}}{\colortbl;\red8\green0\blue0;}{\f0\fs22\super\cf1 1}}"/>
    <w:docVar w:name="NE.Ref{04A9CAF7-2E55-4543-86CC-D2915CF06B1C}" w:val=" ADDIN NE.Ref.{04A9CAF7-2E55-4543-86CC-D2915CF06B1C}&lt;Citation&gt;&lt;Group&gt;&lt;References&gt;&lt;Item&gt;&lt;ID&gt;37262&lt;/ID&gt;&lt;UID&gt;{6886FE9D-E58E-44CA-BD64-870A795327C7}&lt;/UID&gt;&lt;Title&gt;Outcomes of endoscopy procedures: struggling towards definitions&lt;/Title&gt;&lt;Template&gt;Journal Article&lt;/Template&gt;&lt;Star&gt;0&lt;/Star&gt;&lt;Tag&gt;0&lt;/Tag&gt;&lt;Author&gt;Cotton, P B&lt;/Author&gt;&lt;Year&gt;1994&lt;/Year&gt;&lt;Details&gt;&lt;_accession_num&gt;7926553&lt;/_accession_num&gt;&lt;_bibtex_key&gt;Cotton-37262&lt;/_bibtex_key&gt;&lt;_collection_scope&gt;SCIE&lt;/_collection_scope&gt;&lt;_created&gt;66177946&lt;/_created&gt;&lt;_date&gt;1994-07-01&lt;/_date&gt;&lt;_date_display&gt;1994 Jul-Aug&lt;/_date_display&gt;&lt;_doi&gt;10.1016/s0016-5107(94)70228-4&lt;/_doi&gt;&lt;_impact_factor&gt;   6.700&lt;/_impact_factor&gt;&lt;_isbn&gt;0016-5107 (Print); 0016-5107 (Linking)&lt;/_isbn&gt;&lt;_issue&gt;4&lt;/_issue&gt;&lt;_journal&gt;Gastrointest Endosc&lt;/_journal&gt;&lt;_language&gt;eng&lt;/_language&gt;&lt;_modified&gt;66189433&lt;/_modified&gt;&lt;_pages&gt;514-8&lt;/_pages&gt;&lt;_social_category&gt;胃肠肝病学(2)&lt;/_social_category&gt;&lt;_subject_headings&gt;*Endoscopy, Digestive System/adverse effects; Humans; *Outcome Assessment, Health Care; Risk Factors&lt;/_subject_headings&gt;&lt;_tertiary_title&gt;Gastrointestinal endoscopy&lt;/_tertiary_title&gt;&lt;_type_work&gt;Editorial&lt;/_type_work&gt;&lt;_url&gt;http://www.ncbi.nlm.nih.gov/entrez/query.fcgi?cmd=Retrieve&amp;amp;db=pubmed&amp;amp;dopt=Abstract&amp;amp;list_uids=7926553&amp;amp;query_hl=1&lt;/_url&gt;&lt;_volume&gt;40&lt;/_volume&gt;&lt;/Details&gt;&lt;Extra&gt;&lt;DBUID&gt;{AE1BBD3C-2ABC-4A50-BC08-383704B3EA98}&lt;/DBUID&gt;&lt;/Extra&gt;&lt;/Item&gt;&lt;/References&gt;&lt;/Group&gt;&lt;/Citation&gt;_x000a_"/>
    <w:docVar w:name="NE.Ref{E3D8FE0C-6839-46D0-9709-083D2314A2F4}" w:val=" ADDIN NE.Ref.{E3D8FE0C-6839-46D0-9709-083D2314A2F4}&lt;Citation&gt;&lt;Group&gt;&lt;References&gt;&lt;Item&gt;&lt;ID&gt;37285&lt;/ID&gt;&lt;UID&gt;{72725543-3111-448A-BD38-CCB4B03F79DE}&lt;/UID&gt;&lt;Title&gt;Endoscopic balloon dilation with injection of platelet-rich plasma in management  of recurrent stenosis in a patient with Crohn disease (with video)&lt;/Title&gt;&lt;Template&gt;Journal Article&lt;/Template&gt;&lt;Star&gt;0&lt;/Star&gt;&lt;Tag&gt;1&lt;/Tag&gt;&lt;Author&gt;Lu, Yi; Yang, Tao; Li, Jing; Sun, Jiachen&lt;/Author&gt;&lt;Year&gt;2025&lt;/Year&gt;&lt;Details&gt;&lt;_accession_num&gt;40571235&lt;/_accession_num&gt;&lt;_author_adr&gt;Department of Gastrointestinal Endoscopy, The Sixth Affiliated Hospital, Sun  Yat-sen University, Guangzhou, China; Guangdong Provincial Key Laboratory of  Colorectal and Pelvic Floor Diseases, The Sixth Affiliated Hospital, Sun Yat-sen  University, Guangzhou, China; Biomedical Innovation Center, The Sixth Affiliated  Hospital, Sun Yat-sen University, Guangzhou, China.; Department of Gastrointestinal Endoscopy, The Sixth Affiliated Hospital, Sun  Yat-sen University, Guangzhou, China; Guangdong Provincial Key Laboratory of  Colorectal and Pelvic Floor Diseases, The Sixth Affiliated Hospital, Sun Yat-sen  University, Guangzhou, China; Biomedical Innovation Center, The Sixth Affiliated  Hospital, Sun Yat-sen University, Guangzhou, China.; Biomedical Innovation Center, The Sixth Affiliated Hospital, Sun Yat-sen  University, Guangzhou, China; Reproductive Medicine Centre, The Sixth Affiliated  Hospital, Sun Yat-sen University, Guangzhou, China.; Department of Gastrointestinal Endoscopy, The Sixth Affiliated Hospital, Sun  Yat-sen University, Guangzhou, China; Guangdong Provincial Key Laboratory of  Colorectal and Pelvic Floor Diseases, The Sixth Affiliated Hospital, Sun Yat-sen  University, Guangzhou, China; Biomedical Innovation Center, The Sixth Affiliated  Hospital, Sun Yat-sen University, Guangzhou, China. Electronic address:  sunjch8@mail.sysu.edu.cn.&lt;/_author_adr&gt;&lt;_collection_scope&gt;SCIE&lt;/_collection_scope&gt;&lt;_created&gt;66216847&lt;/_created&gt;&lt;_date&gt;2025-06-24&lt;/_date&gt;&lt;_date_display&gt;2025 Jun 24&lt;/_date_display&gt;&lt;_doi&gt;10.1016/j.gie.2025.06.033&lt;/_doi&gt;&lt;_impact_factor&gt;   6.700&lt;/_impact_factor&gt;&lt;_isbn&gt;1097-6779 (Electronic); 0016-5107 (Linking)&lt;/_isbn&gt;&lt;_journal&gt;Gastrointest Endosc&lt;/_journal&gt;&lt;_language&gt;eng&lt;/_language&gt;&lt;_modified&gt;66216847&lt;/_modified&gt;&lt;_social_category&gt;胃肠肝病学(2)&lt;/_social_category&gt;&lt;_tertiary_title&gt;Gastrointestinal endoscopy&lt;/_tertiary_title&gt;&lt;_type_work&gt;Journal Article&lt;/_type_work&gt;&lt;_url&gt;http://www.ncbi.nlm.nih.gov/entrez/query.fcgi?cmd=Retrieve&amp;amp;db=pubmed&amp;amp;dopt=Abstract&amp;amp;list_uids=40571235&amp;amp;query_hl=1&lt;/_url&gt;&lt;/Details&gt;&lt;Extra&gt;&lt;DBUID&gt;{AE1BBD3C-2ABC-4A50-BC08-383704B3EA98}&lt;/DBUID&gt;&lt;/Extra&gt;&lt;/Item&gt;&lt;/References&gt;&lt;/Group&gt;&lt;/Citation&gt;_x000a_"/>
    <w:docVar w:name="ne_build" w:val="16.0.19328"/>
    <w:docVar w:name="ne_docsoft" w:val="MSWord"/>
    <w:docVar w:name="ne_docversion" w:val="NoteExpress 2.0"/>
    <w:docVar w:name="ne_os" w:val="Mircrosoft"/>
    <w:docVar w:name="ne_platform" w:val="Word"/>
    <w:docVar w:name="ne_stylename" w:val="Journal of The American Heart Association"/>
  </w:docVars>
  <w:rsids>
    <w:rsidRoot w:val="005935C3"/>
    <w:rsid w:val="0000538A"/>
    <w:rsid w:val="00014AA7"/>
    <w:rsid w:val="00037447"/>
    <w:rsid w:val="00042025"/>
    <w:rsid w:val="00044AE5"/>
    <w:rsid w:val="00065023"/>
    <w:rsid w:val="00081EE0"/>
    <w:rsid w:val="00095BD8"/>
    <w:rsid w:val="0012100D"/>
    <w:rsid w:val="00127980"/>
    <w:rsid w:val="00137808"/>
    <w:rsid w:val="00171EEA"/>
    <w:rsid w:val="001755CF"/>
    <w:rsid w:val="001B51C6"/>
    <w:rsid w:val="001F60AF"/>
    <w:rsid w:val="0020445E"/>
    <w:rsid w:val="00211CA6"/>
    <w:rsid w:val="0023407B"/>
    <w:rsid w:val="00273A47"/>
    <w:rsid w:val="002D15FF"/>
    <w:rsid w:val="00302164"/>
    <w:rsid w:val="00314C83"/>
    <w:rsid w:val="00327BA1"/>
    <w:rsid w:val="00334B4D"/>
    <w:rsid w:val="003541E4"/>
    <w:rsid w:val="00354C0F"/>
    <w:rsid w:val="003866CD"/>
    <w:rsid w:val="003A6B23"/>
    <w:rsid w:val="003B77AB"/>
    <w:rsid w:val="003E1841"/>
    <w:rsid w:val="003E3124"/>
    <w:rsid w:val="003F4040"/>
    <w:rsid w:val="004014FD"/>
    <w:rsid w:val="00435EAA"/>
    <w:rsid w:val="0045450C"/>
    <w:rsid w:val="004759CB"/>
    <w:rsid w:val="004A26ED"/>
    <w:rsid w:val="004A5C6D"/>
    <w:rsid w:val="004C534E"/>
    <w:rsid w:val="004C665B"/>
    <w:rsid w:val="004E0B27"/>
    <w:rsid w:val="004E2353"/>
    <w:rsid w:val="00526C2A"/>
    <w:rsid w:val="0053507E"/>
    <w:rsid w:val="00564413"/>
    <w:rsid w:val="00565FF8"/>
    <w:rsid w:val="00592B5B"/>
    <w:rsid w:val="005935C3"/>
    <w:rsid w:val="005C2231"/>
    <w:rsid w:val="005D71E7"/>
    <w:rsid w:val="005E793F"/>
    <w:rsid w:val="00604982"/>
    <w:rsid w:val="006359E2"/>
    <w:rsid w:val="006B6920"/>
    <w:rsid w:val="006C4FEF"/>
    <w:rsid w:val="00734D31"/>
    <w:rsid w:val="007E7225"/>
    <w:rsid w:val="00806E9D"/>
    <w:rsid w:val="00847228"/>
    <w:rsid w:val="008536DD"/>
    <w:rsid w:val="00873759"/>
    <w:rsid w:val="00884E57"/>
    <w:rsid w:val="008C32D4"/>
    <w:rsid w:val="008C7E59"/>
    <w:rsid w:val="009049B7"/>
    <w:rsid w:val="00921350"/>
    <w:rsid w:val="00922E45"/>
    <w:rsid w:val="009C4A4C"/>
    <w:rsid w:val="00A505C8"/>
    <w:rsid w:val="00A76C64"/>
    <w:rsid w:val="00AD47B3"/>
    <w:rsid w:val="00B039FF"/>
    <w:rsid w:val="00B53027"/>
    <w:rsid w:val="00B545B5"/>
    <w:rsid w:val="00BC15D3"/>
    <w:rsid w:val="00BC5F62"/>
    <w:rsid w:val="00C006A8"/>
    <w:rsid w:val="00C32341"/>
    <w:rsid w:val="00C47BFE"/>
    <w:rsid w:val="00C57FCA"/>
    <w:rsid w:val="00C655A0"/>
    <w:rsid w:val="00C807F2"/>
    <w:rsid w:val="00C9284D"/>
    <w:rsid w:val="00CB1658"/>
    <w:rsid w:val="00CF0FC7"/>
    <w:rsid w:val="00D0530E"/>
    <w:rsid w:val="00D37285"/>
    <w:rsid w:val="00D41EE2"/>
    <w:rsid w:val="00D42340"/>
    <w:rsid w:val="00D70B23"/>
    <w:rsid w:val="00D71FB4"/>
    <w:rsid w:val="00D72A00"/>
    <w:rsid w:val="00DD3259"/>
    <w:rsid w:val="00DF5070"/>
    <w:rsid w:val="00E354F8"/>
    <w:rsid w:val="00E3650C"/>
    <w:rsid w:val="00E867EA"/>
    <w:rsid w:val="00E96F8C"/>
    <w:rsid w:val="00ED2E10"/>
    <w:rsid w:val="00F1387D"/>
    <w:rsid w:val="00F148B8"/>
    <w:rsid w:val="00F4720A"/>
    <w:rsid w:val="00F478E0"/>
    <w:rsid w:val="00F543CC"/>
    <w:rsid w:val="00F62389"/>
    <w:rsid w:val="00F909E7"/>
    <w:rsid w:val="00F916D7"/>
    <w:rsid w:val="00FB5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BF303"/>
  <w15:chartTrackingRefBased/>
  <w15:docId w15:val="{8A94E87B-AA25-4580-B881-39D760992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935C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935C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935C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935C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935C3"/>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935C3"/>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935C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935C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935C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935C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935C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935C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935C3"/>
    <w:rPr>
      <w:rFonts w:cstheme="majorBidi"/>
      <w:color w:val="0F4761" w:themeColor="accent1" w:themeShade="BF"/>
      <w:sz w:val="28"/>
      <w:szCs w:val="28"/>
    </w:rPr>
  </w:style>
  <w:style w:type="character" w:customStyle="1" w:styleId="50">
    <w:name w:val="标题 5 字符"/>
    <w:basedOn w:val="a0"/>
    <w:link w:val="5"/>
    <w:uiPriority w:val="9"/>
    <w:semiHidden/>
    <w:rsid w:val="005935C3"/>
    <w:rPr>
      <w:rFonts w:cstheme="majorBidi"/>
      <w:color w:val="0F4761" w:themeColor="accent1" w:themeShade="BF"/>
      <w:sz w:val="24"/>
    </w:rPr>
  </w:style>
  <w:style w:type="character" w:customStyle="1" w:styleId="60">
    <w:name w:val="标题 6 字符"/>
    <w:basedOn w:val="a0"/>
    <w:link w:val="6"/>
    <w:uiPriority w:val="9"/>
    <w:semiHidden/>
    <w:rsid w:val="005935C3"/>
    <w:rPr>
      <w:rFonts w:cstheme="majorBidi"/>
      <w:b/>
      <w:bCs/>
      <w:color w:val="0F4761" w:themeColor="accent1" w:themeShade="BF"/>
    </w:rPr>
  </w:style>
  <w:style w:type="character" w:customStyle="1" w:styleId="70">
    <w:name w:val="标题 7 字符"/>
    <w:basedOn w:val="a0"/>
    <w:link w:val="7"/>
    <w:uiPriority w:val="9"/>
    <w:semiHidden/>
    <w:rsid w:val="005935C3"/>
    <w:rPr>
      <w:rFonts w:cstheme="majorBidi"/>
      <w:b/>
      <w:bCs/>
      <w:color w:val="595959" w:themeColor="text1" w:themeTint="A6"/>
    </w:rPr>
  </w:style>
  <w:style w:type="character" w:customStyle="1" w:styleId="80">
    <w:name w:val="标题 8 字符"/>
    <w:basedOn w:val="a0"/>
    <w:link w:val="8"/>
    <w:uiPriority w:val="9"/>
    <w:semiHidden/>
    <w:rsid w:val="005935C3"/>
    <w:rPr>
      <w:rFonts w:cstheme="majorBidi"/>
      <w:color w:val="595959" w:themeColor="text1" w:themeTint="A6"/>
    </w:rPr>
  </w:style>
  <w:style w:type="character" w:customStyle="1" w:styleId="90">
    <w:name w:val="标题 9 字符"/>
    <w:basedOn w:val="a0"/>
    <w:link w:val="9"/>
    <w:uiPriority w:val="9"/>
    <w:semiHidden/>
    <w:rsid w:val="005935C3"/>
    <w:rPr>
      <w:rFonts w:eastAsiaTheme="majorEastAsia" w:cstheme="majorBidi"/>
      <w:color w:val="595959" w:themeColor="text1" w:themeTint="A6"/>
    </w:rPr>
  </w:style>
  <w:style w:type="paragraph" w:styleId="a3">
    <w:name w:val="Title"/>
    <w:basedOn w:val="a"/>
    <w:next w:val="a"/>
    <w:link w:val="a4"/>
    <w:uiPriority w:val="10"/>
    <w:qFormat/>
    <w:rsid w:val="005935C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935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35C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935C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35C3"/>
    <w:pPr>
      <w:spacing w:before="160"/>
      <w:jc w:val="center"/>
    </w:pPr>
    <w:rPr>
      <w:i/>
      <w:iCs/>
      <w:color w:val="404040" w:themeColor="text1" w:themeTint="BF"/>
    </w:rPr>
  </w:style>
  <w:style w:type="character" w:customStyle="1" w:styleId="a8">
    <w:name w:val="引用 字符"/>
    <w:basedOn w:val="a0"/>
    <w:link w:val="a7"/>
    <w:uiPriority w:val="29"/>
    <w:rsid w:val="005935C3"/>
    <w:rPr>
      <w:i/>
      <w:iCs/>
      <w:color w:val="404040" w:themeColor="text1" w:themeTint="BF"/>
    </w:rPr>
  </w:style>
  <w:style w:type="paragraph" w:styleId="a9">
    <w:name w:val="List Paragraph"/>
    <w:basedOn w:val="a"/>
    <w:uiPriority w:val="34"/>
    <w:qFormat/>
    <w:rsid w:val="005935C3"/>
    <w:pPr>
      <w:ind w:left="720"/>
      <w:contextualSpacing/>
    </w:pPr>
  </w:style>
  <w:style w:type="character" w:styleId="aa">
    <w:name w:val="Intense Emphasis"/>
    <w:basedOn w:val="a0"/>
    <w:uiPriority w:val="21"/>
    <w:qFormat/>
    <w:rsid w:val="005935C3"/>
    <w:rPr>
      <w:i/>
      <w:iCs/>
      <w:color w:val="0F4761" w:themeColor="accent1" w:themeShade="BF"/>
    </w:rPr>
  </w:style>
  <w:style w:type="paragraph" w:styleId="ab">
    <w:name w:val="Intense Quote"/>
    <w:basedOn w:val="a"/>
    <w:next w:val="a"/>
    <w:link w:val="ac"/>
    <w:uiPriority w:val="30"/>
    <w:qFormat/>
    <w:rsid w:val="00593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935C3"/>
    <w:rPr>
      <w:i/>
      <w:iCs/>
      <w:color w:val="0F4761" w:themeColor="accent1" w:themeShade="BF"/>
    </w:rPr>
  </w:style>
  <w:style w:type="character" w:styleId="ad">
    <w:name w:val="Intense Reference"/>
    <w:basedOn w:val="a0"/>
    <w:uiPriority w:val="32"/>
    <w:qFormat/>
    <w:rsid w:val="005935C3"/>
    <w:rPr>
      <w:b/>
      <w:bCs/>
      <w:smallCaps/>
      <w:color w:val="0F4761" w:themeColor="accent1" w:themeShade="BF"/>
      <w:spacing w:val="5"/>
    </w:rPr>
  </w:style>
  <w:style w:type="paragraph" w:styleId="ae">
    <w:name w:val="header"/>
    <w:basedOn w:val="a"/>
    <w:link w:val="af"/>
    <w:uiPriority w:val="99"/>
    <w:unhideWhenUsed/>
    <w:rsid w:val="00127980"/>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127980"/>
    <w:rPr>
      <w:sz w:val="18"/>
      <w:szCs w:val="18"/>
    </w:rPr>
  </w:style>
  <w:style w:type="paragraph" w:styleId="af0">
    <w:name w:val="footer"/>
    <w:basedOn w:val="a"/>
    <w:link w:val="af1"/>
    <w:uiPriority w:val="99"/>
    <w:unhideWhenUsed/>
    <w:rsid w:val="00127980"/>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127980"/>
    <w:rPr>
      <w:sz w:val="18"/>
      <w:szCs w:val="18"/>
    </w:rPr>
  </w:style>
  <w:style w:type="table" w:styleId="af2">
    <w:name w:val="Table Grid"/>
    <w:basedOn w:val="a1"/>
    <w:uiPriority w:val="39"/>
    <w:rsid w:val="006C4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0E2A5-A61B-41DE-AB2A-6F866D479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8</Pages>
  <Words>1237</Words>
  <Characters>7053</Characters>
  <Application>Microsoft Office Word</Application>
  <DocSecurity>0</DocSecurity>
  <Lines>58</Lines>
  <Paragraphs>16</Paragraphs>
  <ScaleCrop>false</ScaleCrop>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luyifl@163.com</dc:creator>
  <cp:keywords/>
  <dc:description>NE.Ref</dc:description>
  <cp:lastModifiedBy>luyifl@163.com</cp:lastModifiedBy>
  <cp:revision>54</cp:revision>
  <dcterms:created xsi:type="dcterms:W3CDTF">2026-01-18T02:30:00Z</dcterms:created>
  <dcterms:modified xsi:type="dcterms:W3CDTF">2026-09-10T13:02:00Z</dcterms:modified>
</cp:coreProperties>
</file>