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B69E6">
      <w:pPr>
        <w:spacing w:before="0" w:after="80"/>
        <w:jc w:val="center"/>
      </w:pPr>
      <w:r>
        <w:rPr>
          <w:rFonts w:ascii="Arial" w:hAnsi="Arial" w:eastAsia="Arial"/>
          <w:b/>
          <w:i w:val="0"/>
          <w:sz w:val="22"/>
        </w:rPr>
        <w:t>Supporting Information</w:t>
      </w:r>
    </w:p>
    <w:p w14:paraId="05B57393">
      <w:pPr>
        <w:spacing w:before="0" w:after="140"/>
        <w:jc w:val="center"/>
      </w:pPr>
      <w:r>
        <w:rPr>
          <w:rFonts w:ascii="Arial" w:hAnsi="Arial" w:eastAsia="Arial"/>
          <w:b/>
          <w:i w:val="0"/>
          <w:sz w:val="28"/>
        </w:rPr>
        <w:t>Health and Functional Trajectories and Newly Reported Chronic Lung Disease in Postmenopausal Chinese Women: A Longitudinal Cohort Study</w:t>
      </w:r>
      <w:bookmarkStart w:id="0" w:name="_GoBack"/>
      <w:bookmarkEnd w:id="0"/>
    </w:p>
    <w:p w14:paraId="5C00DF9A">
      <w:pPr>
        <w:spacing w:before="0" w:after="160"/>
        <w:jc w:val="center"/>
        <w:rPr>
          <w:rFonts w:ascii="Arial" w:hAnsi="Arial" w:eastAsia="Arial"/>
          <w:b/>
          <w:i w:val="0"/>
          <w:sz w:val="24"/>
          <w:lang w:eastAsia="zh-CN"/>
        </w:rPr>
      </w:pPr>
      <w:r>
        <w:rPr>
          <w:rFonts w:hint="eastAsia" w:ascii="Arial" w:hAnsi="Arial" w:eastAsia="Arial"/>
          <w:b/>
          <w:i w:val="0"/>
          <w:sz w:val="24"/>
          <w:lang w:val="en-US" w:eastAsia="zh-CN"/>
        </w:rPr>
        <w:t>Ling Lin</w:t>
      </w:r>
      <w:r>
        <w:rPr>
          <w:rFonts w:hint="eastAsia" w:ascii="Arial" w:hAnsi="Arial" w:eastAsia="Arial"/>
          <w:b/>
          <w:i w:val="0"/>
          <w:sz w:val="24"/>
          <w:vertAlign w:val="superscript"/>
          <w:lang w:eastAsia="zh-CN"/>
        </w:rPr>
        <w:t>1</w:t>
      </w:r>
      <w:r>
        <w:rPr>
          <w:rFonts w:hint="eastAsia" w:ascii="Arial" w:hAnsi="Arial" w:eastAsia="Arial"/>
          <w:b/>
          <w:i w:val="0"/>
          <w:sz w:val="24"/>
          <w:lang w:eastAsia="zh-CN"/>
        </w:rPr>
        <w:t>, Qingmei Xu</w:t>
      </w:r>
      <w:r>
        <w:rPr>
          <w:rFonts w:hint="eastAsia"/>
          <w:b/>
          <w:i w:val="0"/>
          <w:sz w:val="24"/>
          <w:vertAlign w:val="superscript"/>
          <w:lang w:val="en-US" w:eastAsia="zh-CN"/>
        </w:rPr>
        <w:t>1</w:t>
      </w:r>
      <w:r>
        <w:rPr>
          <w:rFonts w:hint="eastAsia" w:ascii="Arial" w:hAnsi="Arial" w:eastAsia="Arial"/>
          <w:b/>
          <w:i w:val="0"/>
          <w:sz w:val="24"/>
          <w:lang w:eastAsia="zh-CN"/>
        </w:rPr>
        <w:t>*</w:t>
      </w:r>
    </w:p>
    <w:p w14:paraId="1F0B36E4">
      <w:pPr>
        <w:spacing w:before="0" w:after="160"/>
        <w:jc w:val="center"/>
      </w:pPr>
      <w:r>
        <w:rPr>
          <w:rFonts w:ascii="Arial" w:hAnsi="Arial" w:eastAsia="Arial"/>
          <w:b/>
          <w:i w:val="0"/>
          <w:sz w:val="24"/>
        </w:rPr>
        <w:t>Supplementary Material 2: Additional Figures</w:t>
      </w:r>
    </w:p>
    <w:p w14:paraId="39C22564">
      <w:pPr>
        <w:spacing w:after="0" w:line="276" w:lineRule="auto"/>
        <w:jc w:val="both"/>
      </w:pPr>
      <w:r>
        <w:rPr>
          <w:rFonts w:ascii="Arial" w:hAnsi="Arial" w:eastAsia="Arial"/>
          <w:b w:val="0"/>
          <w:i w:val="0"/>
          <w:sz w:val="21"/>
        </w:rPr>
        <w:t>The figures in this file document trajectory classification certainty and the stability of adjusted associations under alternative analytic restrictions.</w:t>
      </w:r>
    </w:p>
    <w:p w14:paraId="76BBD205">
      <w:r>
        <w:br w:type="page"/>
      </w:r>
    </w:p>
    <w:p w14:paraId="2FBC95D5">
      <w:pPr>
        <w:keepNext/>
        <w:jc w:val="center"/>
      </w:pPr>
      <w:r>
        <w:drawing>
          <wp:inline distT="0" distB="0" distL="114300" distR="114300">
            <wp:extent cx="5897880" cy="2359025"/>
            <wp:effectExtent l="0" t="0" r="762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CAC4A">
      <w:pPr>
        <w:keepNext/>
        <w:spacing w:after="40"/>
        <w:jc w:val="both"/>
      </w:pPr>
      <w:r>
        <w:rPr>
          <w:rFonts w:ascii="Arial" w:hAnsi="Arial" w:eastAsia="Arial"/>
          <w:b/>
          <w:i w:val="0"/>
          <w:sz w:val="18"/>
        </w:rPr>
        <w:t>Supplementary Figure S2. Distribution of assigned posterior probabilities in the selected trajectory models.</w:t>
      </w:r>
    </w:p>
    <w:p w14:paraId="2CEACBD5">
      <w:pPr>
        <w:spacing w:after="60" w:line="240" w:lineRule="auto"/>
        <w:jc w:val="both"/>
      </w:pPr>
      <w:r>
        <w:rPr>
          <w:rFonts w:ascii="Arial" w:hAnsi="Arial" w:eastAsia="Arial"/>
          <w:b/>
          <w:i w:val="0"/>
          <w:sz w:val="16"/>
        </w:rPr>
        <w:t xml:space="preserve">Note. </w:t>
      </w:r>
      <w:r>
        <w:rPr>
          <w:rFonts w:ascii="Arial" w:hAnsi="Arial" w:eastAsia="Arial"/>
          <w:b w:val="0"/>
          <w:i w:val="0"/>
          <w:sz w:val="16"/>
        </w:rPr>
        <w:t>The dashed line indicates the predefined 0.70 threshold used in a sensitivity analysis. Histograms are shown separately by assigned class.</w:t>
      </w:r>
    </w:p>
    <w:p w14:paraId="5A9D95DF">
      <w:r>
        <w:br w:type="page"/>
      </w:r>
    </w:p>
    <w:p w14:paraId="4AD87D37">
      <w:pPr>
        <w:keepNext/>
        <w:jc w:val="center"/>
      </w:pPr>
      <w:r>
        <w:drawing>
          <wp:inline distT="0" distB="0" distL="114300" distR="114300">
            <wp:extent cx="5897880" cy="4644390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464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52DA9">
      <w:pPr>
        <w:keepNext/>
        <w:spacing w:after="40"/>
        <w:jc w:val="both"/>
      </w:pPr>
      <w:r>
        <w:rPr>
          <w:rFonts w:ascii="Arial" w:hAnsi="Arial" w:eastAsia="Arial"/>
          <w:b/>
          <w:i w:val="0"/>
          <w:sz w:val="18"/>
        </w:rPr>
        <w:t>Supplementary Figure S3. Main and sensitivity estimates for newly reported chronic lung disease and asthma.</w:t>
      </w:r>
    </w:p>
    <w:p w14:paraId="70AE6E26">
      <w:pPr>
        <w:spacing w:after="60" w:line="240" w:lineRule="auto"/>
        <w:jc w:val="both"/>
      </w:pPr>
      <w:r>
        <w:rPr>
          <w:rFonts w:ascii="Arial" w:hAnsi="Arial" w:eastAsia="Arial"/>
          <w:b/>
          <w:i w:val="0"/>
          <w:sz w:val="16"/>
        </w:rPr>
        <w:t xml:space="preserve">Note. </w:t>
      </w:r>
      <w:r>
        <w:rPr>
          <w:rFonts w:ascii="Arial" w:hAnsi="Arial" w:eastAsia="Arial"/>
          <w:b w:val="0"/>
          <w:i w:val="0"/>
          <w:sz w:val="16"/>
        </w:rPr>
        <w:t>Points are adjusted odds ratios and horizontal lines are 95% confidence intervals. The axis is logarithmic. Main estimates used multiple imputation. All sensitivity analyses used complete covariate cases; further restrictions concerned posterior probability, exposure-wave completeness, or nonlinear age and body mass index adjustment with categorical condition count.</w:t>
      </w:r>
    </w:p>
    <w:sectPr>
      <w:footerReference r:id="rId5" w:type="default"/>
      <w:pgSz w:w="11909" w:h="16834"/>
      <w:pgMar w:top="1152" w:right="1152" w:bottom="1080" w:left="1152" w:header="432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53B11">
    <w:pPr>
      <w:pStyle w:val="24"/>
      <w:jc w:val="center"/>
    </w:pPr>
    <w:r>
      <w:rPr>
        <w:rFonts w:ascii="Arial" w:hAnsi="Arial" w:eastAsia="Arial"/>
        <w:b w:val="0"/>
        <w:i w:val="0"/>
        <w:sz w:val="18"/>
      </w:rPr>
      <w:fldChar w:fldCharType="begin"/>
    </w:r>
    <w:r>
      <w:rPr>
        <w:rFonts w:ascii="Arial" w:hAnsi="Arial" w:eastAsia="Arial"/>
        <w:b w:val="0"/>
        <w:i w:val="0"/>
        <w:sz w:val="18"/>
      </w:rPr>
      <w:instrText xml:space="preserve"> PAGE </w:instrText>
    </w:r>
    <w:r>
      <w:rPr>
        <w:rFonts w:ascii="Arial" w:hAnsi="Arial" w:eastAsia="Arial"/>
        <w:b w:val="0"/>
        <w:i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3624296"/>
    <w:rsid w:val="581A69BC"/>
    <w:rsid w:val="5FD2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Arial" w:hAnsi="Arial" w:eastAsia="Arial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60" w:after="60"/>
      <w:outlineLvl w:val="0"/>
    </w:pPr>
    <w:rPr>
      <w:rFonts w:asciiTheme="majorHAnsi" w:hAnsiTheme="majorHAnsi" w:eastAsiaTheme="majorEastAsia" w:cstheme="majorBidi"/>
      <w:b/>
      <w:bCs/>
      <w:color w:val="000000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00" w:after="6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00" w:after="60"/>
      <w:outlineLvl w:val="2"/>
    </w:pPr>
    <w:rPr>
      <w:rFonts w:asciiTheme="majorHAnsi" w:hAnsiTheme="majorHAnsi" w:eastAsiaTheme="majorEastAsia" w:cstheme="majorBidi"/>
      <w:b/>
      <w:bCs/>
      <w:color w:val="000000"/>
      <w:sz w:val="21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</Words>
  <Characters>973</Characters>
  <Lines>0</Lines>
  <Paragraphs>0</Paragraphs>
  <TotalTime>0</TotalTime>
  <ScaleCrop>false</ScaleCrop>
  <LinksUpToDate>false</LinksUpToDate>
  <CharactersWithSpaces>1109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Jiarui Chao; Qing Pan; Fei Liu; Jiefei Shen</dc:creator>
  <dc:description>generated by python-docx</dc:description>
  <cp:lastModifiedBy>多多</cp:lastModifiedBy>
  <dcterms:modified xsi:type="dcterms:W3CDTF">2026-09-19T02:43:13Z</dcterms:modified>
  <dc:title>Health and Functional Trajectories and Newly Reported Chronic Lung Disease in Postmenopausal Chinese Women: A Longitudinal Cohort Study — Supplementary Material 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44013CE5BA5F465BB3E96EBD934EA7E3_13</vt:lpwstr>
  </property>
  <property fmtid="{D5CDD505-2E9C-101B-9397-08002B2CF9AE}" pid="4" name="KSOTemplateDocerSaveRecord">
    <vt:lpwstr>eyJoZGlkIjoiM2M2NzQ5YzBiMGY0ZmNlMjk5ZjVlZDU1M2YzYzI5ZGIiLCJ1c2VySWQiOiIyNjIwNTc2NjkifQ==</vt:lpwstr>
  </property>
</Properties>
</file>