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80"/>
        <w:jc w:val="center"/>
      </w:pPr>
      <w:r>
        <w:rPr>
          <w:rFonts w:ascii="Times New Roman" w:hAnsi="Times New Roman"/>
          <w:b/>
          <w:sz w:val="32"/>
        </w:rPr>
        <w:t>Supplementary Material</w:t>
      </w:r>
    </w:p>
    <w:p>
      <w:pPr>
        <w:spacing w:after="200"/>
      </w:pPr>
      <w:r>
        <w:rPr>
          <w:rFonts w:ascii="Times New Roman" w:hAnsi="Times New Roman"/>
          <w:b/>
          <w:sz w:val="28"/>
        </w:rPr>
        <w:t>Additional file 1</w:t>
      </w:r>
    </w:p>
    <w:p>
      <w:pPr>
        <w:spacing w:after="80"/>
      </w:pPr>
      <w:r>
        <w:rPr>
          <w:rFonts w:ascii="Times New Roman" w:hAnsi="Times New Roman"/>
          <w:b w:val="0"/>
          <w:sz w:val="22"/>
        </w:rPr>
        <w:t>Manuscript title: Investigation of TyG-based metabolic indices and colorectal tumor risk: Evidence from the CHARLS and NHANES cohorts</w:t>
      </w:r>
    </w:p>
    <w:p>
      <w:pPr>
        <w:spacing w:after="80"/>
      </w:pPr>
      <w:r>
        <w:rPr>
          <w:rFonts w:ascii="Times New Roman" w:hAnsi="Times New Roman"/>
          <w:b w:val="0"/>
          <w:sz w:val="22"/>
        </w:rPr>
        <w:t>Journal: BMC Cancer</w:t>
      </w:r>
    </w:p>
    <w:p>
      <w:pPr>
        <w:spacing w:after="80"/>
      </w:pPr>
      <w:r>
        <w:rPr>
          <w:rFonts w:ascii="Times New Roman" w:hAnsi="Times New Roman"/>
          <w:b w:val="0"/>
          <w:sz w:val="22"/>
        </w:rPr>
        <w:t>Submission ID: caabda09-2166-41b7-a48d-1f15c0b055c7</w:t>
      </w:r>
    </w:p>
    <w:p>
      <w:pPr>
        <w:spacing w:after="200"/>
      </w:pPr>
      <w:r>
        <w:rPr>
          <w:rFonts w:ascii="Times New Roman" w:hAnsi="Times New Roman"/>
          <w:b w:val="0"/>
          <w:sz w:val="22"/>
        </w:rPr>
        <w:t>Contents: Supplementary Table S1 and Supplementary Table S2 — Two-piecewise (threshold effect) logistic regression analyses of TyG-related indices and colorectal tumor risk in the CHARLS and NHANES cohorts, respectively.</w:t>
      </w:r>
    </w:p>
    <w:tbl>
      <w:tblPr>
        <w:tblStyle w:val="33"/>
        <w:tblW w:w="494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4"/>
        <w:gridCol w:w="1988"/>
        <w:gridCol w:w="997"/>
      </w:tblGrid>
      <w:tr w14:paraId="52E193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E11C4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 xml:space="preserve">Supplementary Table S1. </w:t>
            </w: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Two-piecewise logistic regression models evaluating threshold effects for TyG, TyG-CI, TyG-HGB, and TyG-WWI in relation to colorectal tumor risk in the CHARLS cohort.</w:t>
            </w:r>
          </w:p>
        </w:tc>
      </w:tr>
      <w:tr w14:paraId="36FFE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724B0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CHARLS-TyG</w:t>
            </w:r>
          </w:p>
        </w:tc>
      </w:tr>
      <w:tr w14:paraId="1CE24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329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904154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Outcome</w:t>
            </w:r>
          </w:p>
        </w:tc>
        <w:tc>
          <w:tcPr>
            <w:tcW w:w="113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118832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effect</w:t>
            </w:r>
          </w:p>
        </w:tc>
        <w:tc>
          <w:tcPr>
            <w:tcW w:w="56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A06478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P</w:t>
            </w:r>
          </w:p>
        </w:tc>
      </w:tr>
      <w:tr w14:paraId="7DCC8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F568C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Model 1 Fitting model by standard linear regression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3423D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3.67 (2.49 - 5.39)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57694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75D40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6C8A6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Model 2 Fitting model by two-piecewise linear regression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A99FE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DA526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</w:tr>
      <w:tr w14:paraId="0374F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525B8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Inflection point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BDD9B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10.88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2236D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</w:tr>
      <w:tr w14:paraId="02F80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6DC29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Style w:val="168"/>
                <w:color w:val="auto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Style w:val="172"/>
                <w:rFonts w:hint="default" w:ascii="Times New Roman Regular" w:hAnsi="Times New Roman Regular" w:cs="Times New Roman Regular"/>
                <w:color w:val="auto"/>
                <w:sz w:val="24"/>
                <w:szCs w:val="24"/>
                <w:lang w:eastAsia="zh-CN" w:bidi="ar"/>
              </w:rPr>
              <w:t>&lt;10.88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65F44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0.98 (0.48 - 2.03)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AEDD9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0.967</w:t>
            </w:r>
          </w:p>
        </w:tc>
      </w:tr>
      <w:tr w14:paraId="6CA12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A0234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Style w:val="168"/>
                <w:color w:val="auto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Style w:val="172"/>
                <w:rFonts w:hint="default" w:ascii="Times New Roman Regular" w:hAnsi="Times New Roman Regular" w:cs="Times New Roman Regular"/>
                <w:color w:val="auto"/>
                <w:sz w:val="24"/>
                <w:szCs w:val="24"/>
                <w:lang w:eastAsia="zh-CN" w:bidi="ar"/>
              </w:rPr>
              <w:t>≥10.88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0D26E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Inf (0.00 - Inf)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70797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0.988</w:t>
            </w:r>
          </w:p>
        </w:tc>
      </w:tr>
      <w:tr w14:paraId="5C9B7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CDA95C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P for likelihood test</w:t>
            </w:r>
          </w:p>
        </w:tc>
        <w:tc>
          <w:tcPr>
            <w:tcW w:w="113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289C5C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BC9DFC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0B314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CA1A4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91A65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D3151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</w:tr>
      <w:tr w14:paraId="1A0B8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57C38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CHARLS-TyGCI</w:t>
            </w:r>
          </w:p>
        </w:tc>
      </w:tr>
      <w:tr w14:paraId="0E90A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329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9F70A3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Outcome</w:t>
            </w:r>
          </w:p>
        </w:tc>
        <w:tc>
          <w:tcPr>
            <w:tcW w:w="113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E596C0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effect</w:t>
            </w:r>
          </w:p>
        </w:tc>
        <w:tc>
          <w:tcPr>
            <w:tcW w:w="56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36895B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P</w:t>
            </w:r>
          </w:p>
        </w:tc>
      </w:tr>
      <w:tr w14:paraId="7C86E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61460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Model 1 Fitting model by standard linear regression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9BB42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1.93 (1.56 - 2.39)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D7E51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6A4FA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6D853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Model 2 Fitting model by two-piecewise linear regression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550D3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E68F6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</w:tr>
      <w:tr w14:paraId="5CEF1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46C9D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Inflection point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D8CE8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14.63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5C7AD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</w:tr>
      <w:tr w14:paraId="19A55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8632F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 xml:space="preserve">  &lt;14.63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71175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0.97 (0.69 - 1.37)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19E82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0.863</w:t>
            </w:r>
          </w:p>
        </w:tc>
      </w:tr>
      <w:tr w14:paraId="10AF1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12A6C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 xml:space="preserve">  ≥14.63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490F5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1.40 (0.72 - 2.72)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C195A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0.329</w:t>
            </w:r>
          </w:p>
        </w:tc>
      </w:tr>
      <w:tr w14:paraId="08A5D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9E8DA1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P for likelihood test</w:t>
            </w:r>
          </w:p>
        </w:tc>
        <w:tc>
          <w:tcPr>
            <w:tcW w:w="113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D5D66C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BD8182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290F6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C6A6C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5DFB5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92512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</w:tr>
      <w:tr w14:paraId="357C1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F9A82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CHARLS-TyG-HGB</w:t>
            </w:r>
          </w:p>
        </w:tc>
      </w:tr>
      <w:tr w14:paraId="7FC13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329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0C5FD5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Outcome</w:t>
            </w:r>
          </w:p>
        </w:tc>
        <w:tc>
          <w:tcPr>
            <w:tcW w:w="113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795C49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effect</w:t>
            </w:r>
          </w:p>
        </w:tc>
        <w:tc>
          <w:tcPr>
            <w:tcW w:w="56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52DFAE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P</w:t>
            </w:r>
          </w:p>
        </w:tc>
      </w:tr>
      <w:tr w14:paraId="5CA20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75BBC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Model 1 Fitting model by standard linear regression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D57C8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1.12 (1.08 - 1.18)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6B3D0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5488D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904C4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Model 2 Fitting model by two-piecewise linear regression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3392A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1D590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</w:tr>
      <w:tr w14:paraId="3592E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871C9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Inflection point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97B9C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15.66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F26EF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</w:tr>
      <w:tr w14:paraId="473A5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D84FD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Style w:val="168"/>
                <w:color w:val="auto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Style w:val="172"/>
                <w:rFonts w:hint="default" w:ascii="Times New Roman Regular" w:hAnsi="Times New Roman Regular" w:cs="Times New Roman Regular"/>
                <w:color w:val="auto"/>
                <w:sz w:val="24"/>
                <w:szCs w:val="24"/>
                <w:lang w:eastAsia="zh-CN" w:bidi="ar"/>
              </w:rPr>
              <w:t>&lt;15.66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F409B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1.06 (0.80 - 1.41)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36DA9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0.661</w:t>
            </w:r>
          </w:p>
        </w:tc>
      </w:tr>
      <w:tr w14:paraId="12474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C2AE6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Style w:val="168"/>
                <w:color w:val="auto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Style w:val="172"/>
                <w:rFonts w:hint="default" w:ascii="Times New Roman Regular" w:hAnsi="Times New Roman Regular" w:cs="Times New Roman Regular"/>
                <w:color w:val="auto"/>
                <w:sz w:val="24"/>
                <w:szCs w:val="24"/>
                <w:lang w:eastAsia="zh-CN" w:bidi="ar"/>
              </w:rPr>
              <w:t>≥15.66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5CF3C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1.04 (0.99 - 1.10)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F35B2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0.145</w:t>
            </w:r>
          </w:p>
        </w:tc>
      </w:tr>
      <w:tr w14:paraId="09EA8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D5A169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P for likelihood test</w:t>
            </w:r>
          </w:p>
        </w:tc>
        <w:tc>
          <w:tcPr>
            <w:tcW w:w="113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A15974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DA51F3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084FC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7494C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71D82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2C1CD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</w:tr>
      <w:tr w14:paraId="2C4E9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6237F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CHARLS-TyGWWI</w:t>
            </w:r>
          </w:p>
        </w:tc>
      </w:tr>
      <w:tr w14:paraId="408CB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329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0A0BB1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Outcome</w:t>
            </w:r>
          </w:p>
        </w:tc>
        <w:tc>
          <w:tcPr>
            <w:tcW w:w="113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09EB02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effect</w:t>
            </w:r>
          </w:p>
        </w:tc>
        <w:tc>
          <w:tcPr>
            <w:tcW w:w="56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E078FC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P</w:t>
            </w:r>
          </w:p>
        </w:tc>
      </w:tr>
      <w:tr w14:paraId="2053D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5AA7C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Model 1 Fitting model by standard linear regression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244CC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1.08 (1.05 - 1.10)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7C581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1952CC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2E1FA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Model 2 Fitting model by two-piecewise linear regression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6BF17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165AC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</w:tr>
      <w:tr w14:paraId="50A5C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AF34A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Inflection point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4305C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93.54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D463D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</w:tr>
      <w:tr w14:paraId="73FE1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F6F1E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 xml:space="preserve">  &lt;93.54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2FADA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1.02 (0.92 - 1.13)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9D2AF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0.738</w:t>
            </w:r>
          </w:p>
        </w:tc>
      </w:tr>
      <w:tr w14:paraId="0982B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46E54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 xml:space="preserve">  ≥93.54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C46CE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1.10 (1.07 - 1.13)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B49D0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1C9F2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32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1A6F9E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sz w:val="24"/>
                <w:szCs w:val="24"/>
                <w:lang w:eastAsia="zh-CN" w:bidi="ar"/>
              </w:rPr>
              <w:t>P for likelihood test</w:t>
            </w:r>
          </w:p>
        </w:tc>
        <w:tc>
          <w:tcPr>
            <w:tcW w:w="113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28AE8A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E7C335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sz w:val="24"/>
                <w:szCs w:val="24"/>
                <w:lang w:eastAsia="zh-CN" w:bidi="ar"/>
              </w:rPr>
              <w:t>&lt;.001</w:t>
            </w:r>
          </w:p>
        </w:tc>
      </w:tr>
    </w:tbl>
    <w:p/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5"/>
        <w:gridCol w:w="2026"/>
        <w:gridCol w:w="2035"/>
      </w:tblGrid>
      <w:tr w14:paraId="37CCC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1B72B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Supplementary Table S2.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Two-piecewise logistic regression models evaluating threshold effects for TyG, TyG-CI, TyG-HGB, and TyG-WWI in relation to colorectal tumor risk in the NHANES cohort.</w:t>
            </w:r>
          </w:p>
        </w:tc>
      </w:tr>
      <w:tr w14:paraId="0A21B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2428B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NHANES-TyG</w:t>
            </w:r>
          </w:p>
        </w:tc>
      </w:tr>
      <w:tr w14:paraId="7614F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F09AF0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Outcome</w:t>
            </w:r>
          </w:p>
        </w:tc>
        <w:tc>
          <w:tcPr>
            <w:tcW w:w="114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3267F2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effect</w:t>
            </w:r>
          </w:p>
        </w:tc>
        <w:tc>
          <w:tcPr>
            <w:tcW w:w="114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EE93BC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P</w:t>
            </w:r>
          </w:p>
        </w:tc>
      </w:tr>
      <w:tr w14:paraId="25198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C0E63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Model 1 Fitting model by standard linear regression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B14D0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1.80 (1.46 - 2.21)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6E887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4CDAD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1F99D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Model 2 Fitting model by two-piecewise linear regression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C1FB6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4C1E4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FF0000"/>
                <w:sz w:val="24"/>
                <w:szCs w:val="24"/>
              </w:rPr>
            </w:pPr>
          </w:p>
        </w:tc>
      </w:tr>
      <w:tr w14:paraId="4C1A9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6E6C6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Inflection point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A2BEF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9.93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3FC5B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</w:tr>
      <w:tr w14:paraId="4AD11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EE42B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 xml:space="preserve">  &lt;9.93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81E99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1.16 (0.88 - 1.54)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0CBB5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0.289</w:t>
            </w:r>
          </w:p>
        </w:tc>
      </w:tr>
      <w:tr w14:paraId="67B42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B5843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 xml:space="preserve">  ≥9.93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6CA89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202.54 (27.31 - 1502.19)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21272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0D8F5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5BF241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P for likelihood test</w:t>
            </w:r>
          </w:p>
        </w:tc>
        <w:tc>
          <w:tcPr>
            <w:tcW w:w="114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368BA7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0BC5C0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5851B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589ED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6BDBE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D74F4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</w:tr>
      <w:tr w14:paraId="5E38B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2618E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NHANES-TyGCI</w:t>
            </w:r>
          </w:p>
        </w:tc>
      </w:tr>
      <w:tr w14:paraId="28C21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8FE330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Outcome</w:t>
            </w:r>
          </w:p>
        </w:tc>
        <w:tc>
          <w:tcPr>
            <w:tcW w:w="114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692D45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effect</w:t>
            </w:r>
          </w:p>
        </w:tc>
        <w:tc>
          <w:tcPr>
            <w:tcW w:w="114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DA7B49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P</w:t>
            </w:r>
          </w:p>
        </w:tc>
      </w:tr>
      <w:tr w14:paraId="21931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F9B75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Model 1 Fitting model by standard linear regression</w:t>
            </w:r>
          </w:p>
        </w:tc>
        <w:tc>
          <w:tcPr>
            <w:tcW w:w="114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EC417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1.33 (1.19 - 1.48)</w:t>
            </w:r>
          </w:p>
        </w:tc>
        <w:tc>
          <w:tcPr>
            <w:tcW w:w="114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4A779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5A3D2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3E16B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Model 2 Fitting model by two-piecewise linear regression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FF735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B9591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FF0000"/>
                <w:sz w:val="24"/>
                <w:szCs w:val="24"/>
              </w:rPr>
            </w:pPr>
          </w:p>
        </w:tc>
      </w:tr>
      <w:tr w14:paraId="1ED80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A402D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Inflection point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527DF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13.9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50647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</w:tr>
      <w:tr w14:paraId="181AD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76666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 xml:space="preserve">  &lt;13.90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22D67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1.07 (0.93 - 1.23)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47BA5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0.368</w:t>
            </w:r>
          </w:p>
        </w:tc>
      </w:tr>
      <w:tr w14:paraId="18A7A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C2AF2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 xml:space="preserve">  ≥13.90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F3197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3.72 (2.03 - 6.81)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580AD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42A6E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F9E027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P for likelihood test</w:t>
            </w:r>
          </w:p>
        </w:tc>
        <w:tc>
          <w:tcPr>
            <w:tcW w:w="114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A32492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FEA33E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1446F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9845C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6C397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59E23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NHANES-TyG-HGB</w:t>
            </w:r>
          </w:p>
        </w:tc>
      </w:tr>
      <w:tr w14:paraId="04367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17BA87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Outcome</w:t>
            </w:r>
          </w:p>
        </w:tc>
        <w:tc>
          <w:tcPr>
            <w:tcW w:w="114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E86077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effect</w:t>
            </w:r>
          </w:p>
        </w:tc>
        <w:tc>
          <w:tcPr>
            <w:tcW w:w="114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094755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P</w:t>
            </w:r>
          </w:p>
        </w:tc>
      </w:tr>
      <w:tr w14:paraId="57D22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3D66F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Model 1 Fitting model by standard linear regression</w:t>
            </w:r>
          </w:p>
        </w:tc>
        <w:tc>
          <w:tcPr>
            <w:tcW w:w="114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3DD9F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1.20 (1.15 - 1.25)</w:t>
            </w:r>
          </w:p>
        </w:tc>
        <w:tc>
          <w:tcPr>
            <w:tcW w:w="114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C247F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15522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64565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Model 2 Fitting model by two-piecewise linear regression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649D2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45F22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FF0000"/>
                <w:sz w:val="24"/>
                <w:szCs w:val="24"/>
              </w:rPr>
            </w:pPr>
          </w:p>
        </w:tc>
      </w:tr>
      <w:tr w14:paraId="62788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AE764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Inflection point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F4BD3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12.78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F5E7B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</w:tr>
      <w:tr w14:paraId="4C845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CD84D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 xml:space="preserve">  &lt;12.78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0C9FA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1.11 (1.01 - 1.22)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34919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0.029</w:t>
            </w:r>
          </w:p>
        </w:tc>
      </w:tr>
      <w:tr w14:paraId="44DF0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85EB2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 xml:space="preserve">  ≥12.78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C150E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1.56 (1.31 - 1.85)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18E65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4C7F3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8E1A0E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P for likelihood test</w:t>
            </w:r>
          </w:p>
        </w:tc>
        <w:tc>
          <w:tcPr>
            <w:tcW w:w="114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2D6BC6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75A786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0.002</w:t>
            </w:r>
          </w:p>
        </w:tc>
      </w:tr>
      <w:tr w14:paraId="7EE6F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B9F73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46421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4BE12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NHANES-TyGWWI</w:t>
            </w:r>
          </w:p>
        </w:tc>
      </w:tr>
      <w:tr w14:paraId="4B22E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ABF7E9F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Outcome</w:t>
            </w:r>
          </w:p>
        </w:tc>
        <w:tc>
          <w:tcPr>
            <w:tcW w:w="114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15F8C7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effect</w:t>
            </w:r>
          </w:p>
        </w:tc>
        <w:tc>
          <w:tcPr>
            <w:tcW w:w="114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B00D96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P</w:t>
            </w:r>
          </w:p>
        </w:tc>
      </w:tr>
      <w:tr w14:paraId="1E6C9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7D260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Model 1 Fitting model by standard linear regression</w:t>
            </w:r>
          </w:p>
        </w:tc>
        <w:tc>
          <w:tcPr>
            <w:tcW w:w="114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2D787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1.03 (1.02 - 1.05)</w:t>
            </w:r>
          </w:p>
        </w:tc>
        <w:tc>
          <w:tcPr>
            <w:tcW w:w="114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C6655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6B7BA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726ED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Model 2 Fitting model by two-piecewise linear regression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B2A11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EA2B4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FF0000"/>
                <w:sz w:val="24"/>
                <w:szCs w:val="24"/>
              </w:rPr>
            </w:pPr>
          </w:p>
        </w:tc>
      </w:tr>
      <w:tr w14:paraId="16869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12473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Inflection point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EDDAA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119.76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A79A0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</w:tr>
      <w:tr w14:paraId="47CC7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2035D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 xml:space="preserve">  &lt;119.76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FF569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1.02 (1.00 - 1.03)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82227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0.057</w:t>
            </w:r>
          </w:p>
        </w:tc>
      </w:tr>
      <w:tr w14:paraId="4629E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6D8DF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 xml:space="preserve">  ≥119.76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B8221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1.17 (1.08 - 1.27)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440F6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&lt;.001</w:t>
            </w:r>
          </w:p>
        </w:tc>
      </w:tr>
      <w:tr w14:paraId="03E89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6B2B0B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eastAsia="zh-CN" w:bidi="ar"/>
              </w:rPr>
              <w:t>P for likelihood test</w:t>
            </w:r>
          </w:p>
        </w:tc>
        <w:tc>
          <w:tcPr>
            <w:tcW w:w="114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4D16A5">
            <w:pPr>
              <w:spacing w:line="240" w:lineRule="auto"/>
              <w:jc w:val="both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379376">
            <w:pPr>
              <w:spacing w:line="240" w:lineRule="auto"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szCs w:val="24"/>
                <w:lang w:eastAsia="zh-CN" w:bidi="ar"/>
              </w:rPr>
              <w:t>&lt;.001</w:t>
            </w:r>
          </w:p>
        </w:tc>
      </w:tr>
    </w:tbl>
    <w:sectPr>
      <w:footerReference r:id="rId5" w:type="default"/>
      <w:pgSz w:w="12240" w:h="15840"/>
      <w:pgMar w:top="1440" w:right="1800" w:bottom="1440" w:left="1800" w:header="720" w:footer="720" w:gutter="0"/>
      <w:lnNumType w:countBy="1" w:restart="continuous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S Mincho">
    <w:panose1 w:val="02020609040205080304"/>
    <w:charset w:val="86"/>
    <w:family w:val="auto"/>
    <w:pitch w:val="default"/>
    <w:sig w:usb0="E00002FF" w:usb1="6AC7FDFB" w:usb2="00000012" w:usb3="00000000" w:csb0="4002009F" w:csb1="DFD7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Songti SC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Times New Roman Bold"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8F8B2">
    <w:pPr>
      <w:pStyle w:val="2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D5151C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 AQAADwAAAGRycy9kb3ducmV2LnhtbE2PQUvDQBCF74L/YRmhN7tpKxJiNgVL06Ng48HjNjsm0d3Z sLtN4793FEEvwzze8OZ75XZ2VkwY4uBJwWqZgUBqvRmoU/DS1Lc5iJg0GW09oYJPjLCtrq9KXRh/ oWecjqkTHEKx0Ar6lMZCytj26HRc+hGJvTcfnE4sQydN0BcOd1aus+xeOj0Qf+j1iLse24/j2SnY 1U0TJozBvuKh3rw/Pd7hflZqcbPKHkAknNPfMXzjMzpUzHTyZzJRWAVcJP1M9tZ5zvL0u8iqlP/p qy9QSwMEFAAAAAgAh07iQIzXDnwqAgAAVQQAAA4AAABkcnMvZTJvRG9jLnhtbK1UzY7TMBC+I/EO lu80aRGrKmq6KlsVIVXsSgVxdh2nieQ/2W6T8gDwBpy4cOe5+hx8zk8XLRz2wMUZe8bfzPfNOIvb VklyEs7XRud0OkkpEZqbotaHnH76uHk1p8QHpgsmjRY5PQtPb5cvXywam4mZqYwshCMA0T5rbE6r EGyWJJ5XQjE/MVZoOEvjFAvYukNSONYAXclklqY3SWNcYZ3hwnucrnsnHRDdcwBNWdZcrA0/KqFD j+qEZAGUfFVbT5ddtWUpeLgvSy8CkTkF09CtSAJ7H9dkuWDZwTFb1XwogT2nhCecFKs1kl6h1iww cnT1X1Cq5s54U4YJNyrpiXSKgMU0faLNrmJWdFwgtbdX0f3/g+UfTg+O1AUmgRLNFBp++f7t8uPX 5edXMo3yNNZniNpZxIX2rWlj6HDucRhZt6VT8Qs+BH6Ie76KK9pAeLw0n83nKVwcvnEDnOTxunU+ vBNGkWjk1KF7najstPWhDx1DYjZtNrWUOGeZ1KTJ6c3rN2l34eoBuNTIEUn0xUYrtPt2YLA3xRnE nOknw1u+qZF8y3x4YA6jgILxWMI9llIaJDGDRUll3Jd/ncd4dAheShqMVk41XhIl8r1G5wAYRsON xn409FHdGcwquoFaOhMXXJCjWTqjPuMFrWIOuJjmyJTTMJp3oR9vvEAuVqsuCLNmWdjqneUROirm 7eoYIGCnaxSlV2LQCtPWdWZ4GXGc/9x3UY9/g+VvUEsDBAoAAAAAAIdO4kAAAAAAAAAAAAAAAAAG AAAAX3JlbHMvUEsDBBQAAAAIAIdO4kCKFGY80QAAAJQBAAALAAAAX3JlbHMvLnJlbHOlkMFqwzAM hu+DvYPRfXGawxijTi+j0GvpHsDYimMaW0Yy2fr28w6DZfS2o36h7xP//vCZFrUiS6RsYNf1oDA7 8jEHA++X49MLKKk2e7tQRgM3FDiMjw/7My62tiOZYxHVKFkMzLWWV63FzZisdFQwt81EnGxtIwdd rLvagHro+2fNvxkwbpjq5A3wyQ+gLrfSzH/YKTomoal2jpKmaYruHlUHtmWO7sg24Ru5RrMcsBrw LBoHalnXfgR9X7/7p97TRz7jutV+h4zrj1dvuhy/AFBLAwQUAAAACACHTuJAfublIPcAAADhAQAA EwAAAFtDb250ZW50X1R5cGVzXS54bWyVkUFOwzAQRfdI3MHyFiVOu0AIJemCtEtAqBxgZE8Si2Rs eUxob4+TthtEkVjaM/+/J7vcHMZBTBjYOqrkKi+kQNLOWOoq+b7fZQ9ScAQyMDjCSh6R5aa+vSn3 R48sUpq4kn2M/lEp1j2OwLnzSGnSujBCTMfQKQ/6AzpU66K4V9pRRIpZnDtkXTbYwucQxfaQrk8m AQeW4um0OLMqCd4PVkNMpmoi84OSnQl5Si473FvPd0lDql8J8+Q64Jx7SU8TrEHxCiE+w5g0lAms jPuigFP+d8lsOXLm2tZqzJvATYq94XSxutaOa9c4/d/y7ZK6dKvlg+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AAAAAGRycy9QSwECFAAUAAAACACHTuJAs0lY 7tAAAAAFAQAADwAAAAAAAAABACAAAAAiAAAAZHJzL2Rvd25yZXYueG1sUEsBAhQAFAAAAAgAh07i QIzXDnwqAgAAVQQAAA4AAAAAAAAAAQAgAAAAHwEAAGRycy9lMm9Eb2MueG1sUEsFBgAAAAAGAAYA WQEAALsFAAAAAA== 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D5151C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dit="readOnly"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52D9"/>
    <w:rsid w:val="000B4E3F"/>
    <w:rsid w:val="000C0C8A"/>
    <w:rsid w:val="0015074B"/>
    <w:rsid w:val="0029639D"/>
    <w:rsid w:val="002D7C71"/>
    <w:rsid w:val="00326F90"/>
    <w:rsid w:val="00546280"/>
    <w:rsid w:val="00582DC0"/>
    <w:rsid w:val="00650BA2"/>
    <w:rsid w:val="006C34F6"/>
    <w:rsid w:val="00776AAC"/>
    <w:rsid w:val="007F53AE"/>
    <w:rsid w:val="0082063C"/>
    <w:rsid w:val="00857F05"/>
    <w:rsid w:val="008C7B3C"/>
    <w:rsid w:val="009308D2"/>
    <w:rsid w:val="009B162D"/>
    <w:rsid w:val="009E6787"/>
    <w:rsid w:val="00A11ADB"/>
    <w:rsid w:val="00A32485"/>
    <w:rsid w:val="00A35270"/>
    <w:rsid w:val="00A671E2"/>
    <w:rsid w:val="00AA1D8D"/>
    <w:rsid w:val="00B47730"/>
    <w:rsid w:val="00B64146"/>
    <w:rsid w:val="00C56611"/>
    <w:rsid w:val="00CB0664"/>
    <w:rsid w:val="00CD06AC"/>
    <w:rsid w:val="00D073F6"/>
    <w:rsid w:val="00DC0215"/>
    <w:rsid w:val="00EA2724"/>
    <w:rsid w:val="00EB2477"/>
    <w:rsid w:val="00FC693F"/>
    <w:rsid w:val="2DF3F276"/>
    <w:rsid w:val="2F5F4168"/>
    <w:rsid w:val="2F7879EE"/>
    <w:rsid w:val="2FE06576"/>
    <w:rsid w:val="35DFD92D"/>
    <w:rsid w:val="3EDF7D60"/>
    <w:rsid w:val="3EFDAD8D"/>
    <w:rsid w:val="3FFB539F"/>
    <w:rsid w:val="4DFFE02B"/>
    <w:rsid w:val="53B5EFFF"/>
    <w:rsid w:val="5776B39E"/>
    <w:rsid w:val="5DFC735D"/>
    <w:rsid w:val="636570A5"/>
    <w:rsid w:val="67EC8854"/>
    <w:rsid w:val="6A7F9D7C"/>
    <w:rsid w:val="6AFD0662"/>
    <w:rsid w:val="6EDDD88A"/>
    <w:rsid w:val="6EF5FCF8"/>
    <w:rsid w:val="71BEDCBA"/>
    <w:rsid w:val="75B42106"/>
    <w:rsid w:val="766F9281"/>
    <w:rsid w:val="7BDBBD81"/>
    <w:rsid w:val="7CE7EBAE"/>
    <w:rsid w:val="7D7F9B3B"/>
    <w:rsid w:val="7DFF5EAE"/>
    <w:rsid w:val="7EEF5131"/>
    <w:rsid w:val="7EFED400"/>
    <w:rsid w:val="7FA7C232"/>
    <w:rsid w:val="7FCF116A"/>
    <w:rsid w:val="7FEB1342"/>
    <w:rsid w:val="7FEEAC60"/>
    <w:rsid w:val="8ED74718"/>
    <w:rsid w:val="8FAE87BD"/>
    <w:rsid w:val="97672060"/>
    <w:rsid w:val="A5F36BED"/>
    <w:rsid w:val="AEFBBD09"/>
    <w:rsid w:val="AF178A31"/>
    <w:rsid w:val="B7FF29F5"/>
    <w:rsid w:val="BBBF21F9"/>
    <w:rsid w:val="BF5EC818"/>
    <w:rsid w:val="C7AF2B1E"/>
    <w:rsid w:val="D1BDC0E4"/>
    <w:rsid w:val="D5383D04"/>
    <w:rsid w:val="D6EC012A"/>
    <w:rsid w:val="DEFEE198"/>
    <w:rsid w:val="DF8538B3"/>
    <w:rsid w:val="E57DDE61"/>
    <w:rsid w:val="E7F78279"/>
    <w:rsid w:val="EAAF90D1"/>
    <w:rsid w:val="EDBF8656"/>
    <w:rsid w:val="EDDF6552"/>
    <w:rsid w:val="EDEF9ED5"/>
    <w:rsid w:val="EEDF5D41"/>
    <w:rsid w:val="F3FF8D5F"/>
    <w:rsid w:val="F5776472"/>
    <w:rsid w:val="F77D6955"/>
    <w:rsid w:val="F79F7AF2"/>
    <w:rsid w:val="FB0F0D90"/>
    <w:rsid w:val="FDEAB8B9"/>
    <w:rsid w:val="FDF151B2"/>
    <w:rsid w:val="FDFDF510"/>
    <w:rsid w:val="FFBB1E82"/>
    <w:rsid w:val="FFBC039C"/>
    <w:rsid w:val="FFEF39A6"/>
    <w:rsid w:val="FFEFCF6F"/>
    <w:rsid w:val="FFFF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6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9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0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1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2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6">
    <w:name w:val="Body Text"/>
    <w:basedOn w:val="1"/>
    <w:link w:val="146"/>
    <w:unhideWhenUsed/>
    <w:uiPriority w:val="99"/>
    <w:pPr>
      <w:spacing w:after="120"/>
    </w:pPr>
  </w:style>
  <w:style w:type="paragraph" w:styleId="13">
    <w:name w:val="List 3"/>
    <w:basedOn w:val="1"/>
    <w:unhideWhenUsed/>
    <w:uiPriority w:val="99"/>
    <w:pPr>
      <w:ind w:left="1080" w:hanging="360"/>
      <w:contextualSpacing/>
    </w:pPr>
  </w:style>
  <w:style w:type="paragraph" w:styleId="14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5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48"/>
    <w:unhideWhenUsed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7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uiPriority w:val="99"/>
    <w:pPr>
      <w:spacing w:beforeAutospacing="1" w:after="0" w:afterAutospacing="1"/>
    </w:pPr>
    <w:rPr>
      <w:rFonts w:cs="Times New Roman"/>
      <w:sz w:val="24"/>
      <w:lang w:eastAsia="zh-CN"/>
    </w:r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>
    <w:name w:val="Light Shading"/>
    <w:basedOn w:val="33"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line number"/>
    <w:basedOn w:val="133"/>
    <w:semiHidden/>
    <w:unhideWhenUsed/>
    <w:uiPriority w:val="99"/>
  </w:style>
  <w:style w:type="character" w:customStyle="1" w:styleId="137">
    <w:name w:val="页眉 字符"/>
    <w:basedOn w:val="133"/>
    <w:link w:val="25"/>
    <w:uiPriority w:val="99"/>
  </w:style>
  <w:style w:type="character" w:customStyle="1" w:styleId="138">
    <w:name w:val="页脚 字符"/>
    <w:basedOn w:val="133"/>
    <w:link w:val="24"/>
    <w:uiPriority w:val="99"/>
  </w:style>
  <w:style w:type="paragraph" w:styleId="139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标题 1 字符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标题 2 字符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标题 3 字符"/>
    <w:basedOn w:val="133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标题 字符"/>
    <w:basedOn w:val="1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副标题 字符"/>
    <w:basedOn w:val="133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正文文本 字符"/>
    <w:basedOn w:val="133"/>
    <w:link w:val="6"/>
    <w:uiPriority w:val="99"/>
  </w:style>
  <w:style w:type="character" w:customStyle="1" w:styleId="147">
    <w:name w:val="正文文本 2 字符"/>
    <w:basedOn w:val="133"/>
    <w:link w:val="28"/>
    <w:uiPriority w:val="99"/>
  </w:style>
  <w:style w:type="character" w:customStyle="1" w:styleId="148">
    <w:name w:val="正文文本 3 字符"/>
    <w:basedOn w:val="133"/>
    <w:link w:val="18"/>
    <w:uiPriority w:val="99"/>
    <w:rPr>
      <w:sz w:val="16"/>
      <w:szCs w:val="16"/>
    </w:rPr>
  </w:style>
  <w:style w:type="character" w:customStyle="1" w:styleId="149">
    <w:name w:val="宏文本 字符"/>
    <w:basedOn w:val="133"/>
    <w:link w:val="2"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引用 字符"/>
    <w:basedOn w:val="133"/>
    <w:link w:val="1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标题 4 字符"/>
    <w:basedOn w:val="133"/>
    <w:link w:val="7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标题 5 字符"/>
    <w:basedOn w:val="133"/>
    <w:link w:val="8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标题 6 字符"/>
    <w:basedOn w:val="133"/>
    <w:link w:val="9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标题 7 字符"/>
    <w:basedOn w:val="133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标题 8 字符"/>
    <w:basedOn w:val="133"/>
    <w:link w:val="11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标题 9 字符"/>
    <w:basedOn w:val="133"/>
    <w:link w:val="12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明显引用 字符"/>
    <w:basedOn w:val="133"/>
    <w:link w:val="1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强调1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明显强调1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不明显参考1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明显参考1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书籍标题1"/>
    <w:basedOn w:val="133"/>
    <w:qFormat/>
    <w:uiPriority w:val="33"/>
    <w:rPr>
      <w:b/>
      <w:bCs/>
      <w:smallCaps/>
      <w:spacing w:val="5"/>
    </w:rPr>
  </w:style>
  <w:style w:type="paragraph" w:customStyle="1" w:styleId="165">
    <w:name w:val="TOC 标题1"/>
    <w:basedOn w:val="3"/>
    <w:next w:val="1"/>
    <w:semiHidden/>
    <w:unhideWhenUsed/>
    <w:qFormat/>
    <w:uiPriority w:val="39"/>
    <w:pPr>
      <w:outlineLvl w:val="9"/>
    </w:pPr>
  </w:style>
  <w:style w:type="paragraph" w:customStyle="1" w:styleId="166">
    <w:name w:val="书目1"/>
    <w:basedOn w:val="1"/>
    <w:next w:val="1"/>
    <w:unhideWhenUsed/>
    <w:uiPriority w:val="37"/>
    <w:pPr>
      <w:tabs>
        <w:tab w:val="left" w:pos="500"/>
      </w:tabs>
      <w:spacing w:after="0" w:line="240" w:lineRule="auto"/>
      <w:ind w:left="504" w:hanging="504"/>
    </w:pPr>
  </w:style>
  <w:style w:type="paragraph" w:customStyle="1" w:styleId="167">
    <w:name w:val="First Paragraph"/>
    <w:basedOn w:val="6"/>
    <w:next w:val="6"/>
    <w:qFormat/>
    <w:uiPriority w:val="0"/>
  </w:style>
  <w:style w:type="character" w:customStyle="1" w:styleId="168">
    <w:name w:val="font11"/>
    <w:basedOn w:val="133"/>
    <w:uiPriority w:val="0"/>
    <w:rPr>
      <w:rFonts w:hint="default" w:ascii="Times New Roman Regular" w:hAnsi="Times New Roman Regular" w:eastAsia="Times New Roman Regular" w:cs="Times New Roman Regular"/>
      <w:color w:val="000000"/>
      <w:sz w:val="22"/>
      <w:szCs w:val="22"/>
      <w:u w:val="none"/>
    </w:rPr>
  </w:style>
  <w:style w:type="character" w:customStyle="1" w:styleId="169">
    <w:name w:val="font01"/>
    <w:basedOn w:val="13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70">
    <w:name w:val="书目2"/>
    <w:basedOn w:val="1"/>
    <w:next w:val="1"/>
    <w:unhideWhenUsed/>
    <w:uiPriority w:val="37"/>
  </w:style>
  <w:style w:type="character" w:customStyle="1" w:styleId="171">
    <w:name w:val="font21"/>
    <w:basedOn w:val="133"/>
    <w:uiPriority w:val="0"/>
    <w:rPr>
      <w:rFonts w:hint="default" w:ascii="Times New Roman Regular" w:hAnsi="Times New Roman Regular" w:eastAsia="Times New Roman Regular" w:cs="Times New Roman Regular"/>
      <w:color w:val="000000"/>
      <w:sz w:val="22"/>
      <w:szCs w:val="22"/>
      <w:u w:val="none"/>
    </w:rPr>
  </w:style>
  <w:style w:type="character" w:customStyle="1" w:styleId="172">
    <w:name w:val="font41"/>
    <w:basedOn w:val="133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173">
    <w:name w:val="Bibliography"/>
    <w:basedOn w:val="1"/>
    <w:next w:val="1"/>
    <w:unhideWhenUsed/>
    <w:uiPriority w:val="37"/>
    <w:pPr>
      <w:tabs>
        <w:tab w:val="left" w:pos="380"/>
      </w:tabs>
      <w:spacing w:after="0" w:line="240" w:lineRule="auto"/>
      <w:ind w:left="384" w:hanging="384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3.tiff"/><Relationship Id="rId8" Type="http://schemas.openxmlformats.org/officeDocument/2006/relationships/image" Target="media/image2.tiff"/><Relationship Id="rId7" Type="http://schemas.openxmlformats.org/officeDocument/2006/relationships/image" Target="media/image1.tiff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5.tiff"/><Relationship Id="rId10" Type="http://schemas.openxmlformats.org/officeDocument/2006/relationships/image" Target="media/image4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33</Pages>
  <Words>1371</Words>
  <Characters>9331</Characters>
  <Lines>1072</Lines>
  <Paragraphs>301</Paragraphs>
  <TotalTime>12</TotalTime>
  <ScaleCrop>false</ScaleCrop>
  <LinksUpToDate>false</LinksUpToDate>
  <CharactersWithSpaces>10663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2013-12-27T15:15:00Z</dcterms:created>
  <dc:creator>python-docx</dc:creator>
  <dc:description>generated by python-docx</dc:description>
  <cp:lastModifiedBy>行者医者</cp:lastModifiedBy>
  <dcterms:modified xsi:type="dcterms:W3CDTF">2025-12-15T11:08:12Z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992EF883F1E44BDD90C21514E784CD52_13</vt:lpwstr>
  </property>
  <property fmtid="{D5CDD505-2E9C-101B-9397-08002B2CF9AE}" pid="4" name="ZOTERO_PREF_1">
    <vt:lpwstr>&lt;data data-version="3" zotero-version="7.0.29"&gt;&lt;session id="JrVuH8X7"/&gt;&lt;style id="http://www.zotero.org/styles/cancer-letters" hasBibliography="1" bibliographyStyleHasBeenSet="1"/&gt;&lt;prefs&gt;&lt;pref name="fieldType" value="Field"/&gt;&lt;/prefs&gt;&lt;/data&gt;</vt:lpwstr>
  </property>
</Properties>
</file>