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BBDD3" w14:textId="77777777" w:rsidR="00E16395" w:rsidRDefault="00E16395" w:rsidP="00E16395">
      <w:pPr>
        <w:spacing w:line="480" w:lineRule="auto"/>
        <w:rPr>
          <w:b/>
          <w:bCs/>
          <w:lang w:val="en-GB"/>
        </w:rPr>
      </w:pPr>
      <w:r w:rsidRPr="3DF4F44E">
        <w:rPr>
          <w:b/>
          <w:bCs/>
          <w:lang w:val="en-GB"/>
        </w:rPr>
        <w:t>Appendix A</w:t>
      </w:r>
    </w:p>
    <w:p w14:paraId="7E2E0C82" w14:textId="77777777" w:rsidR="00E16395" w:rsidRDefault="00E16395" w:rsidP="00E16395">
      <w:pPr>
        <w:spacing w:line="480" w:lineRule="auto"/>
        <w:rPr>
          <w:b/>
          <w:bCs/>
          <w:lang w:val="en-GB"/>
        </w:rPr>
      </w:pPr>
    </w:p>
    <w:p w14:paraId="47A2D4A8" w14:textId="77777777" w:rsidR="00E16395" w:rsidRPr="00A349A1" w:rsidRDefault="00E16395" w:rsidP="00E16395">
      <w:pPr>
        <w:spacing w:line="480" w:lineRule="auto"/>
        <w:rPr>
          <w:lang w:val="en-US"/>
        </w:rPr>
      </w:pPr>
      <w:r w:rsidRPr="3DF4F44E">
        <w:rPr>
          <w:b/>
          <w:bCs/>
          <w:lang w:val="en-GB"/>
        </w:rPr>
        <w:t>The PRAISE-U Consortium:</w:t>
      </w:r>
      <w:r w:rsidRPr="3DF4F44E">
        <w:rPr>
          <w:lang w:val="en-US"/>
        </w:rPr>
        <w:t> </w:t>
      </w:r>
    </w:p>
    <w:p w14:paraId="4CC50D91" w14:textId="77777777" w:rsidR="00E16395" w:rsidRPr="00A349A1" w:rsidRDefault="00E16395" w:rsidP="00E16395">
      <w:pPr>
        <w:spacing w:line="480" w:lineRule="auto"/>
        <w:rPr>
          <w:lang w:val="en-US"/>
        </w:rPr>
      </w:pPr>
      <w:r w:rsidRPr="3DF4F44E">
        <w:rPr>
          <w:lang w:val="en-US"/>
        </w:rPr>
        <w:t> </w:t>
      </w:r>
    </w:p>
    <w:p w14:paraId="3EA65A07" w14:textId="77777777" w:rsidR="00E16395" w:rsidRPr="00A349A1" w:rsidRDefault="00E16395" w:rsidP="00E16395">
      <w:pPr>
        <w:spacing w:line="480" w:lineRule="auto"/>
        <w:rPr>
          <w:lang w:val="en-US"/>
        </w:rPr>
      </w:pPr>
      <w:r w:rsidRPr="3DF4F44E">
        <w:rPr>
          <w:lang w:val="en-GB"/>
        </w:rPr>
        <w:t xml:space="preserve">Hendrik Van Poppel (EAU), Sarah Collen (EAU), Jarka Bloemberg (EAU), James N'Dow (EAU), Phillip Cornford (EAU), Juan Gómez Rivas (EAU), Maria Ribal (EAU), Maran van Schelven (EAU), Elena Plana (EAU), Monique Roobol-Bouts (EMC, ERSPCF), Katharina Beyer (EMC), Lionne Venderbos (EMC, ERSPCF), Jozien Helleman (EMC), Renée Leenen (EMC), Daan Nieboer (EMC), Esmée Mulder (EMC), Jeroen Lodder (EMC), Frederique Denijs (EMC), Teun Kampman (EMC), Roderick van den Bergh (EMC), Kirsi Talala (ERSPCF), Pia Kirkegaard (CDR), Berit Andersen (CDR), Mette Bach Larsen (CDR), Sofie Meyer Andersen (CDR), Grace McKinney (CDR), Katrine Bilde Jensen (CDR), Karel Hejduk (UZIS), Ondřej Májek (UZIS),  Roman Zachoval (CUTH, CUS), Renata Chloupkova (UZIS), Katerina Hejcmanova (UZIS), Kristina Olhova (UZIS), Veronika Črepová (CUS), Meike van Harten (UMCU), Peter-Paul Willemse (UMCU), Norbert Couespel (ECO), Riccardo Moschetti (ECO), Mike Morrissey (ECO), Richard Price (ECO), Enea Venegoni (ECO), Agnese Konusevska (ECO), Otilia Colceriu (ECO), Zoë Parker (ECO), Clémentine Rialland (ECO), Juliana de Sá (ECO), Elisabetta Zanon (ECO), Jack Latteur (ECO), Krzysztof Tupikowski (DCOPiH), Katarzyna Hodyra-Stefaniak (DCOPiH), Monika Litwin (DCOPiH), Aleksandra Zduniak (DCOPiH), Monika Złotkiewicz (DCOPiH), Joanna Dołowy (DCOPiH), Paweł Zawadzki (DCOPiH), Adam Maciejczyk (DCOPiH), Anna Zacharzewska-Gondek (DCOPiH), Sylwia Cholewa (DCOPiH), Robert Fabiański (DCOPiH), Agata Nosol (DCOPiH), Krzysztof Noga (DCOPiH), Monika Pajewska (NIZP), Aleksandra Czerw (NIZP), </w:t>
      </w:r>
      <w:r w:rsidRPr="3DF4F44E">
        <w:rPr>
          <w:lang w:val="en-GB"/>
        </w:rPr>
        <w:lastRenderedPageBreak/>
        <w:t>Andrzej Deptała (NIZP), Bernard Waśko (NIZP), Ángel Gómez Amorín (CSG), Silvia Suárez Luque (CSG), Carmen Durán Parrondo (CSG), Ana Marina Tarrazo Antelo (CSG), Montserrat Corujo Quinteiro (CSG), Sagrario Pérez Castellanos (CSG), Josep Vilaseca (ALT, WONCA), Gemma Cuberas Borrós (ALT), Anna Arnau Bartés (ALT), Juan Pablo Salazar (ALT), Hector López Llauradó (ALT), Ola Bratt (VGR), Rebecka Godtman (VGR), Louise de Verdier (VGR), Thomas Jiborn (SKA), Anders Bjartell (SKA),  Max Alterbeck (SKA), Aušvydas Patašius (NCI/VU), Ugne Mickeviciute (NCI/VU), Adomas Ladukas (NCIVU),  Audrius Untanas (NCC), Marius Kinčius (NCI), Dalia Martinonienė (NCI), Arūnas Kulboka (NCC), Lina Venceviciene (VU), Lieven Annemans (UG), Nick Verhaeghe (UG), Pieter-Jan Hutsebaut (UG), Pieter Vynckier (UG), Karel Vercamst (UG),  Martin Kivi (EUS), David Galvin (UCD), Eamonn Rogers (UCD), Eileen Nolan (UCD), Paul Sweeney (UCD), Gillian Horgan (UCD), Lottie Bishop (UCD), William Watson (UCD), Patricia Fitzpatrick  (UCD), Riya Negi (UCD), Thomas Frese (WONCA), Kathleen Denny (WONCA), Alexander Bauer (WONCA), Barbara Toplek (WONCA), Shlomo Vinker (WONCA),  Amy O'Connor (MOV), Sarah Weller (MOV), Ricky Le Roux (MOV), Karen Robb (MOV), Sarah Ouellette (MOV), Aisling Quigley (MOV), Bree Earle (MOV), Neil Jennings (MOV), Jason Kane (MOV), Sarah McLoughlin (MOV), Holly Whelan (Younger Lives), Mark Cobain (Younger Lives), Partha Basu (IARC), Arunah Chandran (IARC), Andre Carvalho (IARC), Deependra Singh (IARC), Sathishrajaa Palaniraja (IARC),  Milagros Otero-García (ESUR), Valeria Panebianco (ESUR), Carlo Catalano (ESR), Erik Briers (Europa UOMO), Anna Lantz (RS), Lisa Jelf Eneqvist (RS)</w:t>
      </w:r>
      <w:r w:rsidRPr="3DF4F44E">
        <w:rPr>
          <w:lang w:val="en-US"/>
        </w:rPr>
        <w:t> </w:t>
      </w:r>
    </w:p>
    <w:p w14:paraId="0ED89D08" w14:textId="77777777" w:rsidR="00E16395" w:rsidRPr="00A349A1" w:rsidRDefault="00E16395" w:rsidP="00E16395">
      <w:pPr>
        <w:spacing w:line="480" w:lineRule="auto"/>
        <w:rPr>
          <w:lang w:val="en-US"/>
        </w:rPr>
      </w:pPr>
      <w:r w:rsidRPr="3DF4F44E">
        <w:rPr>
          <w:lang w:val="en-US"/>
        </w:rPr>
        <w:t> </w:t>
      </w:r>
    </w:p>
    <w:p w14:paraId="270CF142" w14:textId="77777777" w:rsidR="00E16395" w:rsidRPr="00A349A1" w:rsidRDefault="00E16395" w:rsidP="00E16395">
      <w:pPr>
        <w:spacing w:line="480" w:lineRule="auto"/>
        <w:rPr>
          <w:lang w:val="en-US"/>
        </w:rPr>
      </w:pPr>
      <w:r w:rsidRPr="3DF4F44E">
        <w:rPr>
          <w:b/>
          <w:bCs/>
          <w:lang w:val="en-GB"/>
        </w:rPr>
        <w:t>Data monitoring committee and quality control:</w:t>
      </w:r>
      <w:r w:rsidRPr="3DF4F44E">
        <w:rPr>
          <w:lang w:val="en-US"/>
        </w:rPr>
        <w:t> </w:t>
      </w:r>
    </w:p>
    <w:p w14:paraId="3690310B" w14:textId="77777777" w:rsidR="00E16395" w:rsidRPr="00A349A1" w:rsidRDefault="00E16395" w:rsidP="00E16395">
      <w:pPr>
        <w:spacing w:line="480" w:lineRule="auto"/>
        <w:rPr>
          <w:lang w:val="en-US"/>
        </w:rPr>
      </w:pPr>
      <w:r w:rsidRPr="3DF4F44E">
        <w:rPr>
          <w:lang w:val="en-GB"/>
        </w:rPr>
        <w:lastRenderedPageBreak/>
        <w:t>Peter Albers (UD), Theo van der Kwast, Urška Ivanuš (OIL), Olivier Rouvière (CHU), Anssi Auvinen (TU), Peter Lindgren (SIHE), Jacqueline Daly (Patients advocate), Lara Bellardita (ANM), Francesco Giganti (UCL).</w:t>
      </w:r>
      <w:r w:rsidRPr="3DF4F44E">
        <w:rPr>
          <w:lang w:val="en-US"/>
        </w:rPr>
        <w:t> </w:t>
      </w:r>
    </w:p>
    <w:p w14:paraId="54B63216" w14:textId="77777777" w:rsidR="00E16395" w:rsidRPr="00A349A1" w:rsidRDefault="00E16395" w:rsidP="00E16395">
      <w:pPr>
        <w:spacing w:line="480" w:lineRule="auto"/>
        <w:rPr>
          <w:lang w:val="en-US"/>
        </w:rPr>
      </w:pPr>
      <w:r w:rsidRPr="3DF4F44E">
        <w:rPr>
          <w:lang w:val="en-US"/>
        </w:rPr>
        <w:t> </w:t>
      </w:r>
    </w:p>
    <w:p w14:paraId="6CAC4D95" w14:textId="77777777" w:rsidR="00E16395" w:rsidRPr="00A349A1" w:rsidRDefault="00E16395" w:rsidP="00E16395">
      <w:pPr>
        <w:spacing w:line="480" w:lineRule="auto"/>
        <w:rPr>
          <w:lang w:val="en-US"/>
        </w:rPr>
      </w:pPr>
      <w:r w:rsidRPr="3DF4F44E">
        <w:rPr>
          <w:b/>
          <w:bCs/>
          <w:lang w:val="en-GB"/>
        </w:rPr>
        <w:t>Scientific Advisory Board:</w:t>
      </w:r>
      <w:r w:rsidRPr="3DF4F44E">
        <w:rPr>
          <w:lang w:val="en-US"/>
        </w:rPr>
        <w:t> </w:t>
      </w:r>
    </w:p>
    <w:p w14:paraId="292933EF" w14:textId="77777777" w:rsidR="00E16395" w:rsidRPr="00A349A1" w:rsidRDefault="00E16395" w:rsidP="00E16395">
      <w:pPr>
        <w:spacing w:line="480" w:lineRule="auto"/>
        <w:rPr>
          <w:lang w:val="en-US"/>
        </w:rPr>
      </w:pPr>
      <w:r w:rsidRPr="3DF4F44E">
        <w:rPr>
          <w:lang w:val="fr-FR"/>
        </w:rPr>
        <w:t>Chris Booth (CHAPS), Cosimo Pieri (Europa Uomo IT), Frans Debruyne (ANDROS), Georges Fournier (AFU), </w:t>
      </w:r>
      <w:r w:rsidRPr="3DF4F44E">
        <w:rPr>
          <w:lang w:val="en-GB"/>
        </w:rPr>
        <w:t>Jan Adolfsson (KI), Pippa Powell (ELF), Rodolfo Montironi </w:t>
      </w:r>
      <w:r w:rsidRPr="3DF4F44E">
        <w:rPr>
          <w:lang w:val="en-US"/>
        </w:rPr>
        <w:t> </w:t>
      </w:r>
      <w:r>
        <w:br/>
      </w:r>
      <w:r w:rsidRPr="3DF4F44E">
        <w:rPr>
          <w:lang w:val="en-GB"/>
        </w:rPr>
        <w:t>(PUM); Sigrid Carlsson (DKFZ), Tit Albreht (IPAAC), Wim Schreurs (PHILIPS). </w:t>
      </w:r>
      <w:r w:rsidRPr="3DF4F44E">
        <w:rPr>
          <w:lang w:val="en-US"/>
        </w:rPr>
        <w:t> </w:t>
      </w:r>
    </w:p>
    <w:p w14:paraId="2CBA1365" w14:textId="77777777" w:rsidR="00E16395" w:rsidRPr="00A349A1" w:rsidRDefault="00E16395" w:rsidP="00E16395">
      <w:pPr>
        <w:spacing w:line="480" w:lineRule="auto"/>
        <w:rPr>
          <w:lang w:val="en-US"/>
        </w:rPr>
      </w:pPr>
      <w:r w:rsidRPr="3DF4F44E">
        <w:rPr>
          <w:lang w:val="en-US"/>
        </w:rPr>
        <w:t> </w:t>
      </w:r>
    </w:p>
    <w:p w14:paraId="7986CCAD" w14:textId="77777777" w:rsidR="00E16395" w:rsidRPr="00A349A1" w:rsidRDefault="00E16395" w:rsidP="00E16395">
      <w:pPr>
        <w:spacing w:line="480" w:lineRule="auto"/>
        <w:rPr>
          <w:lang w:val="en-US"/>
        </w:rPr>
      </w:pPr>
      <w:r w:rsidRPr="3DF4F44E">
        <w:rPr>
          <w:lang w:val="en-US"/>
        </w:rPr>
        <w:t> </w:t>
      </w:r>
    </w:p>
    <w:p w14:paraId="4366F186" w14:textId="77777777" w:rsidR="00E16395" w:rsidRPr="00A349A1" w:rsidRDefault="00E16395" w:rsidP="00E16395">
      <w:pPr>
        <w:spacing w:line="480" w:lineRule="auto"/>
        <w:rPr>
          <w:lang w:val="en-US"/>
        </w:rPr>
      </w:pPr>
      <w:r w:rsidRPr="3DF4F44E">
        <w:rPr>
          <w:lang w:val="en-US"/>
        </w:rPr>
        <w:t>STICHTING EUROPEAN UROLOGICAL FOUNDATION (EAU) Arnhem, Netherlands; ERASMUS MC CANCER INSTITUTE - ERASMUS UNIVERSITY MEDICAL CENTER (EMC) Rotterdam, The Netherlands; STICHTING EUROPESE STUDIE PROSTAATKANKER SCREENING (ERSPCF), Reeuwijk, The Netherlands; REGION MIDTJYLLAND (CDR), Viborg, Denmark; USTAV ZDRAVOTNICKYCH INFORMACI A STATISTIKY CESKE REPUBLIKY (UZIS), Praha, Czechia; UNIVERSITAIR MEDISCH CENTRUM UTRECHT (UMCU), Utrecht, Netherlands; </w:t>
      </w:r>
      <w:r w:rsidRPr="3DF4F44E">
        <w:rPr>
          <w:lang w:val="fr-FR"/>
        </w:rPr>
        <w:t>EUROPEAN CANCER ORGANISATION (ECO), Bruxelles, Belgium; </w:t>
      </w:r>
      <w:r w:rsidRPr="3DF4F44E">
        <w:rPr>
          <w:lang w:val="en-US"/>
        </w:rPr>
        <w:t>DOLNOSLASKIE CENTRUM ONKOLOGII, PULMONOLOGII I HEMATOLOGII (DCOPiH), Wroclaw, Poland;  </w:t>
      </w:r>
    </w:p>
    <w:p w14:paraId="5F4C7213" w14:textId="77777777" w:rsidR="00E16395" w:rsidRPr="00A349A1" w:rsidRDefault="00E16395" w:rsidP="00E16395">
      <w:pPr>
        <w:spacing w:line="480" w:lineRule="auto"/>
        <w:rPr>
          <w:lang w:val="en-US"/>
        </w:rPr>
      </w:pPr>
      <w:r w:rsidRPr="3DF4F44E">
        <w:rPr>
          <w:lang w:val="en-US"/>
        </w:rPr>
        <w:t xml:space="preserve">NARODOWY INSTYTUT ZDROWIA PUBLICZNEGO PZH – PANSTWOWY INSTYTUT  BADAWCZY (NIZP), Warszawa, Poland; CONSELLERIA DE SANIDADE DE GALICIA (CSG), Santiago de Compostela, Spain;  ALTHAIA XARXA </w:t>
      </w:r>
      <w:r w:rsidRPr="3DF4F44E">
        <w:rPr>
          <w:lang w:val="en-US"/>
        </w:rPr>
        <w:lastRenderedPageBreak/>
        <w:t>ASSISTENCIAL UNIVERSITARIA DE MANRESA, FUNDACIO PRIVADA (ALT), Manresa, Barcelona, Spain; </w:t>
      </w:r>
      <w:r w:rsidRPr="3DF4F44E">
        <w:rPr>
          <w:lang w:val="de-DE"/>
        </w:rPr>
        <w:t>VASTRA GOTALANDSREGIONEN (VGR) Vanersborg, Sweden; </w:t>
      </w:r>
      <w:r w:rsidRPr="3DF4F44E">
        <w:rPr>
          <w:lang w:val="en-US"/>
        </w:rPr>
        <w:t>REGION SKANE (SKA), Kristianstad, Sweden; NACIONALINIS VEZIO INSTITUTAS (NCI), and VILNIUS UNIVERSITY (VU), Vilnius, Lithuania; VILNIUS HOSPITAL SANTAROS CLINICS (VULSK), Vilnius, Lithuania; NATIONAL CANCER CENTER, VILNIUS UNIVERSITY HOSPITAL SANTAROS CLINICS (NCC), Vilnius, Lithuania </w:t>
      </w:r>
    </w:p>
    <w:p w14:paraId="12C13F49" w14:textId="77777777" w:rsidR="00E16395" w:rsidRPr="00A349A1" w:rsidRDefault="00E16395" w:rsidP="00E16395">
      <w:pPr>
        <w:spacing w:line="480" w:lineRule="auto"/>
        <w:rPr>
          <w:lang w:val="en-US"/>
        </w:rPr>
      </w:pPr>
      <w:r w:rsidRPr="3DF4F44E">
        <w:rPr>
          <w:lang w:val="en-US"/>
        </w:rPr>
        <w:t>GHENT UNIVERSITY (UG), Gent, Belgium; HEALTH SERVICE EXECUTIVE (HSE), County Kildare, Ireland; EESTI UROLOOGIDE SELTS (EUS), Tartu, Estonia; UNIVERSITY COLLEGE DUBLIN, NATIONAL UNIVERSITY OF IRELAND, DUBLIN (UCD), Dublin, Ireland; STICHTING WONCA EUROPE (WONCA), Ljubljana, Slovenia; MOVEMBER FOUNDATION EV (MOV), Munchen, Germany; INTERNATIONAL AGENCY FOR RESEARCH ON CANCER (IARC), the cancer research agency of the World Health Organization (WHO), LYON, France;   </w:t>
      </w:r>
    </w:p>
    <w:p w14:paraId="1AA59B14" w14:textId="77777777" w:rsidR="00E16395" w:rsidRPr="00A349A1" w:rsidRDefault="00E16395" w:rsidP="00E16395">
      <w:pPr>
        <w:spacing w:line="480" w:lineRule="auto"/>
        <w:rPr>
          <w:lang w:val="en-US"/>
        </w:rPr>
      </w:pPr>
      <w:r w:rsidRPr="3DF4F44E">
        <w:rPr>
          <w:lang w:val="en-US"/>
        </w:rPr>
        <w:t>EUROPEAN SOCIETY OF RADIOLOGY (ESR); EUROPEAN SOCIETY OF UROGENITAL RADIOLOGY (ESUR), Vienna, Austria; EUROPA UOMA (Europa UOMO), Antwerpen, Belgium; </w:t>
      </w:r>
      <w:r w:rsidRPr="3DF4F44E">
        <w:rPr>
          <w:lang w:val="cs-CZ"/>
        </w:rPr>
        <w:t>3RD FACULTY OF MEDICINE OF CHARLES UNIVERSITY AND FACULTY THOMAYER HOSPITAL  (CUTH) and </w:t>
      </w:r>
      <w:r w:rsidRPr="3DF4F44E">
        <w:rPr>
          <w:lang w:val="en-US"/>
        </w:rPr>
        <w:t>THE CZECH UROLOGICAL SOCIETY (CUS), Praha, Czechia; REGION STOCKHOLM (RS), Stockholm, Sweden. </w:t>
      </w:r>
      <w:r>
        <w:br/>
      </w:r>
      <w:r w:rsidRPr="3DF4F44E">
        <w:rPr>
          <w:lang w:val="en-US"/>
        </w:rPr>
        <w:t> </w:t>
      </w:r>
    </w:p>
    <w:p w14:paraId="5E3B13A6" w14:textId="77777777" w:rsidR="00E16395" w:rsidRPr="00A349A1" w:rsidRDefault="00E16395" w:rsidP="00E16395">
      <w:pPr>
        <w:spacing w:line="480" w:lineRule="auto"/>
        <w:rPr>
          <w:lang w:val="en-US"/>
        </w:rPr>
      </w:pPr>
      <w:r w:rsidRPr="3DF4F44E">
        <w:rPr>
          <w:lang w:val="fr-FR"/>
        </w:rPr>
        <w:t>UNIVERSITAT DUSSELDORF (UD), Dusseldorf, Germany; ONKOLOSKI INSTITUT (OIL), Ljubljana, Slovenia; CENTRE HOSPITALIER UNIVERSITAIRE DE LYON (CHU), Lyon, France; TAMPERE UNIVERSITY (TU), Tampere, Finland; SWEDISH INSTITUTE FOR HEALTH ECONOMICS (SIHE), Lund, Sweden; AST NORD MILANO (ANM), Milan, Italy; UNIVERSITY COLLEGE LONDON (UCL), London, United Kingdom.</w:t>
      </w:r>
      <w:r w:rsidRPr="3DF4F44E">
        <w:rPr>
          <w:lang w:val="en-US"/>
        </w:rPr>
        <w:t> </w:t>
      </w:r>
    </w:p>
    <w:p w14:paraId="1B6DA8CA" w14:textId="77777777" w:rsidR="00E16395" w:rsidRPr="00A349A1" w:rsidRDefault="00E16395" w:rsidP="00E16395">
      <w:pPr>
        <w:spacing w:line="480" w:lineRule="auto"/>
        <w:rPr>
          <w:lang w:val="en-US"/>
        </w:rPr>
      </w:pPr>
      <w:r w:rsidRPr="3DF4F44E">
        <w:rPr>
          <w:lang w:val="en-US"/>
        </w:rPr>
        <w:lastRenderedPageBreak/>
        <w:t> </w:t>
      </w:r>
    </w:p>
    <w:p w14:paraId="58F10CEC" w14:textId="77777777" w:rsidR="00E16395" w:rsidRPr="00A349A1" w:rsidRDefault="00E16395" w:rsidP="00E16395">
      <w:pPr>
        <w:spacing w:line="480" w:lineRule="auto"/>
        <w:rPr>
          <w:lang w:val="en-US"/>
        </w:rPr>
      </w:pPr>
      <w:r w:rsidRPr="3DF4F44E">
        <w:rPr>
          <w:lang w:val="fr-FR"/>
        </w:rPr>
        <w:t>CHARITY CHAPS, UK (CHAPS); EUROPA UOMO, Italy; ANDROS CLINIC, The Netherlands (ANDROS); L’ASSOCIATION FRANCAISE ‘UROLOGIE, France (AFU); </w:t>
      </w:r>
      <w:r w:rsidRPr="3DF4F44E">
        <w:rPr>
          <w:lang w:val="en-GB"/>
        </w:rPr>
        <w:t>KAROLINSKA INSTITUTET, Sweden (KI);  EUROPEAN LUNG FOUNDATION, United Kingdom (ELF); POLYTECHNIC UNIVERSITY OF THE MARCHE REGION, Italy (PUM); DEUTSCHES KREBSFORSCHUNGSZENTRUM, Germany (DKFZ); SLOVENIAN NATIONAL COLORECTAL CANCER SCREENING PROGRAMME, Slovenia (IPAAC); PHILIPS, the Netherlands (PHILIPS).</w:t>
      </w:r>
      <w:r w:rsidRPr="3DF4F44E">
        <w:rPr>
          <w:lang w:val="en-US"/>
        </w:rPr>
        <w:t> </w:t>
      </w:r>
    </w:p>
    <w:p w14:paraId="328994C6" w14:textId="77777777" w:rsidR="00E16395" w:rsidRPr="00A349A1" w:rsidRDefault="00E16395" w:rsidP="00E16395">
      <w:pPr>
        <w:spacing w:line="480" w:lineRule="auto"/>
        <w:rPr>
          <w:lang w:val="en-US"/>
        </w:rPr>
      </w:pPr>
    </w:p>
    <w:p w14:paraId="631D3E01" w14:textId="77777777" w:rsidR="00E16395" w:rsidRDefault="00E16395" w:rsidP="00E16395">
      <w:pPr>
        <w:spacing w:line="480" w:lineRule="auto"/>
        <w:rPr>
          <w:rFonts w:ascii="Aptos" w:eastAsia="Aptos" w:hAnsi="Aptos" w:cs="Aptos"/>
          <w:lang w:val="en-US"/>
        </w:rPr>
      </w:pPr>
    </w:p>
    <w:p w14:paraId="246F6FA5" w14:textId="77777777" w:rsidR="008B07A6" w:rsidRDefault="008B07A6"/>
    <w:sectPr w:rsidR="008B07A6" w:rsidSect="00E16395">
      <w:headerReference w:type="even" r:id="rId4"/>
      <w:headerReference w:type="default" r:id="rId5"/>
      <w:footerReference w:type="even" r:id="rId6"/>
      <w:footerReference w:type="default" r:id="rId7"/>
      <w:headerReference w:type="first" r:id="rId8"/>
      <w:footerReference w:type="first" r:id="rId9"/>
      <w:pgSz w:w="11906" w:h="16838"/>
      <w:pgMar w:top="1440" w:right="1440" w:bottom="1440" w:left="1440" w:header="708" w:footer="708"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5CB2C" w14:textId="77777777" w:rsidR="00E16395" w:rsidRDefault="00E16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15" w:type="dxa"/>
      <w:tblLayout w:type="fixed"/>
      <w:tblLook w:val="06A0" w:firstRow="1" w:lastRow="0" w:firstColumn="1" w:lastColumn="0" w:noHBand="1" w:noVBand="1"/>
    </w:tblPr>
    <w:tblGrid>
      <w:gridCol w:w="3005"/>
      <w:gridCol w:w="3005"/>
      <w:gridCol w:w="3005"/>
    </w:tblGrid>
    <w:tr w:rsidR="00E16395" w14:paraId="0BF51CEB" w14:textId="77777777">
      <w:trPr>
        <w:trHeight w:val="300"/>
      </w:trPr>
      <w:tc>
        <w:tcPr>
          <w:tcW w:w="3005" w:type="dxa"/>
        </w:tcPr>
        <w:p w14:paraId="713E671A" w14:textId="77777777" w:rsidR="00E16395" w:rsidRDefault="00E16395">
          <w:pPr>
            <w:pStyle w:val="Header"/>
            <w:ind w:left="-115"/>
            <w:rPr>
              <w:rFonts w:ascii="Aptos" w:eastAsia="Aptos" w:hAnsi="Aptos"/>
            </w:rPr>
          </w:pPr>
        </w:p>
      </w:tc>
      <w:tc>
        <w:tcPr>
          <w:tcW w:w="3005" w:type="dxa"/>
        </w:tcPr>
        <w:p w14:paraId="0206523A" w14:textId="77777777" w:rsidR="00E16395" w:rsidRDefault="00E16395">
          <w:pPr>
            <w:pStyle w:val="Header"/>
            <w:jc w:val="center"/>
            <w:rPr>
              <w:rFonts w:ascii="Aptos" w:eastAsia="Aptos" w:hAnsi="Aptos"/>
            </w:rPr>
          </w:pPr>
        </w:p>
      </w:tc>
      <w:tc>
        <w:tcPr>
          <w:tcW w:w="3005" w:type="dxa"/>
        </w:tcPr>
        <w:p w14:paraId="478D1F43" w14:textId="77777777" w:rsidR="00E16395" w:rsidRDefault="00E16395">
          <w:pPr>
            <w:pStyle w:val="Header"/>
            <w:ind w:right="-115"/>
            <w:jc w:val="right"/>
            <w:rPr>
              <w:rFonts w:ascii="Aptos" w:eastAsia="Aptos" w:hAnsi="Aptos"/>
            </w:rPr>
          </w:pPr>
        </w:p>
      </w:tc>
    </w:tr>
  </w:tbl>
  <w:p w14:paraId="55632A1A" w14:textId="77777777" w:rsidR="00E16395" w:rsidRDefault="00E163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15" w:type="dxa"/>
      <w:tblLayout w:type="fixed"/>
      <w:tblLook w:val="06A0" w:firstRow="1" w:lastRow="0" w:firstColumn="1" w:lastColumn="0" w:noHBand="1" w:noVBand="1"/>
    </w:tblPr>
    <w:tblGrid>
      <w:gridCol w:w="3005"/>
      <w:gridCol w:w="3005"/>
      <w:gridCol w:w="3005"/>
    </w:tblGrid>
    <w:tr w:rsidR="00E16395" w14:paraId="3EF67C4F" w14:textId="77777777">
      <w:trPr>
        <w:trHeight w:val="300"/>
      </w:trPr>
      <w:tc>
        <w:tcPr>
          <w:tcW w:w="3005" w:type="dxa"/>
        </w:tcPr>
        <w:p w14:paraId="58A036B3" w14:textId="77777777" w:rsidR="00E16395" w:rsidRDefault="00E16395">
          <w:pPr>
            <w:pStyle w:val="Header"/>
            <w:ind w:left="-115"/>
            <w:rPr>
              <w:rFonts w:ascii="Aptos" w:eastAsia="Aptos" w:hAnsi="Aptos"/>
            </w:rPr>
          </w:pPr>
        </w:p>
      </w:tc>
      <w:tc>
        <w:tcPr>
          <w:tcW w:w="3005" w:type="dxa"/>
        </w:tcPr>
        <w:p w14:paraId="155F550F" w14:textId="77777777" w:rsidR="00E16395" w:rsidRDefault="00E16395">
          <w:pPr>
            <w:pStyle w:val="Header"/>
            <w:jc w:val="center"/>
            <w:rPr>
              <w:rFonts w:ascii="Aptos" w:eastAsia="Aptos" w:hAnsi="Aptos"/>
            </w:rPr>
          </w:pPr>
        </w:p>
      </w:tc>
      <w:tc>
        <w:tcPr>
          <w:tcW w:w="3005" w:type="dxa"/>
        </w:tcPr>
        <w:p w14:paraId="054EE6BC" w14:textId="77777777" w:rsidR="00E16395" w:rsidRDefault="00E16395">
          <w:pPr>
            <w:pStyle w:val="Header"/>
            <w:ind w:right="-115"/>
            <w:jc w:val="right"/>
            <w:rPr>
              <w:rFonts w:ascii="Aptos" w:eastAsia="Aptos" w:hAnsi="Aptos"/>
            </w:rPr>
          </w:pPr>
        </w:p>
      </w:tc>
    </w:tr>
  </w:tbl>
  <w:p w14:paraId="110BBD84" w14:textId="77777777" w:rsidR="00E16395" w:rsidRDefault="00E1639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0908A" w14:textId="77777777" w:rsidR="00E16395" w:rsidRDefault="00E163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15" w:type="dxa"/>
      <w:tblLayout w:type="fixed"/>
      <w:tblLook w:val="06A0" w:firstRow="1" w:lastRow="0" w:firstColumn="1" w:lastColumn="0" w:noHBand="1" w:noVBand="1"/>
    </w:tblPr>
    <w:tblGrid>
      <w:gridCol w:w="3005"/>
      <w:gridCol w:w="3005"/>
      <w:gridCol w:w="3005"/>
    </w:tblGrid>
    <w:tr w:rsidR="00E16395" w14:paraId="793E743B" w14:textId="77777777">
      <w:trPr>
        <w:trHeight w:val="338"/>
      </w:trPr>
      <w:tc>
        <w:tcPr>
          <w:tcW w:w="3005" w:type="dxa"/>
        </w:tcPr>
        <w:p w14:paraId="2AF3649D" w14:textId="77777777" w:rsidR="00E16395" w:rsidRDefault="00E16395">
          <w:pPr>
            <w:pStyle w:val="Header"/>
            <w:ind w:left="-115"/>
            <w:rPr>
              <w:rFonts w:ascii="Aptos" w:eastAsia="Aptos" w:hAnsi="Aptos"/>
            </w:rPr>
          </w:pPr>
        </w:p>
      </w:tc>
      <w:tc>
        <w:tcPr>
          <w:tcW w:w="3005" w:type="dxa"/>
        </w:tcPr>
        <w:p w14:paraId="5667B699" w14:textId="77777777" w:rsidR="00E16395" w:rsidRDefault="00E16395">
          <w:pPr>
            <w:pStyle w:val="Header"/>
            <w:jc w:val="center"/>
            <w:rPr>
              <w:rFonts w:ascii="Aptos" w:eastAsia="Aptos" w:hAnsi="Aptos"/>
            </w:rPr>
          </w:pPr>
        </w:p>
      </w:tc>
      <w:tc>
        <w:tcPr>
          <w:tcW w:w="3005" w:type="dxa"/>
        </w:tcPr>
        <w:p w14:paraId="63D4E412" w14:textId="77777777" w:rsidR="00E16395" w:rsidRDefault="00E16395">
          <w:pPr>
            <w:pStyle w:val="Header"/>
            <w:ind w:right="-115"/>
            <w:jc w:val="right"/>
            <w:rPr>
              <w:rFonts w:ascii="Aptos" w:eastAsia="Aptos" w:hAnsi="Aptos"/>
            </w:rPr>
          </w:pPr>
        </w:p>
      </w:tc>
    </w:tr>
  </w:tbl>
  <w:p w14:paraId="6BFDF8A3" w14:textId="77777777" w:rsidR="00E16395" w:rsidRDefault="00E163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15" w:type="dxa"/>
      <w:tblLayout w:type="fixed"/>
      <w:tblLook w:val="06A0" w:firstRow="1" w:lastRow="0" w:firstColumn="1" w:lastColumn="0" w:noHBand="1" w:noVBand="1"/>
    </w:tblPr>
    <w:tblGrid>
      <w:gridCol w:w="3005"/>
      <w:gridCol w:w="3005"/>
      <w:gridCol w:w="3005"/>
    </w:tblGrid>
    <w:tr w:rsidR="00E16395" w14:paraId="7E06A2DA" w14:textId="77777777">
      <w:trPr>
        <w:trHeight w:val="338"/>
      </w:trPr>
      <w:tc>
        <w:tcPr>
          <w:tcW w:w="3005" w:type="dxa"/>
        </w:tcPr>
        <w:p w14:paraId="06170028" w14:textId="77777777" w:rsidR="00E16395" w:rsidRDefault="00E16395">
          <w:pPr>
            <w:pStyle w:val="Header"/>
            <w:ind w:left="-115"/>
            <w:rPr>
              <w:rFonts w:ascii="Aptos" w:eastAsia="Aptos" w:hAnsi="Aptos"/>
            </w:rPr>
          </w:pPr>
        </w:p>
      </w:tc>
      <w:tc>
        <w:tcPr>
          <w:tcW w:w="3005" w:type="dxa"/>
        </w:tcPr>
        <w:p w14:paraId="3B6DB9F3" w14:textId="77777777" w:rsidR="00E16395" w:rsidRDefault="00E16395">
          <w:pPr>
            <w:pStyle w:val="Header"/>
            <w:jc w:val="center"/>
            <w:rPr>
              <w:rFonts w:ascii="Aptos" w:eastAsia="Aptos" w:hAnsi="Aptos"/>
            </w:rPr>
          </w:pPr>
        </w:p>
      </w:tc>
      <w:tc>
        <w:tcPr>
          <w:tcW w:w="3005" w:type="dxa"/>
        </w:tcPr>
        <w:p w14:paraId="7B837AB0" w14:textId="77777777" w:rsidR="00E16395" w:rsidRDefault="00E16395">
          <w:pPr>
            <w:pStyle w:val="Header"/>
            <w:ind w:right="-115"/>
            <w:jc w:val="right"/>
            <w:rPr>
              <w:rFonts w:ascii="Aptos" w:eastAsia="Aptos" w:hAnsi="Aptos"/>
            </w:rPr>
          </w:pPr>
        </w:p>
      </w:tc>
    </w:tr>
  </w:tbl>
  <w:p w14:paraId="5FA27B35" w14:textId="77777777" w:rsidR="00E16395" w:rsidRDefault="00E163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395"/>
    <w:rsid w:val="00051E7E"/>
    <w:rsid w:val="00066677"/>
    <w:rsid w:val="00153A17"/>
    <w:rsid w:val="001A37F3"/>
    <w:rsid w:val="003A4E89"/>
    <w:rsid w:val="00556784"/>
    <w:rsid w:val="008B07A6"/>
    <w:rsid w:val="0097029A"/>
    <w:rsid w:val="00987B63"/>
    <w:rsid w:val="00990454"/>
    <w:rsid w:val="00A234E6"/>
    <w:rsid w:val="00BF13F9"/>
    <w:rsid w:val="00CE738E"/>
    <w:rsid w:val="00D31E7D"/>
    <w:rsid w:val="00E16395"/>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5F747"/>
  <w15:chartTrackingRefBased/>
  <w15:docId w15:val="{61403D52-2ACF-477A-8F6C-B44380003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95"/>
    <w:pPr>
      <w:suppressAutoHyphens/>
      <w:spacing w:after="0" w:line="240" w:lineRule="auto"/>
    </w:pPr>
    <w:rPr>
      <w:lang w:val="es-ES"/>
    </w:rPr>
  </w:style>
  <w:style w:type="paragraph" w:styleId="Heading1">
    <w:name w:val="heading 1"/>
    <w:basedOn w:val="Normal"/>
    <w:next w:val="Normal"/>
    <w:link w:val="Heading1Char"/>
    <w:uiPriority w:val="9"/>
    <w:qFormat/>
    <w:rsid w:val="00E16395"/>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E16395"/>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E16395"/>
    <w:pPr>
      <w:keepNext/>
      <w:keepLines/>
      <w:suppressAutoHyphens w:val="0"/>
      <w:spacing w:before="160" w:after="80" w:line="278" w:lineRule="auto"/>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E16395"/>
    <w:pPr>
      <w:keepNext/>
      <w:keepLines/>
      <w:suppressAutoHyphens w:val="0"/>
      <w:spacing w:before="80" w:after="40" w:line="278" w:lineRule="auto"/>
      <w:outlineLvl w:val="3"/>
    </w:pPr>
    <w:rPr>
      <w:rFonts w:eastAsiaTheme="majorEastAsia" w:cstheme="majorBidi"/>
      <w:i/>
      <w:iCs/>
      <w:color w:val="0F4761" w:themeColor="accent1" w:themeShade="BF"/>
      <w:lang w:val="en-US"/>
    </w:rPr>
  </w:style>
  <w:style w:type="paragraph" w:styleId="Heading5">
    <w:name w:val="heading 5"/>
    <w:basedOn w:val="Normal"/>
    <w:next w:val="Normal"/>
    <w:link w:val="Heading5Char"/>
    <w:uiPriority w:val="9"/>
    <w:semiHidden/>
    <w:unhideWhenUsed/>
    <w:qFormat/>
    <w:rsid w:val="00E16395"/>
    <w:pPr>
      <w:keepNext/>
      <w:keepLines/>
      <w:suppressAutoHyphens w:val="0"/>
      <w:spacing w:before="80" w:after="40" w:line="278" w:lineRule="auto"/>
      <w:outlineLvl w:val="4"/>
    </w:pPr>
    <w:rPr>
      <w:rFonts w:eastAsiaTheme="majorEastAsia" w:cstheme="majorBidi"/>
      <w:color w:val="0F4761" w:themeColor="accent1" w:themeShade="BF"/>
      <w:lang w:val="en-US"/>
    </w:rPr>
  </w:style>
  <w:style w:type="paragraph" w:styleId="Heading6">
    <w:name w:val="heading 6"/>
    <w:basedOn w:val="Normal"/>
    <w:next w:val="Normal"/>
    <w:link w:val="Heading6Char"/>
    <w:uiPriority w:val="9"/>
    <w:semiHidden/>
    <w:unhideWhenUsed/>
    <w:qFormat/>
    <w:rsid w:val="00E16395"/>
    <w:pPr>
      <w:keepNext/>
      <w:keepLines/>
      <w:suppressAutoHyphens w:val="0"/>
      <w:spacing w:before="40" w:line="278" w:lineRule="auto"/>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E16395"/>
    <w:pPr>
      <w:keepNext/>
      <w:keepLines/>
      <w:suppressAutoHyphens w:val="0"/>
      <w:spacing w:before="40" w:line="278" w:lineRule="auto"/>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E16395"/>
    <w:pPr>
      <w:keepNext/>
      <w:keepLines/>
      <w:suppressAutoHyphens w:val="0"/>
      <w:spacing w:line="278" w:lineRule="auto"/>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E16395"/>
    <w:pPr>
      <w:keepNext/>
      <w:keepLines/>
      <w:suppressAutoHyphens w:val="0"/>
      <w:spacing w:line="278" w:lineRule="auto"/>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3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63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63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63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3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3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3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3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395"/>
    <w:rPr>
      <w:rFonts w:eastAsiaTheme="majorEastAsia" w:cstheme="majorBidi"/>
      <w:color w:val="272727" w:themeColor="text1" w:themeTint="D8"/>
    </w:rPr>
  </w:style>
  <w:style w:type="paragraph" w:styleId="Title">
    <w:name w:val="Title"/>
    <w:basedOn w:val="Normal"/>
    <w:next w:val="Normal"/>
    <w:link w:val="TitleChar"/>
    <w:uiPriority w:val="10"/>
    <w:qFormat/>
    <w:rsid w:val="00E16395"/>
    <w:pPr>
      <w:suppressAutoHyphens w:val="0"/>
      <w:spacing w:after="80"/>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E163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395"/>
    <w:pPr>
      <w:numPr>
        <w:ilvl w:val="1"/>
      </w:numPr>
      <w:suppressAutoHyphens w:val="0"/>
      <w:spacing w:after="160"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E163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395"/>
    <w:pPr>
      <w:suppressAutoHyphens w:val="0"/>
      <w:spacing w:before="160" w:after="160" w:line="278" w:lineRule="auto"/>
      <w:jc w:val="center"/>
    </w:pPr>
    <w:rPr>
      <w:i/>
      <w:iCs/>
      <w:color w:val="404040" w:themeColor="text1" w:themeTint="BF"/>
      <w:lang w:val="en-US"/>
    </w:rPr>
  </w:style>
  <w:style w:type="character" w:customStyle="1" w:styleId="QuoteChar">
    <w:name w:val="Quote Char"/>
    <w:basedOn w:val="DefaultParagraphFont"/>
    <w:link w:val="Quote"/>
    <w:uiPriority w:val="29"/>
    <w:rsid w:val="00E16395"/>
    <w:rPr>
      <w:i/>
      <w:iCs/>
      <w:color w:val="404040" w:themeColor="text1" w:themeTint="BF"/>
    </w:rPr>
  </w:style>
  <w:style w:type="paragraph" w:styleId="ListParagraph">
    <w:name w:val="List Paragraph"/>
    <w:basedOn w:val="Normal"/>
    <w:uiPriority w:val="34"/>
    <w:qFormat/>
    <w:rsid w:val="00E16395"/>
    <w:pPr>
      <w:suppressAutoHyphens w:val="0"/>
      <w:spacing w:after="160" w:line="278" w:lineRule="auto"/>
      <w:ind w:left="720"/>
      <w:contextualSpacing/>
    </w:pPr>
    <w:rPr>
      <w:lang w:val="en-US"/>
    </w:rPr>
  </w:style>
  <w:style w:type="character" w:styleId="IntenseEmphasis">
    <w:name w:val="Intense Emphasis"/>
    <w:basedOn w:val="DefaultParagraphFont"/>
    <w:uiPriority w:val="21"/>
    <w:qFormat/>
    <w:rsid w:val="00E16395"/>
    <w:rPr>
      <w:i/>
      <w:iCs/>
      <w:color w:val="0F4761" w:themeColor="accent1" w:themeShade="BF"/>
    </w:rPr>
  </w:style>
  <w:style w:type="paragraph" w:styleId="IntenseQuote">
    <w:name w:val="Intense Quote"/>
    <w:basedOn w:val="Normal"/>
    <w:next w:val="Normal"/>
    <w:link w:val="IntenseQuoteChar"/>
    <w:uiPriority w:val="30"/>
    <w:qFormat/>
    <w:rsid w:val="00E16395"/>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i/>
      <w:iCs/>
      <w:color w:val="0F4761" w:themeColor="accent1" w:themeShade="BF"/>
      <w:lang w:val="en-US"/>
    </w:rPr>
  </w:style>
  <w:style w:type="character" w:customStyle="1" w:styleId="IntenseQuoteChar">
    <w:name w:val="Intense Quote Char"/>
    <w:basedOn w:val="DefaultParagraphFont"/>
    <w:link w:val="IntenseQuote"/>
    <w:uiPriority w:val="30"/>
    <w:rsid w:val="00E16395"/>
    <w:rPr>
      <w:i/>
      <w:iCs/>
      <w:color w:val="0F4761" w:themeColor="accent1" w:themeShade="BF"/>
    </w:rPr>
  </w:style>
  <w:style w:type="character" w:styleId="IntenseReference">
    <w:name w:val="Intense Reference"/>
    <w:basedOn w:val="DefaultParagraphFont"/>
    <w:uiPriority w:val="32"/>
    <w:qFormat/>
    <w:rsid w:val="00E16395"/>
    <w:rPr>
      <w:b/>
      <w:bCs/>
      <w:smallCaps/>
      <w:color w:val="0F4761" w:themeColor="accent1" w:themeShade="BF"/>
      <w:spacing w:val="5"/>
    </w:rPr>
  </w:style>
  <w:style w:type="paragraph" w:styleId="Header">
    <w:name w:val="header"/>
    <w:basedOn w:val="Normal"/>
    <w:link w:val="HeaderChar"/>
    <w:uiPriority w:val="99"/>
    <w:unhideWhenUsed/>
    <w:rsid w:val="00E16395"/>
    <w:pPr>
      <w:tabs>
        <w:tab w:val="center" w:pos="4680"/>
        <w:tab w:val="right" w:pos="9360"/>
      </w:tabs>
    </w:pPr>
  </w:style>
  <w:style w:type="character" w:customStyle="1" w:styleId="HeaderChar">
    <w:name w:val="Header Char"/>
    <w:basedOn w:val="DefaultParagraphFont"/>
    <w:link w:val="Header"/>
    <w:uiPriority w:val="99"/>
    <w:rsid w:val="00E16395"/>
    <w:rPr>
      <w:lang w:val="es-ES"/>
    </w:rPr>
  </w:style>
  <w:style w:type="paragraph" w:styleId="Footer">
    <w:name w:val="footer"/>
    <w:basedOn w:val="Normal"/>
    <w:link w:val="FooterChar"/>
    <w:uiPriority w:val="99"/>
    <w:unhideWhenUsed/>
    <w:rsid w:val="00E16395"/>
    <w:pPr>
      <w:tabs>
        <w:tab w:val="center" w:pos="4680"/>
        <w:tab w:val="right" w:pos="9360"/>
      </w:tabs>
    </w:pPr>
  </w:style>
  <w:style w:type="character" w:customStyle="1" w:styleId="FooterChar">
    <w:name w:val="Footer Char"/>
    <w:basedOn w:val="DefaultParagraphFont"/>
    <w:link w:val="Footer"/>
    <w:uiPriority w:val="99"/>
    <w:rsid w:val="00E16395"/>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987</Words>
  <Characters>5627</Characters>
  <Application>Microsoft Office Word</Application>
  <DocSecurity>0</DocSecurity>
  <Lines>46</Lines>
  <Paragraphs>13</Paragraphs>
  <ScaleCrop>false</ScaleCrop>
  <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2026-10-01T09:41:00Z</dcterms:created>
  <dcterms:modified xsi:type="dcterms:W3CDTF">2026-10-01T09:42:00Z</dcterms:modified>
</cp:coreProperties>
</file>