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AF5FF" w14:textId="77777777" w:rsidR="00926F27" w:rsidRDefault="008C0E6F">
      <w:r>
        <w:rPr>
          <w:noProof/>
          <w:lang w:val="en-IN"/>
        </w:rPr>
        <w:drawing>
          <wp:inline distT="0" distB="0" distL="0" distR="0" wp14:anchorId="5493A59D" wp14:editId="3F4555EC">
            <wp:extent cx="5386705" cy="3032760"/>
            <wp:effectExtent l="0" t="0" r="4445" b="0"/>
            <wp:docPr id="72111310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711907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6705" cy="303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C2CFA" w14:textId="351AE3A4" w:rsidR="0012030B" w:rsidRPr="002A3598" w:rsidRDefault="008C0E6F" w:rsidP="0012030B">
      <w:pPr>
        <w:rPr>
          <w:rFonts w:ascii="Times New Roman" w:hAnsi="Times New Roman" w:cs="Times New Roman"/>
          <w:szCs w:val="21"/>
        </w:rPr>
      </w:pPr>
      <w:r w:rsidRPr="002A3598">
        <w:rPr>
          <w:rFonts w:ascii="Times New Roman" w:hAnsi="Times New Roman" w:cs="Times New Roman"/>
          <w:szCs w:val="21"/>
        </w:rPr>
        <w:t xml:space="preserve">Supplementary </w:t>
      </w:r>
      <w:r w:rsidR="00381EBE">
        <w:rPr>
          <w:rFonts w:ascii="Times New Roman" w:hAnsi="Times New Roman" w:cs="Times New Roman"/>
          <w:szCs w:val="21"/>
        </w:rPr>
        <w:t>Figure</w:t>
      </w:r>
      <w:r w:rsidRPr="002A3598">
        <w:rPr>
          <w:rFonts w:ascii="Times New Roman" w:hAnsi="Times New Roman" w:cs="Times New Roman"/>
          <w:szCs w:val="21"/>
        </w:rPr>
        <w:t xml:space="preserve"> 1. </w:t>
      </w:r>
      <w:r w:rsidR="00BC53C5">
        <w:rPr>
          <w:rFonts w:ascii="Times New Roman" w:hAnsi="Times New Roman" w:cs="Times New Roman"/>
          <w:szCs w:val="21"/>
        </w:rPr>
        <w:t>Score</w:t>
      </w:r>
      <w:r w:rsidR="00BC53C5" w:rsidRPr="002A3598">
        <w:rPr>
          <w:rFonts w:ascii="Times New Roman" w:hAnsi="Times New Roman" w:cs="Times New Roman"/>
          <w:szCs w:val="21"/>
        </w:rPr>
        <w:t xml:space="preserve"> </w:t>
      </w:r>
      <w:r w:rsidRPr="002A3598">
        <w:rPr>
          <w:rFonts w:ascii="Times New Roman" w:hAnsi="Times New Roman" w:cs="Times New Roman"/>
          <w:szCs w:val="21"/>
        </w:rPr>
        <w:t xml:space="preserve">distribution of the Wechsler Adult Intelligence </w:t>
      </w:r>
      <w:r w:rsidR="00381EBE">
        <w:rPr>
          <w:rFonts w:ascii="Times New Roman" w:hAnsi="Times New Roman" w:cs="Times New Roman"/>
          <w:szCs w:val="21"/>
        </w:rPr>
        <w:t>Score-Third Edition</w:t>
      </w:r>
      <w:r w:rsidRPr="002A3598">
        <w:rPr>
          <w:rFonts w:ascii="Times New Roman" w:hAnsi="Times New Roman" w:cs="Times New Roman"/>
          <w:szCs w:val="21"/>
        </w:rPr>
        <w:t xml:space="preserve"> (WAIS-III) and the Wechsler Memory Score-Revised </w:t>
      </w:r>
      <w:r w:rsidR="002A3598" w:rsidRPr="002A3598">
        <w:rPr>
          <w:rFonts w:ascii="Times New Roman" w:hAnsi="Times New Roman" w:cs="Times New Roman"/>
          <w:szCs w:val="21"/>
        </w:rPr>
        <w:t>Edition</w:t>
      </w:r>
      <w:r w:rsidRPr="002A3598">
        <w:rPr>
          <w:rFonts w:ascii="Times New Roman" w:hAnsi="Times New Roman" w:cs="Times New Roman"/>
          <w:szCs w:val="21"/>
        </w:rPr>
        <w:t xml:space="preserve"> (WMS-R). FSIQ, full-scale intelligence quotient; VC, verbal comprehension; PR, perceptual reasoning; WM, working memory; PS, processing speed;</w:t>
      </w:r>
      <w:r w:rsidR="002A3598">
        <w:rPr>
          <w:rFonts w:ascii="Times New Roman" w:hAnsi="Times New Roman" w:cs="Times New Roman" w:hint="eastAsia"/>
          <w:szCs w:val="21"/>
        </w:rPr>
        <w:t xml:space="preserve"> </w:t>
      </w:r>
      <w:r w:rsidR="002A3598" w:rsidRPr="002A3598">
        <w:rPr>
          <w:rFonts w:ascii="Times New Roman" w:hAnsi="Times New Roman" w:cs="Times New Roman"/>
          <w:kern w:val="0"/>
          <w:szCs w:val="21"/>
        </w:rPr>
        <w:t>A paired t-test was performed to compare WAIS</w:t>
      </w:r>
      <w:r w:rsidR="002A3598" w:rsidRPr="002A3598">
        <w:rPr>
          <w:rFonts w:ascii="Times New Roman" w:hAnsi="Times New Roman" w:cs="Times New Roman" w:hint="eastAsia"/>
          <w:kern w:val="0"/>
          <w:szCs w:val="21"/>
        </w:rPr>
        <w:t>-III and WMS-R</w:t>
      </w:r>
      <w:r w:rsidR="002A3598" w:rsidRPr="002A3598">
        <w:rPr>
          <w:rFonts w:ascii="Times New Roman" w:hAnsi="Times New Roman" w:cs="Times New Roman"/>
          <w:kern w:val="0"/>
          <w:szCs w:val="21"/>
        </w:rPr>
        <w:t> </w:t>
      </w:r>
      <w:r w:rsidR="00BC53C5">
        <w:rPr>
          <w:rFonts w:ascii="Times New Roman" w:hAnsi="Times New Roman" w:cs="Times New Roman"/>
          <w:kern w:val="0"/>
          <w:szCs w:val="21"/>
        </w:rPr>
        <w:t xml:space="preserve">indices </w:t>
      </w:r>
      <w:r w:rsidR="002A3598" w:rsidRPr="002A3598">
        <w:rPr>
          <w:rFonts w:ascii="Times New Roman" w:hAnsi="Times New Roman" w:cs="Times New Roman"/>
          <w:kern w:val="0"/>
          <w:szCs w:val="21"/>
        </w:rPr>
        <w:t>with Bonferroni correction.</w:t>
      </w:r>
      <w:r w:rsidRPr="002A3598">
        <w:rPr>
          <w:rFonts w:ascii="Times New Roman" w:hAnsi="Times New Roman" w:cs="Times New Roman"/>
          <w:szCs w:val="21"/>
        </w:rPr>
        <w:t>*p</w:t>
      </w:r>
      <w:r w:rsidR="008A01EF">
        <w:rPr>
          <w:rFonts w:ascii="Times New Roman" w:hAnsi="Times New Roman" w:cs="Times New Roman"/>
          <w:szCs w:val="21"/>
        </w:rPr>
        <w:t xml:space="preserve"> </w:t>
      </w:r>
      <w:r w:rsidRPr="002A3598">
        <w:rPr>
          <w:rFonts w:ascii="Times New Roman" w:hAnsi="Times New Roman" w:cs="Times New Roman"/>
          <w:szCs w:val="21"/>
        </w:rPr>
        <w:t>&lt;</w:t>
      </w:r>
      <w:r w:rsidR="008A01EF">
        <w:rPr>
          <w:rFonts w:ascii="Times New Roman" w:hAnsi="Times New Roman" w:cs="Times New Roman"/>
          <w:szCs w:val="21"/>
        </w:rPr>
        <w:t xml:space="preserve"> </w:t>
      </w:r>
      <w:r w:rsidRPr="002A3598">
        <w:rPr>
          <w:rFonts w:ascii="Times New Roman" w:hAnsi="Times New Roman" w:cs="Times New Roman"/>
          <w:szCs w:val="21"/>
        </w:rPr>
        <w:t>0.05</w:t>
      </w:r>
    </w:p>
    <w:p w14:paraId="58D63787" w14:textId="77777777" w:rsidR="00DB4AB1" w:rsidRDefault="008C0E6F">
      <w:pPr>
        <w:widowControl/>
        <w:jc w:val="left"/>
      </w:pPr>
      <w:r>
        <w:br w:type="page"/>
      </w:r>
    </w:p>
    <w:p w14:paraId="2D1D258A" w14:textId="77777777" w:rsidR="0012030B" w:rsidRDefault="008C0E6F">
      <w:r>
        <w:rPr>
          <w:noProof/>
          <w:lang w:val="en-IN"/>
        </w:rPr>
        <w:lastRenderedPageBreak/>
        <w:drawing>
          <wp:inline distT="0" distB="0" distL="0" distR="0" wp14:anchorId="61FE0910" wp14:editId="69AE8BD8">
            <wp:extent cx="5389245" cy="3030855"/>
            <wp:effectExtent l="0" t="0" r="1905" b="0"/>
            <wp:docPr id="186981991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66418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245" cy="303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B69B8" w14:textId="24212CCC" w:rsidR="00851E61" w:rsidRDefault="008C0E6F" w:rsidP="00106488">
      <w:r w:rsidRPr="002A3598">
        <w:rPr>
          <w:rFonts w:ascii="Times New Roman" w:hAnsi="Times New Roman" w:cs="Times New Roman"/>
          <w:szCs w:val="21"/>
        </w:rPr>
        <w:t xml:space="preserve">Supplementary </w:t>
      </w:r>
      <w:r>
        <w:rPr>
          <w:rFonts w:ascii="Times New Roman" w:hAnsi="Times New Roman" w:cs="Times New Roman"/>
          <w:szCs w:val="21"/>
        </w:rPr>
        <w:t>Figure</w:t>
      </w:r>
      <w:r w:rsidRPr="002A3598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2</w:t>
      </w:r>
      <w:r w:rsidRPr="002A3598">
        <w:rPr>
          <w:rFonts w:ascii="Times New Roman" w:hAnsi="Times New Roman" w:cs="Times New Roman"/>
          <w:szCs w:val="21"/>
        </w:rPr>
        <w:t xml:space="preserve">. </w:t>
      </w:r>
      <w:r w:rsidRPr="00DB4AB1">
        <w:rPr>
          <w:rFonts w:ascii="Times New Roman" w:hAnsi="Times New Roman" w:cs="Times New Roman"/>
          <w:szCs w:val="21"/>
        </w:rPr>
        <w:t>Scatter plot with linear regression and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DB4AB1">
        <w:rPr>
          <w:rFonts w:ascii="Times New Roman" w:hAnsi="Times New Roman" w:cs="Times New Roman"/>
          <w:szCs w:val="21"/>
        </w:rPr>
        <w:t>95% confidence interval demonstrating the association between th</w:t>
      </w:r>
      <w:r>
        <w:rPr>
          <w:rFonts w:ascii="Times New Roman" w:hAnsi="Times New Roman" w:cs="Times New Roman" w:hint="eastAsia"/>
          <w:szCs w:val="21"/>
        </w:rPr>
        <w:t xml:space="preserve">e cerebral volume </w:t>
      </w:r>
      <w:r w:rsidRPr="00DB4AB1">
        <w:rPr>
          <w:rFonts w:ascii="Times New Roman" w:hAnsi="Times New Roman" w:cs="Times New Roman"/>
          <w:szCs w:val="21"/>
        </w:rPr>
        <w:t>(</w:t>
      </w:r>
      <w:r>
        <w:rPr>
          <w:rFonts w:ascii="Times New Roman" w:hAnsi="Times New Roman" w:cs="Times New Roman" w:hint="eastAsia"/>
          <w:b/>
          <w:bCs/>
          <w:szCs w:val="21"/>
        </w:rPr>
        <w:t>A</w:t>
      </w:r>
      <w:r w:rsidRPr="00DB4AB1">
        <w:rPr>
          <w:rFonts w:ascii="Times New Roman" w:hAnsi="Times New Roman" w:cs="Times New Roman"/>
          <w:szCs w:val="21"/>
        </w:rPr>
        <w:t xml:space="preserve">) and </w:t>
      </w:r>
      <w:r>
        <w:rPr>
          <w:rFonts w:ascii="Times New Roman" w:hAnsi="Times New Roman" w:cs="Times New Roman" w:hint="eastAsia"/>
          <w:szCs w:val="21"/>
        </w:rPr>
        <w:t xml:space="preserve">hippocampal </w:t>
      </w:r>
      <w:r>
        <w:rPr>
          <w:rFonts w:ascii="Times New Roman" w:hAnsi="Times New Roman" w:cs="Times New Roman"/>
          <w:szCs w:val="21"/>
        </w:rPr>
        <w:t>volume</w:t>
      </w:r>
      <w:r w:rsidRPr="00DB4AB1">
        <w:rPr>
          <w:rFonts w:ascii="Times New Roman" w:hAnsi="Times New Roman" w:cs="Times New Roman"/>
          <w:szCs w:val="21"/>
        </w:rPr>
        <w:t xml:space="preserve"> (</w:t>
      </w:r>
      <w:r>
        <w:rPr>
          <w:rFonts w:ascii="Times New Roman" w:hAnsi="Times New Roman" w:cs="Times New Roman" w:hint="eastAsia"/>
          <w:b/>
          <w:bCs/>
          <w:szCs w:val="21"/>
        </w:rPr>
        <w:t>B</w:t>
      </w:r>
      <w:r w:rsidRPr="00DB4AB1">
        <w:rPr>
          <w:rFonts w:ascii="Times New Roman" w:hAnsi="Times New Roman" w:cs="Times New Roman"/>
          <w:szCs w:val="21"/>
        </w:rPr>
        <w:t>)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BC53C5">
        <w:rPr>
          <w:rFonts w:ascii="Times New Roman" w:hAnsi="Times New Roman" w:cs="Times New Roman"/>
          <w:szCs w:val="21"/>
        </w:rPr>
        <w:t xml:space="preserve">ratio </w:t>
      </w:r>
      <w:r>
        <w:rPr>
          <w:rFonts w:ascii="Times New Roman" w:hAnsi="Times New Roman" w:cs="Times New Roman" w:hint="eastAsia"/>
          <w:szCs w:val="21"/>
        </w:rPr>
        <w:t xml:space="preserve">to the intracranial volume and age at the assessment in patients </w:t>
      </w:r>
      <w:r w:rsidR="00BC53C5">
        <w:rPr>
          <w:rFonts w:ascii="Times New Roman" w:hAnsi="Times New Roman" w:cs="Times New Roman"/>
          <w:szCs w:val="21"/>
        </w:rPr>
        <w:t xml:space="preserve">with </w:t>
      </w:r>
      <w:r w:rsidR="00BC53C5">
        <w:rPr>
          <w:rFonts w:ascii="Times New Roman" w:hAnsi="Times New Roman" w:cs="Times New Roman" w:hint="eastAsia"/>
          <w:szCs w:val="21"/>
        </w:rPr>
        <w:t xml:space="preserve">germinoma </w:t>
      </w:r>
      <w:r>
        <w:rPr>
          <w:rFonts w:ascii="Times New Roman" w:hAnsi="Times New Roman" w:cs="Times New Roman" w:hint="eastAsia"/>
          <w:szCs w:val="21"/>
        </w:rPr>
        <w:t>(blue) and healthy controls.</w:t>
      </w:r>
    </w:p>
    <w:sectPr w:rsidR="00851E6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TrinkaDocId" w:val="21c203c0-a15e-4413-b544-6e654f1fe529"/>
    <w:docVar w:name="UniqueDocId" w:val="21c203c0-a15e-4413-b544-6e654f1fe529"/>
  </w:docVars>
  <w:rsids>
    <w:rsidRoot w:val="0012030B"/>
    <w:rsid w:val="00074690"/>
    <w:rsid w:val="00106488"/>
    <w:rsid w:val="0012030B"/>
    <w:rsid w:val="001C11FE"/>
    <w:rsid w:val="00213C28"/>
    <w:rsid w:val="002A3598"/>
    <w:rsid w:val="00381EBE"/>
    <w:rsid w:val="003B546F"/>
    <w:rsid w:val="004372E4"/>
    <w:rsid w:val="008216AB"/>
    <w:rsid w:val="00851E61"/>
    <w:rsid w:val="008544E9"/>
    <w:rsid w:val="008A01EF"/>
    <w:rsid w:val="008C0E6F"/>
    <w:rsid w:val="00926F27"/>
    <w:rsid w:val="00A04522"/>
    <w:rsid w:val="00BC53C5"/>
    <w:rsid w:val="00C10127"/>
    <w:rsid w:val="00D46256"/>
    <w:rsid w:val="00DB4AB1"/>
    <w:rsid w:val="00EA5328"/>
    <w:rsid w:val="00F34A12"/>
    <w:rsid w:val="00F8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BDE8F76"/>
  <w15:chartTrackingRefBased/>
  <w15:docId w15:val="{AB134AD0-41FC-48B2-A559-507A97F5C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AB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2030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03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030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030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030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030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030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030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030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2030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2030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2030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203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203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203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203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203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2030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2030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203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030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2030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03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2030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030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2030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203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2030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2030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A359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A3598"/>
  </w:style>
  <w:style w:type="paragraph" w:styleId="ac">
    <w:name w:val="footer"/>
    <w:basedOn w:val="a"/>
    <w:link w:val="ad"/>
    <w:uiPriority w:val="99"/>
    <w:unhideWhenUsed/>
    <w:rsid w:val="002A359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A3598"/>
  </w:style>
  <w:style w:type="paragraph" w:styleId="ae">
    <w:name w:val="Revision"/>
    <w:hidden/>
    <w:uiPriority w:val="99"/>
    <w:semiHidden/>
    <w:rsid w:val="00F34A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</Pages>
  <Words>104</Words>
  <Characters>597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政之 金森</dc:creator>
  <cp:lastModifiedBy>政之 金森</cp:lastModifiedBy>
  <cp:revision>10</cp:revision>
  <dcterms:created xsi:type="dcterms:W3CDTF">2026-06-07T10:24:00Z</dcterms:created>
  <dcterms:modified xsi:type="dcterms:W3CDTF">2026-08-15T09:08:00Z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Prop">
    <vt:lpwstr>5cbef1ce7eef47279b5afd514d11e1b4</vt:lpwstr>
  </property>
  <property fmtid="{D5CDD505-2E9C-101B-9397-08002B2CF9AE}" pid="3" name="GrammarlyDocumentId">
    <vt:lpwstr>efc1f16e-975f-4921-97e0-d3de2db9b8a3</vt:lpwstr>
  </property>
  <property fmtid="{D5CDD505-2E9C-101B-9397-08002B2CF9AE}" pid="4" name="TrinkaCustomProp">
    <vt:lpwstr>3c9eb5c6491749ec930d70dd75265d1d</vt:lpwstr>
  </property>
  <property fmtid="{D5CDD505-2E9C-101B-9397-08002B2CF9AE}" pid="5" name="DotEnagoUniqueKey">
    <vt:lpwstr>|05131622e7a517e-9eca-4836-aaad-a1785845929001-fa3ca3bb</vt:lpwstr>
  </property>
</Properties>
</file>