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102C5">
      <w:pPr>
        <w:pStyle w:val="31"/>
        <w:spacing w:after="140"/>
      </w:pPr>
      <w:r>
        <w:t>Additional file 1</w:t>
      </w:r>
    </w:p>
    <w:p w14:paraId="6EB2FB9B">
      <w:pPr>
        <w:pStyle w:val="3"/>
        <w:spacing w:before="0"/>
      </w:pPr>
      <w:r>
        <w:t>Supplementary statistical methods and results</w:t>
      </w:r>
    </w:p>
    <w:p w14:paraId="1217E9BC">
      <w:pPr>
        <w:spacing w:after="160"/>
      </w:pPr>
      <w:r>
        <w:rPr>
          <w:i/>
          <w:sz w:val="22"/>
        </w:rPr>
        <w:t>Efficacy and Safety of Intranasal Dexmedetomidine Combined with Esketamine for Premedication in Children Undergoing Laser Treatment for Burn Scars: A Randomised Self-Controlled Crossover Trial</w:t>
      </w:r>
    </w:p>
    <w:p w14:paraId="230C439D">
      <w:pPr>
        <w:pStyle w:val="4"/>
      </w:pPr>
      <w:r>
        <w:t>Computational details</w:t>
      </w:r>
    </w:p>
    <w:p w14:paraId="7C8FF673">
      <w:r>
        <w:rPr>
          <w:sz w:val="22"/>
        </w:rPr>
        <w:t>Gaussian variance components were estimated by restricted maximum likelihood with non-negative variances. Random-effect components at a zero boundary were omitted from the equivalent covariance model. Pointwise 95% confidence intervals and tests used Satterthwaite-type degrees of freedom, with variance-component uncertainty estimated from the expected restricted Fisher information.</w:t>
      </w:r>
    </w:p>
    <w:p w14:paraId="68D81F34">
      <w:r>
        <w:rPr>
          <w:sz w:val="22"/>
        </w:rPr>
        <w:t>Cumulative-logit mixed models were fitted by maximum marginal likelihood with nested Gauss–Hermite quadrature. Reported ordinal results used 31 nodes per random-effect dimension. Core models were checked at 21 and 51 nodes; Hessians were positive definite and the reported treatment contrasts were numerically stable. Gaussian core-model coefficients and likelihoods were cross-checked against statsmodels 0.14.6, with maximum absolute fixed-effect differences below 0.000001. Unadjusted continuous session-level contrasts were also checked against paired-difference regression.</w:t>
      </w:r>
    </w:p>
    <w:p w14:paraId="46517C37">
      <w:r>
        <w:rPr>
          <w:sz w:val="22"/>
        </w:rPr>
        <w:t>Inter-session interval deviation was coded as zero in period 1 and as the actual interval minus the overall mean interval in period 2. Linear calendar time was expressed in 30-day units. These variables were added in separate sensitivity models, not simultaneously. Sequence groups entered during different calendar windows, so linear date adjustment was not interpreted as complete control of calendar-related differences.</w:t>
      </w:r>
    </w:p>
    <w:p w14:paraId="1B74F8A5">
      <w:r>
        <w:t>The nine-comparison primary-outcome family comprises five post-dose RSS contrasts, time to first RSS ≥3, PSAS, MAS and PAED; Holm adjustment covers this family. The five-comparison paired-rank sensitivity family in Table S4 is separate. Except where Holm adjustment is explicitly indicated, P values are not adjusted for multiple comparisons. All confidence intervals are pointwise and not adjusted for multiplicity. Other analyses provide supporting evidence for interpretation. Table S5 presents observed RSS category counts, not model-derived probabilities. Tables S6a–S6c reproduce the outcome definitions and scoring descriptions supplied by the investigators; they do not add statistical tests.</w:t>
      </w:r>
    </w:p>
    <w:p w14:paraId="19D4C02B">
      <w:pPr>
        <w:pStyle w:val="3"/>
        <w:pageBreakBefore/>
        <w:spacing w:before="0"/>
      </w:pPr>
      <w:r>
        <w:t>Table S1. Repeated physiological outcomes and baseline-adjusted treatment effects</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35" w:type="dxa"/>
          <w:left w:w="70" w:type="dxa"/>
          <w:bottom w:w="35" w:type="dxa"/>
          <w:right w:w="70" w:type="dxa"/>
        </w:tblCellMar>
      </w:tblPr>
      <w:tblGrid>
        <w:gridCol w:w="2016"/>
        <w:gridCol w:w="792"/>
        <w:gridCol w:w="2347"/>
        <w:gridCol w:w="2347"/>
        <w:gridCol w:w="4075"/>
        <w:gridCol w:w="1238"/>
      </w:tblGrid>
      <w:tr w14:paraId="4CCDD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tblHeader/>
          <w:jc w:val="center"/>
        </w:trPr>
        <w:tc>
          <w:tcPr>
            <w:tcW w:w="2016" w:type="dxa"/>
            <w:tcBorders>
              <w:top w:val="single" w:color="000000" w:sz="10" w:space="0"/>
              <w:bottom w:val="single" w:color="000000" w:sz="6" w:space="0"/>
            </w:tcBorders>
            <w:vAlign w:val="center"/>
          </w:tcPr>
          <w:p w14:paraId="13EA6A02">
            <w:pPr>
              <w:pStyle w:val="165"/>
              <w:jc w:val="left"/>
            </w:pPr>
            <w:r>
              <w:rPr>
                <w:b/>
                <w:sz w:val="20"/>
              </w:rPr>
              <w:t>Outcome</w:t>
            </w:r>
          </w:p>
        </w:tc>
        <w:tc>
          <w:tcPr>
            <w:tcW w:w="792" w:type="dxa"/>
            <w:tcBorders>
              <w:top w:val="single" w:color="000000" w:sz="10" w:space="0"/>
              <w:bottom w:val="single" w:color="000000" w:sz="6" w:space="0"/>
            </w:tcBorders>
            <w:vAlign w:val="center"/>
          </w:tcPr>
          <w:p w14:paraId="6D28BC7D">
            <w:pPr>
              <w:pStyle w:val="165"/>
              <w:jc w:val="center"/>
            </w:pPr>
            <w:r>
              <w:rPr>
                <w:b/>
                <w:sz w:val="20"/>
              </w:rPr>
              <w:t>Time</w:t>
            </w:r>
          </w:p>
        </w:tc>
        <w:tc>
          <w:tcPr>
            <w:tcW w:w="2347" w:type="dxa"/>
            <w:tcBorders>
              <w:top w:val="single" w:color="000000" w:sz="10" w:space="0"/>
              <w:bottom w:val="single" w:color="000000" w:sz="6" w:space="0"/>
            </w:tcBorders>
            <w:vAlign w:val="center"/>
          </w:tcPr>
          <w:p w14:paraId="32C63EC2">
            <w:pPr>
              <w:pStyle w:val="165"/>
              <w:jc w:val="center"/>
            </w:pPr>
            <w:r>
              <w:rPr>
                <w:b/>
                <w:sz w:val="20"/>
              </w:rPr>
              <w:t>R: mean± SD</w:t>
            </w:r>
          </w:p>
        </w:tc>
        <w:tc>
          <w:tcPr>
            <w:tcW w:w="2347" w:type="dxa"/>
            <w:tcBorders>
              <w:top w:val="single" w:color="000000" w:sz="10" w:space="0"/>
              <w:bottom w:val="single" w:color="000000" w:sz="6" w:space="0"/>
            </w:tcBorders>
            <w:vAlign w:val="center"/>
          </w:tcPr>
          <w:p w14:paraId="4E991A8F">
            <w:pPr>
              <w:pStyle w:val="165"/>
              <w:jc w:val="center"/>
            </w:pPr>
            <w:r>
              <w:rPr>
                <w:b/>
                <w:sz w:val="20"/>
              </w:rPr>
              <w:t>C: mean± SD</w:t>
            </w:r>
          </w:p>
        </w:tc>
        <w:tc>
          <w:tcPr>
            <w:tcW w:w="4075" w:type="dxa"/>
            <w:tcBorders>
              <w:top w:val="single" w:color="000000" w:sz="10" w:space="0"/>
              <w:bottom w:val="single" w:color="000000" w:sz="6" w:space="0"/>
            </w:tcBorders>
            <w:vAlign w:val="center"/>
          </w:tcPr>
          <w:p w14:paraId="7462547B">
            <w:pPr>
              <w:pStyle w:val="165"/>
              <w:jc w:val="center"/>
            </w:pPr>
            <w:r>
              <w:rPr>
                <w:b/>
                <w:sz w:val="20"/>
              </w:rPr>
              <w:t>Adjusted R−C (95% CI)</w:t>
            </w:r>
          </w:p>
        </w:tc>
        <w:tc>
          <w:tcPr>
            <w:tcW w:w="1238" w:type="dxa"/>
            <w:tcBorders>
              <w:top w:val="single" w:color="000000" w:sz="10" w:space="0"/>
              <w:bottom w:val="single" w:color="000000" w:sz="6" w:space="0"/>
            </w:tcBorders>
            <w:vAlign w:val="center"/>
          </w:tcPr>
          <w:p w14:paraId="12E617D5">
            <w:pPr>
              <w:pStyle w:val="165"/>
              <w:jc w:val="center"/>
            </w:pPr>
            <w:r>
              <w:rPr>
                <w:b/>
                <w:sz w:val="20"/>
              </w:rPr>
              <w:t>P</w:t>
            </w:r>
          </w:p>
        </w:tc>
      </w:tr>
      <w:tr w14:paraId="5A999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vAlign w:val="center"/>
          </w:tcPr>
          <w:p w14:paraId="521F4107">
            <w:pPr>
              <w:pStyle w:val="165"/>
              <w:jc w:val="left"/>
            </w:pPr>
            <w:r>
              <w:rPr>
                <w:b w:val="0"/>
                <w:sz w:val="20"/>
              </w:rPr>
              <w:t>MAP (mmHg)</w:t>
            </w:r>
          </w:p>
        </w:tc>
        <w:tc>
          <w:tcPr>
            <w:tcW w:w="792" w:type="dxa"/>
            <w:vAlign w:val="center"/>
          </w:tcPr>
          <w:p w14:paraId="03AFB15C">
            <w:pPr>
              <w:pStyle w:val="165"/>
              <w:jc w:val="center"/>
            </w:pPr>
            <w:r>
              <w:rPr>
                <w:b w:val="0"/>
                <w:sz w:val="20"/>
              </w:rPr>
              <w:t>T1</w:t>
            </w:r>
          </w:p>
        </w:tc>
        <w:tc>
          <w:tcPr>
            <w:tcW w:w="2347" w:type="dxa"/>
            <w:vAlign w:val="center"/>
          </w:tcPr>
          <w:p w14:paraId="4AB11E28">
            <w:pPr>
              <w:pStyle w:val="165"/>
              <w:jc w:val="center"/>
            </w:pPr>
            <w:r>
              <w:rPr>
                <w:b w:val="0"/>
                <w:sz w:val="20"/>
              </w:rPr>
              <w:t>74.88 ± 4.65</w:t>
            </w:r>
          </w:p>
        </w:tc>
        <w:tc>
          <w:tcPr>
            <w:tcW w:w="2347" w:type="dxa"/>
            <w:vAlign w:val="center"/>
          </w:tcPr>
          <w:p w14:paraId="7F56EA9F">
            <w:pPr>
              <w:pStyle w:val="165"/>
              <w:jc w:val="center"/>
            </w:pPr>
            <w:r>
              <w:rPr>
                <w:b w:val="0"/>
                <w:sz w:val="20"/>
              </w:rPr>
              <w:t>79.88 ± 4.87</w:t>
            </w:r>
          </w:p>
        </w:tc>
        <w:tc>
          <w:tcPr>
            <w:tcW w:w="4075" w:type="dxa"/>
            <w:vAlign w:val="center"/>
          </w:tcPr>
          <w:p w14:paraId="08114D83">
            <w:pPr>
              <w:pStyle w:val="165"/>
              <w:jc w:val="center"/>
            </w:pPr>
            <w:r>
              <w:rPr>
                <w:b w:val="0"/>
                <w:sz w:val="20"/>
              </w:rPr>
              <w:t>−5.95 (−7.95 to −3.94)</w:t>
            </w:r>
          </w:p>
        </w:tc>
        <w:tc>
          <w:tcPr>
            <w:tcW w:w="1238" w:type="dxa"/>
            <w:vAlign w:val="center"/>
          </w:tcPr>
          <w:p w14:paraId="6E790683">
            <w:pPr>
              <w:pStyle w:val="165"/>
              <w:jc w:val="center"/>
            </w:pPr>
            <w:r>
              <w:rPr>
                <w:b w:val="0"/>
                <w:sz w:val="20"/>
              </w:rPr>
              <w:t>&lt;0.001</w:t>
            </w:r>
          </w:p>
        </w:tc>
      </w:tr>
      <w:tr w14:paraId="20191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vAlign w:val="center"/>
          </w:tcPr>
          <w:p w14:paraId="108B74CB">
            <w:pPr>
              <w:pStyle w:val="165"/>
              <w:jc w:val="left"/>
            </w:pPr>
          </w:p>
        </w:tc>
        <w:tc>
          <w:tcPr>
            <w:tcW w:w="792" w:type="dxa"/>
            <w:vAlign w:val="center"/>
          </w:tcPr>
          <w:p w14:paraId="2223E03F">
            <w:pPr>
              <w:pStyle w:val="165"/>
              <w:jc w:val="center"/>
            </w:pPr>
            <w:r>
              <w:rPr>
                <w:b w:val="0"/>
                <w:sz w:val="20"/>
              </w:rPr>
              <w:t>T2</w:t>
            </w:r>
          </w:p>
        </w:tc>
        <w:tc>
          <w:tcPr>
            <w:tcW w:w="2347" w:type="dxa"/>
            <w:vAlign w:val="center"/>
          </w:tcPr>
          <w:p w14:paraId="0A733E88">
            <w:pPr>
              <w:pStyle w:val="165"/>
              <w:jc w:val="center"/>
            </w:pPr>
            <w:r>
              <w:rPr>
                <w:b w:val="0"/>
                <w:sz w:val="20"/>
              </w:rPr>
              <w:t>74.38 ± 5.33</w:t>
            </w:r>
          </w:p>
        </w:tc>
        <w:tc>
          <w:tcPr>
            <w:tcW w:w="2347" w:type="dxa"/>
            <w:vAlign w:val="center"/>
          </w:tcPr>
          <w:p w14:paraId="6B846026">
            <w:pPr>
              <w:pStyle w:val="165"/>
              <w:jc w:val="center"/>
            </w:pPr>
            <w:r>
              <w:rPr>
                <w:b w:val="0"/>
                <w:sz w:val="20"/>
              </w:rPr>
              <w:t>80.50 ± 5.16</w:t>
            </w:r>
          </w:p>
        </w:tc>
        <w:tc>
          <w:tcPr>
            <w:tcW w:w="4075" w:type="dxa"/>
            <w:vAlign w:val="center"/>
          </w:tcPr>
          <w:p w14:paraId="26FABEAF">
            <w:pPr>
              <w:pStyle w:val="165"/>
              <w:jc w:val="center"/>
            </w:pPr>
            <w:r>
              <w:rPr>
                <w:b w:val="0"/>
                <w:sz w:val="20"/>
              </w:rPr>
              <w:t>−7.07 (−9.08 to −5.07)</w:t>
            </w:r>
          </w:p>
        </w:tc>
        <w:tc>
          <w:tcPr>
            <w:tcW w:w="1238" w:type="dxa"/>
            <w:vAlign w:val="center"/>
          </w:tcPr>
          <w:p w14:paraId="3EB96102">
            <w:pPr>
              <w:pStyle w:val="165"/>
              <w:jc w:val="center"/>
            </w:pPr>
            <w:r>
              <w:rPr>
                <w:b w:val="0"/>
                <w:sz w:val="20"/>
              </w:rPr>
              <w:t>&lt;0.001</w:t>
            </w:r>
          </w:p>
        </w:tc>
      </w:tr>
      <w:tr w14:paraId="7D3DD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vAlign w:val="center"/>
          </w:tcPr>
          <w:p w14:paraId="5C99772C">
            <w:pPr>
              <w:pStyle w:val="165"/>
              <w:jc w:val="left"/>
            </w:pPr>
          </w:p>
        </w:tc>
        <w:tc>
          <w:tcPr>
            <w:tcW w:w="792" w:type="dxa"/>
            <w:vAlign w:val="center"/>
          </w:tcPr>
          <w:p w14:paraId="762C8481">
            <w:pPr>
              <w:pStyle w:val="165"/>
              <w:jc w:val="center"/>
            </w:pPr>
            <w:r>
              <w:rPr>
                <w:b w:val="0"/>
                <w:sz w:val="20"/>
              </w:rPr>
              <w:t>T3</w:t>
            </w:r>
          </w:p>
        </w:tc>
        <w:tc>
          <w:tcPr>
            <w:tcW w:w="2347" w:type="dxa"/>
            <w:vAlign w:val="center"/>
          </w:tcPr>
          <w:p w14:paraId="78BA25DF">
            <w:pPr>
              <w:pStyle w:val="165"/>
              <w:jc w:val="center"/>
            </w:pPr>
            <w:r>
              <w:rPr>
                <w:b w:val="0"/>
                <w:sz w:val="20"/>
              </w:rPr>
              <w:t>74.25 ± 5.31</w:t>
            </w:r>
          </w:p>
        </w:tc>
        <w:tc>
          <w:tcPr>
            <w:tcW w:w="2347" w:type="dxa"/>
            <w:vAlign w:val="center"/>
          </w:tcPr>
          <w:p w14:paraId="56818514">
            <w:pPr>
              <w:pStyle w:val="165"/>
              <w:jc w:val="center"/>
            </w:pPr>
            <w:r>
              <w:rPr>
                <w:b w:val="0"/>
                <w:sz w:val="20"/>
              </w:rPr>
              <w:t>81.42 ± 5.78</w:t>
            </w:r>
          </w:p>
        </w:tc>
        <w:tc>
          <w:tcPr>
            <w:tcW w:w="4075" w:type="dxa"/>
            <w:vAlign w:val="center"/>
          </w:tcPr>
          <w:p w14:paraId="05DA2C7E">
            <w:pPr>
              <w:pStyle w:val="165"/>
              <w:jc w:val="center"/>
            </w:pPr>
            <w:r>
              <w:rPr>
                <w:b w:val="0"/>
                <w:sz w:val="20"/>
              </w:rPr>
              <w:t>−8.12 (−10.12 to −6.11)</w:t>
            </w:r>
          </w:p>
        </w:tc>
        <w:tc>
          <w:tcPr>
            <w:tcW w:w="1238" w:type="dxa"/>
            <w:vAlign w:val="center"/>
          </w:tcPr>
          <w:p w14:paraId="1E00BD31">
            <w:pPr>
              <w:pStyle w:val="165"/>
              <w:jc w:val="center"/>
            </w:pPr>
            <w:r>
              <w:rPr>
                <w:b w:val="0"/>
                <w:sz w:val="20"/>
              </w:rPr>
              <w:t>&lt;0.001</w:t>
            </w:r>
          </w:p>
        </w:tc>
      </w:tr>
      <w:tr w14:paraId="53024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vAlign w:val="center"/>
          </w:tcPr>
          <w:p w14:paraId="263D3721">
            <w:pPr>
              <w:pStyle w:val="165"/>
              <w:jc w:val="left"/>
            </w:pPr>
          </w:p>
        </w:tc>
        <w:tc>
          <w:tcPr>
            <w:tcW w:w="792" w:type="dxa"/>
            <w:vAlign w:val="center"/>
          </w:tcPr>
          <w:p w14:paraId="250A8B46">
            <w:pPr>
              <w:pStyle w:val="165"/>
              <w:jc w:val="center"/>
            </w:pPr>
            <w:r>
              <w:rPr>
                <w:b w:val="0"/>
                <w:sz w:val="20"/>
              </w:rPr>
              <w:t>T4</w:t>
            </w:r>
          </w:p>
        </w:tc>
        <w:tc>
          <w:tcPr>
            <w:tcW w:w="2347" w:type="dxa"/>
            <w:vAlign w:val="center"/>
          </w:tcPr>
          <w:p w14:paraId="48963512">
            <w:pPr>
              <w:pStyle w:val="165"/>
              <w:jc w:val="center"/>
            </w:pPr>
            <w:r>
              <w:rPr>
                <w:b w:val="0"/>
                <w:sz w:val="20"/>
              </w:rPr>
              <w:t>72.33 ± 5.84</w:t>
            </w:r>
          </w:p>
        </w:tc>
        <w:tc>
          <w:tcPr>
            <w:tcW w:w="2347" w:type="dxa"/>
            <w:vAlign w:val="center"/>
          </w:tcPr>
          <w:p w14:paraId="7BE30C8D">
            <w:pPr>
              <w:pStyle w:val="165"/>
              <w:jc w:val="center"/>
            </w:pPr>
            <w:r>
              <w:rPr>
                <w:b w:val="0"/>
                <w:sz w:val="20"/>
              </w:rPr>
              <w:t>81.50 ± 6.98</w:t>
            </w:r>
          </w:p>
        </w:tc>
        <w:tc>
          <w:tcPr>
            <w:tcW w:w="4075" w:type="dxa"/>
            <w:vAlign w:val="center"/>
          </w:tcPr>
          <w:p w14:paraId="4C1A3689">
            <w:pPr>
              <w:pStyle w:val="165"/>
              <w:jc w:val="center"/>
            </w:pPr>
            <w:r>
              <w:rPr>
                <w:b w:val="0"/>
                <w:sz w:val="20"/>
              </w:rPr>
              <w:t>−10.12 (−12.12 to −8.11)</w:t>
            </w:r>
          </w:p>
        </w:tc>
        <w:tc>
          <w:tcPr>
            <w:tcW w:w="1238" w:type="dxa"/>
            <w:vAlign w:val="center"/>
          </w:tcPr>
          <w:p w14:paraId="331592AA">
            <w:pPr>
              <w:pStyle w:val="165"/>
              <w:jc w:val="center"/>
            </w:pPr>
            <w:r>
              <w:rPr>
                <w:b w:val="0"/>
                <w:sz w:val="20"/>
              </w:rPr>
              <w:t>&lt;0.001</w:t>
            </w:r>
          </w:p>
        </w:tc>
      </w:tr>
      <w:tr w14:paraId="40441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vAlign w:val="center"/>
          </w:tcPr>
          <w:p w14:paraId="52B5D091">
            <w:pPr>
              <w:pStyle w:val="165"/>
              <w:jc w:val="left"/>
            </w:pPr>
          </w:p>
        </w:tc>
        <w:tc>
          <w:tcPr>
            <w:tcW w:w="792" w:type="dxa"/>
            <w:vAlign w:val="center"/>
          </w:tcPr>
          <w:p w14:paraId="52A3BE80">
            <w:pPr>
              <w:pStyle w:val="165"/>
              <w:jc w:val="center"/>
            </w:pPr>
            <w:r>
              <w:rPr>
                <w:b w:val="0"/>
                <w:sz w:val="20"/>
              </w:rPr>
              <w:t>T5</w:t>
            </w:r>
          </w:p>
        </w:tc>
        <w:tc>
          <w:tcPr>
            <w:tcW w:w="2347" w:type="dxa"/>
            <w:vAlign w:val="center"/>
          </w:tcPr>
          <w:p w14:paraId="7FC2F109">
            <w:pPr>
              <w:pStyle w:val="165"/>
              <w:jc w:val="center"/>
            </w:pPr>
            <w:r>
              <w:rPr>
                <w:b w:val="0"/>
                <w:sz w:val="20"/>
              </w:rPr>
              <w:t>79.21 ± 6.36</w:t>
            </w:r>
          </w:p>
        </w:tc>
        <w:tc>
          <w:tcPr>
            <w:tcW w:w="2347" w:type="dxa"/>
            <w:vAlign w:val="center"/>
          </w:tcPr>
          <w:p w14:paraId="11E48AEC">
            <w:pPr>
              <w:pStyle w:val="165"/>
              <w:jc w:val="center"/>
            </w:pPr>
            <w:r>
              <w:rPr>
                <w:b w:val="0"/>
                <w:sz w:val="20"/>
              </w:rPr>
              <w:t>87.88 ± 5.00</w:t>
            </w:r>
          </w:p>
        </w:tc>
        <w:tc>
          <w:tcPr>
            <w:tcW w:w="4075" w:type="dxa"/>
            <w:vAlign w:val="center"/>
          </w:tcPr>
          <w:p w14:paraId="19ACE95A">
            <w:pPr>
              <w:pStyle w:val="165"/>
              <w:jc w:val="center"/>
            </w:pPr>
            <w:r>
              <w:rPr>
                <w:b w:val="0"/>
                <w:sz w:val="20"/>
              </w:rPr>
              <w:t>−9.62 (−11.62 to −7.61)</w:t>
            </w:r>
          </w:p>
        </w:tc>
        <w:tc>
          <w:tcPr>
            <w:tcW w:w="1238" w:type="dxa"/>
            <w:vAlign w:val="center"/>
          </w:tcPr>
          <w:p w14:paraId="11A475E3">
            <w:pPr>
              <w:pStyle w:val="165"/>
              <w:jc w:val="center"/>
            </w:pPr>
            <w:r>
              <w:rPr>
                <w:b w:val="0"/>
                <w:sz w:val="20"/>
              </w:rPr>
              <w:t>&lt;0.001</w:t>
            </w:r>
          </w:p>
        </w:tc>
      </w:tr>
      <w:tr w14:paraId="52796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tcBorders>
              <w:top w:val="single" w:color="000000" w:sz="4" w:space="0"/>
            </w:tcBorders>
            <w:vAlign w:val="center"/>
          </w:tcPr>
          <w:p w14:paraId="377124E5">
            <w:pPr>
              <w:pStyle w:val="165"/>
              <w:jc w:val="left"/>
            </w:pPr>
            <w:r>
              <w:rPr>
                <w:b w:val="0"/>
                <w:sz w:val="20"/>
              </w:rPr>
              <w:t>HR (beats/min)</w:t>
            </w:r>
          </w:p>
        </w:tc>
        <w:tc>
          <w:tcPr>
            <w:tcW w:w="792" w:type="dxa"/>
            <w:tcBorders>
              <w:top w:val="single" w:color="000000" w:sz="4" w:space="0"/>
            </w:tcBorders>
            <w:vAlign w:val="center"/>
          </w:tcPr>
          <w:p w14:paraId="4EDEF058">
            <w:pPr>
              <w:pStyle w:val="165"/>
              <w:jc w:val="center"/>
            </w:pPr>
            <w:r>
              <w:rPr>
                <w:b w:val="0"/>
                <w:sz w:val="20"/>
              </w:rPr>
              <w:t>T1</w:t>
            </w:r>
          </w:p>
        </w:tc>
        <w:tc>
          <w:tcPr>
            <w:tcW w:w="2347" w:type="dxa"/>
            <w:tcBorders>
              <w:top w:val="single" w:color="000000" w:sz="4" w:space="0"/>
            </w:tcBorders>
            <w:vAlign w:val="center"/>
          </w:tcPr>
          <w:p w14:paraId="5D33EE09">
            <w:pPr>
              <w:pStyle w:val="165"/>
              <w:jc w:val="center"/>
            </w:pPr>
            <w:r>
              <w:rPr>
                <w:b w:val="0"/>
                <w:sz w:val="20"/>
              </w:rPr>
              <w:t>105.46 ± 4.35</w:t>
            </w:r>
          </w:p>
        </w:tc>
        <w:tc>
          <w:tcPr>
            <w:tcW w:w="2347" w:type="dxa"/>
            <w:tcBorders>
              <w:top w:val="single" w:color="000000" w:sz="4" w:space="0"/>
            </w:tcBorders>
            <w:vAlign w:val="center"/>
          </w:tcPr>
          <w:p w14:paraId="22BA0CDA">
            <w:pPr>
              <w:pStyle w:val="165"/>
              <w:jc w:val="center"/>
            </w:pPr>
            <w:r>
              <w:rPr>
                <w:b w:val="0"/>
                <w:sz w:val="20"/>
              </w:rPr>
              <w:t>116.92 ± 4.25</w:t>
            </w:r>
          </w:p>
        </w:tc>
        <w:tc>
          <w:tcPr>
            <w:tcW w:w="4075" w:type="dxa"/>
            <w:tcBorders>
              <w:top w:val="single" w:color="000000" w:sz="4" w:space="0"/>
            </w:tcBorders>
            <w:vAlign w:val="center"/>
          </w:tcPr>
          <w:p w14:paraId="6EFF6706">
            <w:pPr>
              <w:pStyle w:val="165"/>
              <w:jc w:val="center"/>
            </w:pPr>
            <w:r>
              <w:rPr>
                <w:b w:val="0"/>
                <w:sz w:val="20"/>
              </w:rPr>
              <w:t>−11.38 (−12.80 to −9.96)</w:t>
            </w:r>
          </w:p>
        </w:tc>
        <w:tc>
          <w:tcPr>
            <w:tcW w:w="1238" w:type="dxa"/>
            <w:tcBorders>
              <w:top w:val="single" w:color="000000" w:sz="4" w:space="0"/>
            </w:tcBorders>
            <w:vAlign w:val="center"/>
          </w:tcPr>
          <w:p w14:paraId="34D73903">
            <w:pPr>
              <w:pStyle w:val="165"/>
              <w:jc w:val="center"/>
            </w:pPr>
            <w:r>
              <w:rPr>
                <w:b w:val="0"/>
                <w:sz w:val="20"/>
              </w:rPr>
              <w:t>&lt;0.001</w:t>
            </w:r>
          </w:p>
        </w:tc>
      </w:tr>
      <w:tr w14:paraId="025B0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vAlign w:val="center"/>
          </w:tcPr>
          <w:p w14:paraId="49B8A78B">
            <w:pPr>
              <w:pStyle w:val="165"/>
              <w:jc w:val="left"/>
            </w:pPr>
          </w:p>
        </w:tc>
        <w:tc>
          <w:tcPr>
            <w:tcW w:w="792" w:type="dxa"/>
            <w:vAlign w:val="center"/>
          </w:tcPr>
          <w:p w14:paraId="3EFE512D">
            <w:pPr>
              <w:pStyle w:val="165"/>
              <w:jc w:val="center"/>
            </w:pPr>
            <w:r>
              <w:rPr>
                <w:b w:val="0"/>
                <w:sz w:val="20"/>
              </w:rPr>
              <w:t>T2</w:t>
            </w:r>
          </w:p>
        </w:tc>
        <w:tc>
          <w:tcPr>
            <w:tcW w:w="2347" w:type="dxa"/>
            <w:vAlign w:val="center"/>
          </w:tcPr>
          <w:p w14:paraId="071E445A">
            <w:pPr>
              <w:pStyle w:val="165"/>
              <w:jc w:val="center"/>
            </w:pPr>
            <w:r>
              <w:rPr>
                <w:b w:val="0"/>
                <w:sz w:val="20"/>
              </w:rPr>
              <w:t>101.62 ± 3.41</w:t>
            </w:r>
          </w:p>
        </w:tc>
        <w:tc>
          <w:tcPr>
            <w:tcW w:w="2347" w:type="dxa"/>
            <w:vAlign w:val="center"/>
          </w:tcPr>
          <w:p w14:paraId="562B70E1">
            <w:pPr>
              <w:pStyle w:val="165"/>
              <w:jc w:val="center"/>
            </w:pPr>
            <w:r>
              <w:rPr>
                <w:b w:val="0"/>
                <w:sz w:val="20"/>
              </w:rPr>
              <w:t>119.75 ± 4.22</w:t>
            </w:r>
          </w:p>
        </w:tc>
        <w:tc>
          <w:tcPr>
            <w:tcW w:w="4075" w:type="dxa"/>
            <w:vAlign w:val="center"/>
          </w:tcPr>
          <w:p w14:paraId="4190EC71">
            <w:pPr>
              <w:pStyle w:val="165"/>
              <w:jc w:val="center"/>
            </w:pPr>
            <w:r>
              <w:rPr>
                <w:b w:val="0"/>
                <w:sz w:val="20"/>
              </w:rPr>
              <w:t>−18.05 (−19.46 to −16.63)</w:t>
            </w:r>
          </w:p>
        </w:tc>
        <w:tc>
          <w:tcPr>
            <w:tcW w:w="1238" w:type="dxa"/>
            <w:vAlign w:val="center"/>
          </w:tcPr>
          <w:p w14:paraId="702F28F6">
            <w:pPr>
              <w:pStyle w:val="165"/>
              <w:jc w:val="center"/>
            </w:pPr>
            <w:r>
              <w:rPr>
                <w:b w:val="0"/>
                <w:sz w:val="20"/>
              </w:rPr>
              <w:t>&lt;0.001</w:t>
            </w:r>
          </w:p>
        </w:tc>
      </w:tr>
      <w:tr w14:paraId="0329D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vAlign w:val="center"/>
          </w:tcPr>
          <w:p w14:paraId="42FBAA59">
            <w:pPr>
              <w:pStyle w:val="165"/>
              <w:jc w:val="left"/>
            </w:pPr>
          </w:p>
        </w:tc>
        <w:tc>
          <w:tcPr>
            <w:tcW w:w="792" w:type="dxa"/>
            <w:vAlign w:val="center"/>
          </w:tcPr>
          <w:p w14:paraId="5B48D516">
            <w:pPr>
              <w:pStyle w:val="165"/>
              <w:jc w:val="center"/>
            </w:pPr>
            <w:r>
              <w:rPr>
                <w:b w:val="0"/>
                <w:sz w:val="20"/>
              </w:rPr>
              <w:t>T3</w:t>
            </w:r>
          </w:p>
        </w:tc>
        <w:tc>
          <w:tcPr>
            <w:tcW w:w="2347" w:type="dxa"/>
            <w:vAlign w:val="center"/>
          </w:tcPr>
          <w:p w14:paraId="751BB2B7">
            <w:pPr>
              <w:pStyle w:val="165"/>
              <w:jc w:val="center"/>
            </w:pPr>
            <w:r>
              <w:rPr>
                <w:b w:val="0"/>
                <w:sz w:val="20"/>
              </w:rPr>
              <w:t>98.38 ± 3.68</w:t>
            </w:r>
          </w:p>
        </w:tc>
        <w:tc>
          <w:tcPr>
            <w:tcW w:w="2347" w:type="dxa"/>
            <w:vAlign w:val="center"/>
          </w:tcPr>
          <w:p w14:paraId="06CB966C">
            <w:pPr>
              <w:pStyle w:val="165"/>
              <w:jc w:val="center"/>
            </w:pPr>
            <w:r>
              <w:rPr>
                <w:b w:val="0"/>
                <w:sz w:val="20"/>
              </w:rPr>
              <w:t>115.54 ± 4.03</w:t>
            </w:r>
          </w:p>
        </w:tc>
        <w:tc>
          <w:tcPr>
            <w:tcW w:w="4075" w:type="dxa"/>
            <w:vAlign w:val="center"/>
          </w:tcPr>
          <w:p w14:paraId="1CAB1AB9">
            <w:pPr>
              <w:pStyle w:val="165"/>
              <w:jc w:val="center"/>
            </w:pPr>
            <w:r>
              <w:rPr>
                <w:b w:val="0"/>
                <w:sz w:val="20"/>
              </w:rPr>
              <w:t>−17.09 (−18.51 to −15.67)</w:t>
            </w:r>
          </w:p>
        </w:tc>
        <w:tc>
          <w:tcPr>
            <w:tcW w:w="1238" w:type="dxa"/>
            <w:vAlign w:val="center"/>
          </w:tcPr>
          <w:p w14:paraId="438FE4AC">
            <w:pPr>
              <w:pStyle w:val="165"/>
              <w:jc w:val="center"/>
            </w:pPr>
            <w:r>
              <w:rPr>
                <w:b w:val="0"/>
                <w:sz w:val="20"/>
              </w:rPr>
              <w:t>&lt;0.001</w:t>
            </w:r>
          </w:p>
        </w:tc>
      </w:tr>
      <w:tr w14:paraId="35327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vAlign w:val="center"/>
          </w:tcPr>
          <w:p w14:paraId="773F7330">
            <w:pPr>
              <w:pStyle w:val="165"/>
              <w:jc w:val="left"/>
            </w:pPr>
          </w:p>
        </w:tc>
        <w:tc>
          <w:tcPr>
            <w:tcW w:w="792" w:type="dxa"/>
            <w:vAlign w:val="center"/>
          </w:tcPr>
          <w:p w14:paraId="21BE2CF3">
            <w:pPr>
              <w:pStyle w:val="165"/>
              <w:jc w:val="center"/>
            </w:pPr>
            <w:r>
              <w:rPr>
                <w:b w:val="0"/>
                <w:sz w:val="20"/>
              </w:rPr>
              <w:t>T4</w:t>
            </w:r>
          </w:p>
        </w:tc>
        <w:tc>
          <w:tcPr>
            <w:tcW w:w="2347" w:type="dxa"/>
            <w:vAlign w:val="center"/>
          </w:tcPr>
          <w:p w14:paraId="5AB61EE0">
            <w:pPr>
              <w:pStyle w:val="165"/>
              <w:jc w:val="center"/>
            </w:pPr>
            <w:r>
              <w:rPr>
                <w:b w:val="0"/>
                <w:sz w:val="20"/>
              </w:rPr>
              <w:t>94.58 ± 3.41</w:t>
            </w:r>
          </w:p>
        </w:tc>
        <w:tc>
          <w:tcPr>
            <w:tcW w:w="2347" w:type="dxa"/>
            <w:vAlign w:val="center"/>
          </w:tcPr>
          <w:p w14:paraId="6ED26CA4">
            <w:pPr>
              <w:pStyle w:val="165"/>
              <w:jc w:val="center"/>
            </w:pPr>
            <w:r>
              <w:rPr>
                <w:b w:val="0"/>
                <w:sz w:val="20"/>
              </w:rPr>
              <w:t>111.88 ± 3.93</w:t>
            </w:r>
          </w:p>
        </w:tc>
        <w:tc>
          <w:tcPr>
            <w:tcW w:w="4075" w:type="dxa"/>
            <w:vAlign w:val="center"/>
          </w:tcPr>
          <w:p w14:paraId="555D7A51">
            <w:pPr>
              <w:pStyle w:val="165"/>
              <w:jc w:val="center"/>
            </w:pPr>
            <w:r>
              <w:rPr>
                <w:b w:val="0"/>
                <w:sz w:val="20"/>
              </w:rPr>
              <w:t>−17.21 (−18.63 to −15.80)</w:t>
            </w:r>
          </w:p>
        </w:tc>
        <w:tc>
          <w:tcPr>
            <w:tcW w:w="1238" w:type="dxa"/>
            <w:vAlign w:val="center"/>
          </w:tcPr>
          <w:p w14:paraId="228AA08E">
            <w:pPr>
              <w:pStyle w:val="165"/>
              <w:jc w:val="center"/>
            </w:pPr>
            <w:r>
              <w:rPr>
                <w:b w:val="0"/>
                <w:sz w:val="20"/>
              </w:rPr>
              <w:t>&lt;0.001</w:t>
            </w:r>
          </w:p>
        </w:tc>
      </w:tr>
      <w:tr w14:paraId="6BBC2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vAlign w:val="center"/>
          </w:tcPr>
          <w:p w14:paraId="05BB8F08">
            <w:pPr>
              <w:pStyle w:val="165"/>
              <w:jc w:val="left"/>
            </w:pPr>
          </w:p>
        </w:tc>
        <w:tc>
          <w:tcPr>
            <w:tcW w:w="792" w:type="dxa"/>
            <w:vAlign w:val="center"/>
          </w:tcPr>
          <w:p w14:paraId="602F07A2">
            <w:pPr>
              <w:pStyle w:val="165"/>
              <w:jc w:val="center"/>
            </w:pPr>
            <w:r>
              <w:rPr>
                <w:b w:val="0"/>
                <w:sz w:val="20"/>
              </w:rPr>
              <w:t>T5</w:t>
            </w:r>
          </w:p>
        </w:tc>
        <w:tc>
          <w:tcPr>
            <w:tcW w:w="2347" w:type="dxa"/>
            <w:vAlign w:val="center"/>
          </w:tcPr>
          <w:p w14:paraId="2F38093B">
            <w:pPr>
              <w:pStyle w:val="165"/>
              <w:jc w:val="center"/>
            </w:pPr>
            <w:r>
              <w:rPr>
                <w:b w:val="0"/>
                <w:sz w:val="20"/>
              </w:rPr>
              <w:t>103.58 ± 5.07</w:t>
            </w:r>
          </w:p>
        </w:tc>
        <w:tc>
          <w:tcPr>
            <w:tcW w:w="2347" w:type="dxa"/>
            <w:vAlign w:val="center"/>
          </w:tcPr>
          <w:p w14:paraId="49478E8E">
            <w:pPr>
              <w:pStyle w:val="165"/>
              <w:jc w:val="center"/>
            </w:pPr>
            <w:r>
              <w:rPr>
                <w:b w:val="0"/>
                <w:sz w:val="20"/>
              </w:rPr>
              <w:t>110.54 ± 3.74</w:t>
            </w:r>
          </w:p>
        </w:tc>
        <w:tc>
          <w:tcPr>
            <w:tcW w:w="4075" w:type="dxa"/>
            <w:vAlign w:val="center"/>
          </w:tcPr>
          <w:p w14:paraId="6B36D297">
            <w:pPr>
              <w:pStyle w:val="165"/>
              <w:jc w:val="center"/>
            </w:pPr>
            <w:r>
              <w:rPr>
                <w:b w:val="0"/>
                <w:sz w:val="20"/>
              </w:rPr>
              <w:t>−6.88 (−8.30 to −5.46)</w:t>
            </w:r>
          </w:p>
        </w:tc>
        <w:tc>
          <w:tcPr>
            <w:tcW w:w="1238" w:type="dxa"/>
            <w:vAlign w:val="center"/>
          </w:tcPr>
          <w:p w14:paraId="3AD6DF1F">
            <w:pPr>
              <w:pStyle w:val="165"/>
              <w:jc w:val="center"/>
            </w:pPr>
            <w:r>
              <w:rPr>
                <w:b w:val="0"/>
                <w:sz w:val="20"/>
              </w:rPr>
              <w:t>&lt;0.001</w:t>
            </w:r>
          </w:p>
        </w:tc>
      </w:tr>
      <w:tr w14:paraId="5FB69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tcBorders>
              <w:top w:val="single" w:color="000000" w:sz="4" w:space="0"/>
            </w:tcBorders>
            <w:vAlign w:val="center"/>
          </w:tcPr>
          <w:p w14:paraId="75AB0C9B">
            <w:pPr>
              <w:pStyle w:val="165"/>
              <w:jc w:val="left"/>
            </w:pPr>
            <w:r>
              <w:rPr>
                <w:b w:val="0"/>
                <w:sz w:val="20"/>
              </w:rPr>
              <w:t>RR (breaths/min)</w:t>
            </w:r>
          </w:p>
        </w:tc>
        <w:tc>
          <w:tcPr>
            <w:tcW w:w="792" w:type="dxa"/>
            <w:tcBorders>
              <w:top w:val="single" w:color="000000" w:sz="4" w:space="0"/>
            </w:tcBorders>
            <w:vAlign w:val="center"/>
          </w:tcPr>
          <w:p w14:paraId="2DD6D06E">
            <w:pPr>
              <w:pStyle w:val="165"/>
              <w:jc w:val="center"/>
            </w:pPr>
            <w:r>
              <w:rPr>
                <w:b w:val="0"/>
                <w:sz w:val="20"/>
              </w:rPr>
              <w:t>T1</w:t>
            </w:r>
          </w:p>
        </w:tc>
        <w:tc>
          <w:tcPr>
            <w:tcW w:w="2347" w:type="dxa"/>
            <w:tcBorders>
              <w:top w:val="single" w:color="000000" w:sz="4" w:space="0"/>
            </w:tcBorders>
            <w:vAlign w:val="center"/>
          </w:tcPr>
          <w:p w14:paraId="3E03965D">
            <w:pPr>
              <w:pStyle w:val="165"/>
              <w:jc w:val="center"/>
            </w:pPr>
            <w:r>
              <w:rPr>
                <w:b w:val="0"/>
                <w:sz w:val="20"/>
              </w:rPr>
              <w:t>22.96 ± 1.76</w:t>
            </w:r>
          </w:p>
        </w:tc>
        <w:tc>
          <w:tcPr>
            <w:tcW w:w="2347" w:type="dxa"/>
            <w:tcBorders>
              <w:top w:val="single" w:color="000000" w:sz="4" w:space="0"/>
            </w:tcBorders>
            <w:vAlign w:val="center"/>
          </w:tcPr>
          <w:p w14:paraId="32C4CC8A">
            <w:pPr>
              <w:pStyle w:val="165"/>
              <w:jc w:val="center"/>
            </w:pPr>
            <w:r>
              <w:rPr>
                <w:b w:val="0"/>
                <w:sz w:val="20"/>
              </w:rPr>
              <w:t>23.71 ± 1.71</w:t>
            </w:r>
          </w:p>
        </w:tc>
        <w:tc>
          <w:tcPr>
            <w:tcW w:w="4075" w:type="dxa"/>
            <w:tcBorders>
              <w:top w:val="single" w:color="000000" w:sz="4" w:space="0"/>
            </w:tcBorders>
            <w:vAlign w:val="center"/>
          </w:tcPr>
          <w:p w14:paraId="154B28DE">
            <w:pPr>
              <w:pStyle w:val="165"/>
              <w:jc w:val="center"/>
            </w:pPr>
            <w:r>
              <w:rPr>
                <w:b w:val="0"/>
                <w:sz w:val="20"/>
              </w:rPr>
              <w:t>−1.00 (−1.61 to −0.39)</w:t>
            </w:r>
          </w:p>
        </w:tc>
        <w:tc>
          <w:tcPr>
            <w:tcW w:w="1238" w:type="dxa"/>
            <w:tcBorders>
              <w:top w:val="single" w:color="000000" w:sz="4" w:space="0"/>
            </w:tcBorders>
            <w:vAlign w:val="center"/>
          </w:tcPr>
          <w:p w14:paraId="646A3AB2">
            <w:pPr>
              <w:pStyle w:val="165"/>
              <w:jc w:val="center"/>
            </w:pPr>
            <w:r>
              <w:rPr>
                <w:b w:val="0"/>
                <w:sz w:val="20"/>
              </w:rPr>
              <w:t>0.002</w:t>
            </w:r>
          </w:p>
        </w:tc>
      </w:tr>
      <w:tr w14:paraId="505E1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vAlign w:val="center"/>
          </w:tcPr>
          <w:p w14:paraId="32ADE2A5">
            <w:pPr>
              <w:pStyle w:val="165"/>
              <w:jc w:val="left"/>
            </w:pPr>
          </w:p>
        </w:tc>
        <w:tc>
          <w:tcPr>
            <w:tcW w:w="792" w:type="dxa"/>
            <w:vAlign w:val="center"/>
          </w:tcPr>
          <w:p w14:paraId="568100A7">
            <w:pPr>
              <w:pStyle w:val="165"/>
              <w:jc w:val="center"/>
            </w:pPr>
            <w:r>
              <w:rPr>
                <w:b w:val="0"/>
                <w:sz w:val="20"/>
              </w:rPr>
              <w:t>T2</w:t>
            </w:r>
          </w:p>
        </w:tc>
        <w:tc>
          <w:tcPr>
            <w:tcW w:w="2347" w:type="dxa"/>
            <w:vAlign w:val="center"/>
          </w:tcPr>
          <w:p w14:paraId="629C9772">
            <w:pPr>
              <w:pStyle w:val="165"/>
              <w:jc w:val="center"/>
            </w:pPr>
            <w:r>
              <w:rPr>
                <w:b w:val="0"/>
                <w:sz w:val="20"/>
              </w:rPr>
              <w:t>21.08 ± 1.77</w:t>
            </w:r>
          </w:p>
        </w:tc>
        <w:tc>
          <w:tcPr>
            <w:tcW w:w="2347" w:type="dxa"/>
            <w:vAlign w:val="center"/>
          </w:tcPr>
          <w:p w14:paraId="012523AF">
            <w:pPr>
              <w:pStyle w:val="165"/>
              <w:jc w:val="center"/>
            </w:pPr>
            <w:r>
              <w:rPr>
                <w:b w:val="0"/>
                <w:sz w:val="20"/>
              </w:rPr>
              <w:t>22.79 ± 2.25</w:t>
            </w:r>
          </w:p>
        </w:tc>
        <w:tc>
          <w:tcPr>
            <w:tcW w:w="4075" w:type="dxa"/>
            <w:vAlign w:val="center"/>
          </w:tcPr>
          <w:p w14:paraId="58C0EEFD">
            <w:pPr>
              <w:pStyle w:val="165"/>
              <w:jc w:val="center"/>
            </w:pPr>
            <w:r>
              <w:rPr>
                <w:b w:val="0"/>
                <w:sz w:val="20"/>
              </w:rPr>
              <w:t>−1.96 (−2.57 to −1.35)</w:t>
            </w:r>
          </w:p>
        </w:tc>
        <w:tc>
          <w:tcPr>
            <w:tcW w:w="1238" w:type="dxa"/>
            <w:vAlign w:val="center"/>
          </w:tcPr>
          <w:p w14:paraId="2D746ECB">
            <w:pPr>
              <w:pStyle w:val="165"/>
              <w:jc w:val="center"/>
            </w:pPr>
            <w:r>
              <w:rPr>
                <w:b w:val="0"/>
                <w:sz w:val="20"/>
              </w:rPr>
              <w:t>&lt;0.001</w:t>
            </w:r>
          </w:p>
        </w:tc>
      </w:tr>
      <w:tr w14:paraId="336B7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vAlign w:val="center"/>
          </w:tcPr>
          <w:p w14:paraId="03098691">
            <w:pPr>
              <w:pStyle w:val="165"/>
              <w:jc w:val="left"/>
            </w:pPr>
          </w:p>
        </w:tc>
        <w:tc>
          <w:tcPr>
            <w:tcW w:w="792" w:type="dxa"/>
            <w:vAlign w:val="center"/>
          </w:tcPr>
          <w:p w14:paraId="74E3560D">
            <w:pPr>
              <w:pStyle w:val="165"/>
              <w:jc w:val="center"/>
            </w:pPr>
            <w:r>
              <w:rPr>
                <w:b w:val="0"/>
                <w:sz w:val="20"/>
              </w:rPr>
              <w:t>T3</w:t>
            </w:r>
          </w:p>
        </w:tc>
        <w:tc>
          <w:tcPr>
            <w:tcW w:w="2347" w:type="dxa"/>
            <w:vAlign w:val="center"/>
          </w:tcPr>
          <w:p w14:paraId="34D4FE54">
            <w:pPr>
              <w:pStyle w:val="165"/>
              <w:jc w:val="center"/>
            </w:pPr>
            <w:r>
              <w:rPr>
                <w:b w:val="0"/>
                <w:sz w:val="20"/>
              </w:rPr>
              <w:t>20.33 ± 1.81</w:t>
            </w:r>
          </w:p>
        </w:tc>
        <w:tc>
          <w:tcPr>
            <w:tcW w:w="2347" w:type="dxa"/>
            <w:vAlign w:val="center"/>
          </w:tcPr>
          <w:p w14:paraId="1E3FD1B1">
            <w:pPr>
              <w:pStyle w:val="165"/>
              <w:jc w:val="center"/>
            </w:pPr>
            <w:r>
              <w:rPr>
                <w:b w:val="0"/>
                <w:sz w:val="20"/>
              </w:rPr>
              <w:t>21.83 ± 1.97</w:t>
            </w:r>
          </w:p>
        </w:tc>
        <w:tc>
          <w:tcPr>
            <w:tcW w:w="4075" w:type="dxa"/>
            <w:vAlign w:val="center"/>
          </w:tcPr>
          <w:p w14:paraId="05A40890">
            <w:pPr>
              <w:pStyle w:val="165"/>
              <w:jc w:val="center"/>
            </w:pPr>
            <w:r>
              <w:rPr>
                <w:b w:val="0"/>
                <w:sz w:val="20"/>
              </w:rPr>
              <w:t>−1.75 (−2.36 to −1.14)</w:t>
            </w:r>
          </w:p>
        </w:tc>
        <w:tc>
          <w:tcPr>
            <w:tcW w:w="1238" w:type="dxa"/>
            <w:vAlign w:val="center"/>
          </w:tcPr>
          <w:p w14:paraId="789BE5A8">
            <w:pPr>
              <w:pStyle w:val="165"/>
              <w:jc w:val="center"/>
            </w:pPr>
            <w:r>
              <w:rPr>
                <w:b w:val="0"/>
                <w:sz w:val="20"/>
              </w:rPr>
              <w:t>&lt;0.001</w:t>
            </w:r>
          </w:p>
        </w:tc>
      </w:tr>
      <w:tr w14:paraId="1BD59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vAlign w:val="center"/>
          </w:tcPr>
          <w:p w14:paraId="6E6F5866">
            <w:pPr>
              <w:pStyle w:val="165"/>
              <w:jc w:val="left"/>
            </w:pPr>
          </w:p>
        </w:tc>
        <w:tc>
          <w:tcPr>
            <w:tcW w:w="792" w:type="dxa"/>
            <w:vAlign w:val="center"/>
          </w:tcPr>
          <w:p w14:paraId="3E169ED4">
            <w:pPr>
              <w:pStyle w:val="165"/>
              <w:jc w:val="center"/>
            </w:pPr>
            <w:r>
              <w:rPr>
                <w:b w:val="0"/>
                <w:sz w:val="20"/>
              </w:rPr>
              <w:t>T4</w:t>
            </w:r>
          </w:p>
        </w:tc>
        <w:tc>
          <w:tcPr>
            <w:tcW w:w="2347" w:type="dxa"/>
            <w:vAlign w:val="center"/>
          </w:tcPr>
          <w:p w14:paraId="4B4EFDE9">
            <w:pPr>
              <w:pStyle w:val="165"/>
              <w:jc w:val="center"/>
            </w:pPr>
            <w:r>
              <w:rPr>
                <w:b w:val="0"/>
                <w:sz w:val="20"/>
              </w:rPr>
              <w:t>18.88 ± 1.51</w:t>
            </w:r>
          </w:p>
        </w:tc>
        <w:tc>
          <w:tcPr>
            <w:tcW w:w="2347" w:type="dxa"/>
            <w:vAlign w:val="center"/>
          </w:tcPr>
          <w:p w14:paraId="0B59F127">
            <w:pPr>
              <w:pStyle w:val="165"/>
              <w:jc w:val="center"/>
            </w:pPr>
            <w:r>
              <w:rPr>
                <w:b w:val="0"/>
                <w:sz w:val="20"/>
              </w:rPr>
              <w:t>21.00 ± 1.69</w:t>
            </w:r>
          </w:p>
        </w:tc>
        <w:tc>
          <w:tcPr>
            <w:tcW w:w="4075" w:type="dxa"/>
            <w:vAlign w:val="center"/>
          </w:tcPr>
          <w:p w14:paraId="034AF87D">
            <w:pPr>
              <w:pStyle w:val="165"/>
              <w:jc w:val="center"/>
            </w:pPr>
            <w:r>
              <w:rPr>
                <w:b w:val="0"/>
                <w:sz w:val="20"/>
              </w:rPr>
              <w:t>−2.38 (−2.98 to −1.77)</w:t>
            </w:r>
          </w:p>
        </w:tc>
        <w:tc>
          <w:tcPr>
            <w:tcW w:w="1238" w:type="dxa"/>
            <w:vAlign w:val="center"/>
          </w:tcPr>
          <w:p w14:paraId="1BE11D3C">
            <w:pPr>
              <w:pStyle w:val="165"/>
              <w:jc w:val="center"/>
            </w:pPr>
            <w:r>
              <w:rPr>
                <w:b w:val="0"/>
                <w:sz w:val="20"/>
              </w:rPr>
              <w:t>&lt;0.001</w:t>
            </w:r>
          </w:p>
        </w:tc>
      </w:tr>
      <w:tr w14:paraId="56C6C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vAlign w:val="center"/>
          </w:tcPr>
          <w:p w14:paraId="36ACA97F">
            <w:pPr>
              <w:pStyle w:val="165"/>
              <w:jc w:val="left"/>
            </w:pPr>
          </w:p>
        </w:tc>
        <w:tc>
          <w:tcPr>
            <w:tcW w:w="792" w:type="dxa"/>
            <w:vAlign w:val="center"/>
          </w:tcPr>
          <w:p w14:paraId="224DD6C5">
            <w:pPr>
              <w:pStyle w:val="165"/>
              <w:jc w:val="center"/>
            </w:pPr>
            <w:r>
              <w:rPr>
                <w:b w:val="0"/>
                <w:sz w:val="20"/>
              </w:rPr>
              <w:t>T5</w:t>
            </w:r>
          </w:p>
        </w:tc>
        <w:tc>
          <w:tcPr>
            <w:tcW w:w="2347" w:type="dxa"/>
            <w:vAlign w:val="center"/>
          </w:tcPr>
          <w:p w14:paraId="4D7DCB4F">
            <w:pPr>
              <w:pStyle w:val="165"/>
              <w:jc w:val="center"/>
            </w:pPr>
            <w:r>
              <w:rPr>
                <w:b w:val="0"/>
                <w:sz w:val="20"/>
              </w:rPr>
              <w:t>18.29 ± 1.40</w:t>
            </w:r>
          </w:p>
        </w:tc>
        <w:tc>
          <w:tcPr>
            <w:tcW w:w="2347" w:type="dxa"/>
            <w:vAlign w:val="center"/>
          </w:tcPr>
          <w:p w14:paraId="16AD58D9">
            <w:pPr>
              <w:pStyle w:val="165"/>
              <w:jc w:val="center"/>
            </w:pPr>
            <w:r>
              <w:rPr>
                <w:b w:val="0"/>
                <w:sz w:val="20"/>
              </w:rPr>
              <w:t>20.00 ± 1.84</w:t>
            </w:r>
          </w:p>
        </w:tc>
        <w:tc>
          <w:tcPr>
            <w:tcW w:w="4075" w:type="dxa"/>
            <w:vAlign w:val="center"/>
          </w:tcPr>
          <w:p w14:paraId="6BECDC32">
            <w:pPr>
              <w:pStyle w:val="165"/>
              <w:jc w:val="center"/>
            </w:pPr>
            <w:r>
              <w:rPr>
                <w:b w:val="0"/>
                <w:sz w:val="20"/>
              </w:rPr>
              <w:t>−1.96 (−2.57 to −1.35)</w:t>
            </w:r>
          </w:p>
        </w:tc>
        <w:tc>
          <w:tcPr>
            <w:tcW w:w="1238" w:type="dxa"/>
            <w:vAlign w:val="center"/>
          </w:tcPr>
          <w:p w14:paraId="1F03C14F">
            <w:pPr>
              <w:pStyle w:val="165"/>
              <w:jc w:val="center"/>
            </w:pPr>
            <w:r>
              <w:rPr>
                <w:b w:val="0"/>
                <w:sz w:val="20"/>
              </w:rPr>
              <w:t>&lt;0.001</w:t>
            </w:r>
          </w:p>
        </w:tc>
      </w:tr>
      <w:tr w14:paraId="7336A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tcBorders>
              <w:top w:val="single" w:color="000000" w:sz="4" w:space="0"/>
            </w:tcBorders>
            <w:vAlign w:val="center"/>
          </w:tcPr>
          <w:p w14:paraId="6E59CDD5">
            <w:pPr>
              <w:pStyle w:val="165"/>
              <w:jc w:val="left"/>
            </w:pPr>
            <w:r>
              <w:rPr>
                <w:b w:val="0"/>
                <w:sz w:val="20"/>
              </w:rPr>
              <w:t>SpO₂ (pp)</w:t>
            </w:r>
          </w:p>
        </w:tc>
        <w:tc>
          <w:tcPr>
            <w:tcW w:w="792" w:type="dxa"/>
            <w:tcBorders>
              <w:top w:val="single" w:color="000000" w:sz="4" w:space="0"/>
            </w:tcBorders>
            <w:vAlign w:val="center"/>
          </w:tcPr>
          <w:p w14:paraId="0ED943AB">
            <w:pPr>
              <w:pStyle w:val="165"/>
              <w:jc w:val="center"/>
            </w:pPr>
            <w:r>
              <w:rPr>
                <w:b w:val="0"/>
                <w:sz w:val="20"/>
              </w:rPr>
              <w:t>T1</w:t>
            </w:r>
          </w:p>
        </w:tc>
        <w:tc>
          <w:tcPr>
            <w:tcW w:w="2347" w:type="dxa"/>
            <w:tcBorders>
              <w:top w:val="single" w:color="000000" w:sz="4" w:space="0"/>
            </w:tcBorders>
            <w:vAlign w:val="center"/>
          </w:tcPr>
          <w:p w14:paraId="649AE378">
            <w:pPr>
              <w:pStyle w:val="165"/>
              <w:jc w:val="center"/>
            </w:pPr>
            <w:r>
              <w:rPr>
                <w:b w:val="0"/>
                <w:sz w:val="20"/>
              </w:rPr>
              <w:t>98.08 ± 0.83</w:t>
            </w:r>
          </w:p>
        </w:tc>
        <w:tc>
          <w:tcPr>
            <w:tcW w:w="2347" w:type="dxa"/>
            <w:tcBorders>
              <w:top w:val="single" w:color="000000" w:sz="4" w:space="0"/>
            </w:tcBorders>
            <w:vAlign w:val="center"/>
          </w:tcPr>
          <w:p w14:paraId="10B908AA">
            <w:pPr>
              <w:pStyle w:val="165"/>
              <w:jc w:val="center"/>
            </w:pPr>
            <w:r>
              <w:rPr>
                <w:b w:val="0"/>
                <w:sz w:val="20"/>
              </w:rPr>
              <w:t>98.04 ± 1.00</w:t>
            </w:r>
          </w:p>
        </w:tc>
        <w:tc>
          <w:tcPr>
            <w:tcW w:w="4075" w:type="dxa"/>
            <w:tcBorders>
              <w:top w:val="single" w:color="000000" w:sz="4" w:space="0"/>
            </w:tcBorders>
            <w:vAlign w:val="center"/>
          </w:tcPr>
          <w:p w14:paraId="6B254646">
            <w:pPr>
              <w:pStyle w:val="165"/>
              <w:jc w:val="center"/>
            </w:pPr>
            <w:r>
              <w:rPr>
                <w:b w:val="0"/>
                <w:sz w:val="20"/>
              </w:rPr>
              <w:t>0.01 (−0.49 to 0.52)</w:t>
            </w:r>
          </w:p>
        </w:tc>
        <w:tc>
          <w:tcPr>
            <w:tcW w:w="1238" w:type="dxa"/>
            <w:tcBorders>
              <w:top w:val="single" w:color="000000" w:sz="4" w:space="0"/>
            </w:tcBorders>
            <w:vAlign w:val="center"/>
          </w:tcPr>
          <w:p w14:paraId="52236A77">
            <w:pPr>
              <w:pStyle w:val="165"/>
              <w:jc w:val="center"/>
            </w:pPr>
            <w:r>
              <w:rPr>
                <w:b w:val="0"/>
                <w:sz w:val="20"/>
              </w:rPr>
              <w:t>0.955</w:t>
            </w:r>
          </w:p>
        </w:tc>
      </w:tr>
      <w:tr w14:paraId="6FAF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vAlign w:val="center"/>
          </w:tcPr>
          <w:p w14:paraId="2B451671">
            <w:pPr>
              <w:pStyle w:val="165"/>
              <w:jc w:val="left"/>
            </w:pPr>
          </w:p>
        </w:tc>
        <w:tc>
          <w:tcPr>
            <w:tcW w:w="792" w:type="dxa"/>
            <w:vAlign w:val="center"/>
          </w:tcPr>
          <w:p w14:paraId="2A2F659B">
            <w:pPr>
              <w:pStyle w:val="165"/>
              <w:jc w:val="center"/>
            </w:pPr>
            <w:r>
              <w:rPr>
                <w:b w:val="0"/>
                <w:sz w:val="20"/>
              </w:rPr>
              <w:t>T2</w:t>
            </w:r>
          </w:p>
        </w:tc>
        <w:tc>
          <w:tcPr>
            <w:tcW w:w="2347" w:type="dxa"/>
            <w:vAlign w:val="center"/>
          </w:tcPr>
          <w:p w14:paraId="3E12482F">
            <w:pPr>
              <w:pStyle w:val="165"/>
              <w:jc w:val="center"/>
            </w:pPr>
            <w:r>
              <w:rPr>
                <w:b w:val="0"/>
                <w:sz w:val="20"/>
              </w:rPr>
              <w:t>98.12 ± 0.95</w:t>
            </w:r>
          </w:p>
        </w:tc>
        <w:tc>
          <w:tcPr>
            <w:tcW w:w="2347" w:type="dxa"/>
            <w:vAlign w:val="center"/>
          </w:tcPr>
          <w:p w14:paraId="7DBA86C2">
            <w:pPr>
              <w:pStyle w:val="165"/>
              <w:jc w:val="center"/>
            </w:pPr>
            <w:r>
              <w:rPr>
                <w:b w:val="0"/>
                <w:sz w:val="20"/>
              </w:rPr>
              <w:t>97.62 ± 0.97</w:t>
            </w:r>
          </w:p>
        </w:tc>
        <w:tc>
          <w:tcPr>
            <w:tcW w:w="4075" w:type="dxa"/>
            <w:vAlign w:val="center"/>
          </w:tcPr>
          <w:p w14:paraId="2D624330">
            <w:pPr>
              <w:pStyle w:val="165"/>
              <w:jc w:val="center"/>
            </w:pPr>
            <w:r>
              <w:rPr>
                <w:b w:val="0"/>
                <w:sz w:val="20"/>
              </w:rPr>
              <w:t>0.47 (−0.03 to 0.98)</w:t>
            </w:r>
          </w:p>
        </w:tc>
        <w:tc>
          <w:tcPr>
            <w:tcW w:w="1238" w:type="dxa"/>
            <w:vAlign w:val="center"/>
          </w:tcPr>
          <w:p w14:paraId="6EB3F7BC">
            <w:pPr>
              <w:pStyle w:val="165"/>
              <w:jc w:val="center"/>
            </w:pPr>
            <w:r>
              <w:rPr>
                <w:b w:val="0"/>
                <w:sz w:val="20"/>
              </w:rPr>
              <w:t>0.065</w:t>
            </w:r>
          </w:p>
        </w:tc>
      </w:tr>
      <w:tr w14:paraId="5DEF2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vAlign w:val="center"/>
          </w:tcPr>
          <w:p w14:paraId="6B6C99DB">
            <w:pPr>
              <w:pStyle w:val="165"/>
              <w:jc w:val="left"/>
            </w:pPr>
          </w:p>
        </w:tc>
        <w:tc>
          <w:tcPr>
            <w:tcW w:w="792" w:type="dxa"/>
            <w:vAlign w:val="center"/>
          </w:tcPr>
          <w:p w14:paraId="5E5266D2">
            <w:pPr>
              <w:pStyle w:val="165"/>
              <w:jc w:val="center"/>
            </w:pPr>
            <w:r>
              <w:rPr>
                <w:b w:val="0"/>
                <w:sz w:val="20"/>
              </w:rPr>
              <w:t>T3</w:t>
            </w:r>
          </w:p>
        </w:tc>
        <w:tc>
          <w:tcPr>
            <w:tcW w:w="2347" w:type="dxa"/>
            <w:vAlign w:val="center"/>
          </w:tcPr>
          <w:p w14:paraId="1681CC55">
            <w:pPr>
              <w:pStyle w:val="165"/>
              <w:jc w:val="center"/>
            </w:pPr>
            <w:r>
              <w:rPr>
                <w:b w:val="0"/>
                <w:sz w:val="20"/>
              </w:rPr>
              <w:t>98.29 ± 0.91</w:t>
            </w:r>
          </w:p>
        </w:tc>
        <w:tc>
          <w:tcPr>
            <w:tcW w:w="2347" w:type="dxa"/>
            <w:vAlign w:val="center"/>
          </w:tcPr>
          <w:p w14:paraId="670FE56A">
            <w:pPr>
              <w:pStyle w:val="165"/>
              <w:jc w:val="center"/>
            </w:pPr>
            <w:r>
              <w:rPr>
                <w:b w:val="0"/>
                <w:sz w:val="20"/>
              </w:rPr>
              <w:t>98.12 ± 0.74</w:t>
            </w:r>
          </w:p>
        </w:tc>
        <w:tc>
          <w:tcPr>
            <w:tcW w:w="4075" w:type="dxa"/>
            <w:vAlign w:val="center"/>
          </w:tcPr>
          <w:p w14:paraId="37F02CBE">
            <w:pPr>
              <w:pStyle w:val="165"/>
              <w:jc w:val="center"/>
            </w:pPr>
            <w:r>
              <w:rPr>
                <w:b w:val="0"/>
                <w:sz w:val="20"/>
              </w:rPr>
              <w:t>0.14 (−0.36 to 0.64)</w:t>
            </w:r>
          </w:p>
        </w:tc>
        <w:tc>
          <w:tcPr>
            <w:tcW w:w="1238" w:type="dxa"/>
            <w:vAlign w:val="center"/>
          </w:tcPr>
          <w:p w14:paraId="0ACED21A">
            <w:pPr>
              <w:pStyle w:val="165"/>
              <w:jc w:val="center"/>
            </w:pPr>
            <w:r>
              <w:rPr>
                <w:b w:val="0"/>
                <w:sz w:val="20"/>
              </w:rPr>
              <w:t>0.585</w:t>
            </w:r>
          </w:p>
        </w:tc>
      </w:tr>
      <w:tr w14:paraId="5F13B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vAlign w:val="center"/>
          </w:tcPr>
          <w:p w14:paraId="251A4436">
            <w:pPr>
              <w:pStyle w:val="165"/>
              <w:jc w:val="left"/>
            </w:pPr>
          </w:p>
        </w:tc>
        <w:tc>
          <w:tcPr>
            <w:tcW w:w="792" w:type="dxa"/>
            <w:vAlign w:val="center"/>
          </w:tcPr>
          <w:p w14:paraId="7F521DD1">
            <w:pPr>
              <w:pStyle w:val="165"/>
              <w:jc w:val="center"/>
            </w:pPr>
            <w:r>
              <w:rPr>
                <w:b w:val="0"/>
                <w:sz w:val="20"/>
              </w:rPr>
              <w:t>T4</w:t>
            </w:r>
          </w:p>
        </w:tc>
        <w:tc>
          <w:tcPr>
            <w:tcW w:w="2347" w:type="dxa"/>
            <w:vAlign w:val="center"/>
          </w:tcPr>
          <w:p w14:paraId="1A3384FF">
            <w:pPr>
              <w:pStyle w:val="165"/>
              <w:jc w:val="center"/>
            </w:pPr>
            <w:r>
              <w:rPr>
                <w:b w:val="0"/>
                <w:sz w:val="20"/>
              </w:rPr>
              <w:t>98.38 ± 1.01</w:t>
            </w:r>
          </w:p>
        </w:tc>
        <w:tc>
          <w:tcPr>
            <w:tcW w:w="2347" w:type="dxa"/>
            <w:vAlign w:val="center"/>
          </w:tcPr>
          <w:p w14:paraId="3C00C6E9">
            <w:pPr>
              <w:pStyle w:val="165"/>
              <w:jc w:val="center"/>
            </w:pPr>
            <w:r>
              <w:rPr>
                <w:b w:val="0"/>
                <w:sz w:val="20"/>
              </w:rPr>
              <w:t>97.75 ± 0.74</w:t>
            </w:r>
          </w:p>
        </w:tc>
        <w:tc>
          <w:tcPr>
            <w:tcW w:w="4075" w:type="dxa"/>
            <w:vAlign w:val="center"/>
          </w:tcPr>
          <w:p w14:paraId="27B4CCD4">
            <w:pPr>
              <w:pStyle w:val="165"/>
              <w:jc w:val="center"/>
            </w:pPr>
            <w:r>
              <w:rPr>
                <w:b w:val="0"/>
                <w:sz w:val="20"/>
              </w:rPr>
              <w:t>0.60 (0.09 to 1.10)</w:t>
            </w:r>
          </w:p>
        </w:tc>
        <w:tc>
          <w:tcPr>
            <w:tcW w:w="1238" w:type="dxa"/>
            <w:vAlign w:val="center"/>
          </w:tcPr>
          <w:p w14:paraId="37BE908B">
            <w:pPr>
              <w:pStyle w:val="165"/>
              <w:jc w:val="center"/>
            </w:pPr>
            <w:r>
              <w:rPr>
                <w:b w:val="0"/>
                <w:sz w:val="20"/>
              </w:rPr>
              <w:t>0.020</w:t>
            </w:r>
          </w:p>
        </w:tc>
      </w:tr>
      <w:tr w14:paraId="2ACC2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5" w:type="dxa"/>
            <w:left w:w="70" w:type="dxa"/>
            <w:bottom w:w="35" w:type="dxa"/>
            <w:right w:w="70" w:type="dxa"/>
          </w:tblCellMar>
        </w:tblPrEx>
        <w:trPr>
          <w:cantSplit/>
          <w:jc w:val="center"/>
        </w:trPr>
        <w:tc>
          <w:tcPr>
            <w:tcW w:w="2016" w:type="dxa"/>
            <w:tcBorders>
              <w:bottom w:val="single" w:color="000000" w:sz="10" w:space="0"/>
            </w:tcBorders>
            <w:vAlign w:val="center"/>
          </w:tcPr>
          <w:p w14:paraId="1EE5E2F4">
            <w:pPr>
              <w:pStyle w:val="165"/>
              <w:jc w:val="left"/>
            </w:pPr>
          </w:p>
        </w:tc>
        <w:tc>
          <w:tcPr>
            <w:tcW w:w="792" w:type="dxa"/>
            <w:tcBorders>
              <w:bottom w:val="single" w:color="000000" w:sz="10" w:space="0"/>
            </w:tcBorders>
            <w:vAlign w:val="center"/>
          </w:tcPr>
          <w:p w14:paraId="5EB0DA55">
            <w:pPr>
              <w:pStyle w:val="165"/>
              <w:jc w:val="center"/>
            </w:pPr>
            <w:r>
              <w:rPr>
                <w:b w:val="0"/>
                <w:sz w:val="20"/>
              </w:rPr>
              <w:t>T5</w:t>
            </w:r>
          </w:p>
        </w:tc>
        <w:tc>
          <w:tcPr>
            <w:tcW w:w="2347" w:type="dxa"/>
            <w:tcBorders>
              <w:bottom w:val="single" w:color="000000" w:sz="10" w:space="0"/>
            </w:tcBorders>
            <w:vAlign w:val="center"/>
          </w:tcPr>
          <w:p w14:paraId="2867AF73">
            <w:pPr>
              <w:pStyle w:val="165"/>
              <w:jc w:val="center"/>
            </w:pPr>
            <w:r>
              <w:rPr>
                <w:b w:val="0"/>
                <w:sz w:val="20"/>
              </w:rPr>
              <w:t>98.08 ± 0.93</w:t>
            </w:r>
          </w:p>
        </w:tc>
        <w:tc>
          <w:tcPr>
            <w:tcW w:w="2347" w:type="dxa"/>
            <w:tcBorders>
              <w:bottom w:val="single" w:color="000000" w:sz="10" w:space="0"/>
            </w:tcBorders>
            <w:vAlign w:val="center"/>
          </w:tcPr>
          <w:p w14:paraId="434A1687">
            <w:pPr>
              <w:pStyle w:val="165"/>
              <w:jc w:val="center"/>
            </w:pPr>
            <w:r>
              <w:rPr>
                <w:b w:val="0"/>
                <w:sz w:val="20"/>
              </w:rPr>
              <w:t>98.42 ± 0.78</w:t>
            </w:r>
          </w:p>
        </w:tc>
        <w:tc>
          <w:tcPr>
            <w:tcW w:w="4075" w:type="dxa"/>
            <w:tcBorders>
              <w:bottom w:val="single" w:color="000000" w:sz="10" w:space="0"/>
            </w:tcBorders>
            <w:vAlign w:val="center"/>
          </w:tcPr>
          <w:p w14:paraId="3EE6DE62">
            <w:pPr>
              <w:pStyle w:val="165"/>
              <w:jc w:val="center"/>
            </w:pPr>
            <w:r>
              <w:rPr>
                <w:b w:val="0"/>
                <w:sz w:val="20"/>
              </w:rPr>
              <w:t>−0.36 (−0.86 to 0.14)</w:t>
            </w:r>
          </w:p>
        </w:tc>
        <w:tc>
          <w:tcPr>
            <w:tcW w:w="1238" w:type="dxa"/>
            <w:tcBorders>
              <w:bottom w:val="single" w:color="000000" w:sz="10" w:space="0"/>
            </w:tcBorders>
            <w:vAlign w:val="center"/>
          </w:tcPr>
          <w:p w14:paraId="1F532754">
            <w:pPr>
              <w:pStyle w:val="165"/>
              <w:jc w:val="center"/>
            </w:pPr>
            <w:r>
              <w:rPr>
                <w:b w:val="0"/>
                <w:sz w:val="20"/>
              </w:rPr>
              <w:t>0.159</w:t>
            </w:r>
          </w:p>
        </w:tc>
      </w:tr>
    </w:tbl>
    <w:p w14:paraId="0803E663">
      <w:pPr>
        <w:pStyle w:val="166"/>
      </w:pPr>
      <w:r>
        <w:rPr>
          <w:sz w:val="19"/>
        </w:rPr>
        <w:t>R, dexmedetomidine plus esketamine; C, esketamine alone; MAP, mean arterial pressure; HR, heart rate; RR, respiratory rate; SpO₂, peripheral oxygen saturation; pp, percentage points. Values are mean ± SD. Fixed effects include treatment, categorical time, treatment-by-time interaction, period, sequence and same-session T0. Participant and nested session random intercepts represent correlation; zero-variance components are constrained to zero. T1–T4 are 15, 20, 25 and 30 min; T5 is immediately before induction. P values are not adjusted for multiple comparisons; CIs are pointwise. An isolated SpO₂ contrast does not establish a clinical oxygenation benefit.</w:t>
      </w:r>
    </w:p>
    <w:p w14:paraId="022CF128">
      <w:pPr>
        <w:pStyle w:val="3"/>
        <w:pageBreakBefore/>
        <w:spacing w:before="0"/>
      </w:pPr>
      <w:r>
        <w:t>Table S2. Treatment-period and sequence coefficients</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70" w:type="dxa"/>
          <w:left w:w="70" w:type="dxa"/>
          <w:bottom w:w="70" w:type="dxa"/>
          <w:right w:w="70" w:type="dxa"/>
        </w:tblCellMar>
      </w:tblPr>
      <w:tblGrid>
        <w:gridCol w:w="1584"/>
        <w:gridCol w:w="936"/>
        <w:gridCol w:w="4392"/>
        <w:gridCol w:w="1080"/>
        <w:gridCol w:w="3744"/>
        <w:gridCol w:w="1080"/>
      </w:tblGrid>
      <w:tr w14:paraId="49F9F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tblHeader/>
          <w:jc w:val="center"/>
        </w:trPr>
        <w:tc>
          <w:tcPr>
            <w:tcW w:w="1584" w:type="dxa"/>
            <w:tcBorders>
              <w:top w:val="single" w:color="000000" w:sz="10" w:space="0"/>
              <w:bottom w:val="single" w:color="000000" w:sz="6" w:space="0"/>
            </w:tcBorders>
            <w:vAlign w:val="center"/>
          </w:tcPr>
          <w:p w14:paraId="4CEAE615">
            <w:pPr>
              <w:pStyle w:val="165"/>
              <w:jc w:val="left"/>
            </w:pPr>
            <w:r>
              <w:rPr>
                <w:b/>
                <w:sz w:val="21"/>
              </w:rPr>
              <w:t>Outcome</w:t>
            </w:r>
          </w:p>
        </w:tc>
        <w:tc>
          <w:tcPr>
            <w:tcW w:w="936" w:type="dxa"/>
            <w:tcBorders>
              <w:top w:val="single" w:color="000000" w:sz="10" w:space="0"/>
              <w:bottom w:val="single" w:color="000000" w:sz="6" w:space="0"/>
            </w:tcBorders>
            <w:vAlign w:val="center"/>
          </w:tcPr>
          <w:p w14:paraId="6C50E03C">
            <w:pPr>
              <w:pStyle w:val="165"/>
              <w:jc w:val="center"/>
            </w:pPr>
            <w:r>
              <w:rPr>
                <w:b/>
                <w:sz w:val="21"/>
              </w:rPr>
              <w:t>Scale</w:t>
            </w:r>
          </w:p>
        </w:tc>
        <w:tc>
          <w:tcPr>
            <w:tcW w:w="4392" w:type="dxa"/>
            <w:tcBorders>
              <w:top w:val="single" w:color="000000" w:sz="10" w:space="0"/>
              <w:bottom w:val="single" w:color="000000" w:sz="6" w:space="0"/>
            </w:tcBorders>
            <w:vAlign w:val="center"/>
          </w:tcPr>
          <w:p w14:paraId="122CE137">
            <w:pPr>
              <w:pStyle w:val="165"/>
              <w:jc w:val="center"/>
            </w:pPr>
            <w:r>
              <w:rPr>
                <w:b/>
                <w:sz w:val="21"/>
              </w:rPr>
              <w:t>Period 2 vs 1 (95% CI)</w:t>
            </w:r>
          </w:p>
        </w:tc>
        <w:tc>
          <w:tcPr>
            <w:tcW w:w="1080" w:type="dxa"/>
            <w:tcBorders>
              <w:top w:val="single" w:color="000000" w:sz="10" w:space="0"/>
              <w:bottom w:val="single" w:color="000000" w:sz="6" w:space="0"/>
            </w:tcBorders>
            <w:vAlign w:val="center"/>
          </w:tcPr>
          <w:p w14:paraId="0F521BE5">
            <w:pPr>
              <w:pStyle w:val="165"/>
              <w:jc w:val="center"/>
            </w:pPr>
            <w:r>
              <w:rPr>
                <w:b/>
                <w:sz w:val="21"/>
              </w:rPr>
              <w:t>P</w:t>
            </w:r>
          </w:p>
        </w:tc>
        <w:tc>
          <w:tcPr>
            <w:tcW w:w="3744" w:type="dxa"/>
            <w:tcBorders>
              <w:top w:val="single" w:color="000000" w:sz="10" w:space="0"/>
              <w:bottom w:val="single" w:color="000000" w:sz="6" w:space="0"/>
            </w:tcBorders>
            <w:vAlign w:val="center"/>
          </w:tcPr>
          <w:p w14:paraId="5D6E7A87">
            <w:pPr>
              <w:pStyle w:val="165"/>
              <w:jc w:val="center"/>
            </w:pPr>
            <w:r>
              <w:rPr>
                <w:b/>
                <w:sz w:val="21"/>
              </w:rPr>
              <w:t>R→C vs C→R (95% CI)</w:t>
            </w:r>
          </w:p>
        </w:tc>
        <w:tc>
          <w:tcPr>
            <w:tcW w:w="1080" w:type="dxa"/>
            <w:tcBorders>
              <w:top w:val="single" w:color="000000" w:sz="10" w:space="0"/>
              <w:bottom w:val="single" w:color="000000" w:sz="6" w:space="0"/>
            </w:tcBorders>
            <w:vAlign w:val="center"/>
          </w:tcPr>
          <w:p w14:paraId="05920110">
            <w:pPr>
              <w:pStyle w:val="165"/>
              <w:jc w:val="center"/>
            </w:pPr>
            <w:r>
              <w:rPr>
                <w:b/>
                <w:sz w:val="21"/>
              </w:rPr>
              <w:t>P</w:t>
            </w:r>
          </w:p>
        </w:tc>
      </w:tr>
      <w:tr w14:paraId="7C555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1584" w:type="dxa"/>
            <w:vAlign w:val="center"/>
          </w:tcPr>
          <w:p w14:paraId="75ABF289">
            <w:pPr>
              <w:pStyle w:val="165"/>
              <w:jc w:val="left"/>
            </w:pPr>
            <w:r>
              <w:rPr>
                <w:b w:val="0"/>
                <w:sz w:val="21"/>
              </w:rPr>
              <w:t>RSS</w:t>
            </w:r>
          </w:p>
        </w:tc>
        <w:tc>
          <w:tcPr>
            <w:tcW w:w="936" w:type="dxa"/>
            <w:vAlign w:val="center"/>
          </w:tcPr>
          <w:p w14:paraId="7D924AA8">
            <w:pPr>
              <w:pStyle w:val="165"/>
              <w:jc w:val="center"/>
            </w:pPr>
            <w:r>
              <w:rPr>
                <w:b w:val="0"/>
                <w:sz w:val="21"/>
              </w:rPr>
              <w:t>OR</w:t>
            </w:r>
          </w:p>
        </w:tc>
        <w:tc>
          <w:tcPr>
            <w:tcW w:w="4392" w:type="dxa"/>
            <w:vAlign w:val="center"/>
          </w:tcPr>
          <w:p w14:paraId="358ECF05">
            <w:pPr>
              <w:pStyle w:val="165"/>
              <w:jc w:val="center"/>
            </w:pPr>
            <w:r>
              <w:rPr>
                <w:b w:val="0"/>
                <w:sz w:val="21"/>
              </w:rPr>
              <w:t>0.55 (0.22 to 1.38)</w:t>
            </w:r>
          </w:p>
        </w:tc>
        <w:tc>
          <w:tcPr>
            <w:tcW w:w="1080" w:type="dxa"/>
            <w:vAlign w:val="center"/>
          </w:tcPr>
          <w:p w14:paraId="5268375B">
            <w:pPr>
              <w:pStyle w:val="165"/>
              <w:jc w:val="center"/>
            </w:pPr>
            <w:r>
              <w:rPr>
                <w:b w:val="0"/>
                <w:sz w:val="21"/>
              </w:rPr>
              <w:t>0.205</w:t>
            </w:r>
          </w:p>
        </w:tc>
        <w:tc>
          <w:tcPr>
            <w:tcW w:w="3744" w:type="dxa"/>
            <w:vAlign w:val="center"/>
          </w:tcPr>
          <w:p w14:paraId="46EF94E6">
            <w:pPr>
              <w:pStyle w:val="165"/>
              <w:jc w:val="center"/>
            </w:pPr>
            <w:r>
              <w:rPr>
                <w:b w:val="0"/>
                <w:sz w:val="21"/>
              </w:rPr>
              <w:t>0.96 (0.25 to 3.70)</w:t>
            </w:r>
          </w:p>
        </w:tc>
        <w:tc>
          <w:tcPr>
            <w:tcW w:w="1080" w:type="dxa"/>
            <w:vAlign w:val="center"/>
          </w:tcPr>
          <w:p w14:paraId="064C44DF">
            <w:pPr>
              <w:pStyle w:val="165"/>
              <w:jc w:val="center"/>
            </w:pPr>
            <w:r>
              <w:rPr>
                <w:b w:val="0"/>
                <w:sz w:val="21"/>
              </w:rPr>
              <w:t>0.951</w:t>
            </w:r>
          </w:p>
        </w:tc>
      </w:tr>
      <w:tr w14:paraId="13277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1584" w:type="dxa"/>
            <w:vAlign w:val="center"/>
          </w:tcPr>
          <w:p w14:paraId="58CF4616">
            <w:pPr>
              <w:pStyle w:val="165"/>
              <w:jc w:val="left"/>
            </w:pPr>
            <w:r>
              <w:rPr>
                <w:b w:val="0"/>
                <w:sz w:val="21"/>
              </w:rPr>
              <w:t>PSAS</w:t>
            </w:r>
          </w:p>
        </w:tc>
        <w:tc>
          <w:tcPr>
            <w:tcW w:w="936" w:type="dxa"/>
            <w:vAlign w:val="center"/>
          </w:tcPr>
          <w:p w14:paraId="14B42F6B">
            <w:pPr>
              <w:pStyle w:val="165"/>
              <w:jc w:val="center"/>
            </w:pPr>
            <w:r>
              <w:rPr>
                <w:b w:val="0"/>
                <w:sz w:val="21"/>
              </w:rPr>
              <w:t>OR</w:t>
            </w:r>
          </w:p>
        </w:tc>
        <w:tc>
          <w:tcPr>
            <w:tcW w:w="4392" w:type="dxa"/>
            <w:vAlign w:val="center"/>
          </w:tcPr>
          <w:p w14:paraId="600C8A0E">
            <w:pPr>
              <w:pStyle w:val="165"/>
              <w:jc w:val="center"/>
            </w:pPr>
            <w:r>
              <w:rPr>
                <w:b w:val="0"/>
                <w:sz w:val="21"/>
              </w:rPr>
              <w:t>0.77 (0.23 to 2.59)</w:t>
            </w:r>
          </w:p>
        </w:tc>
        <w:tc>
          <w:tcPr>
            <w:tcW w:w="1080" w:type="dxa"/>
            <w:vAlign w:val="center"/>
          </w:tcPr>
          <w:p w14:paraId="0F92FE1D">
            <w:pPr>
              <w:pStyle w:val="165"/>
              <w:jc w:val="center"/>
            </w:pPr>
            <w:r>
              <w:rPr>
                <w:b w:val="0"/>
                <w:sz w:val="21"/>
              </w:rPr>
              <w:t>0.673</w:t>
            </w:r>
          </w:p>
        </w:tc>
        <w:tc>
          <w:tcPr>
            <w:tcW w:w="3744" w:type="dxa"/>
            <w:vAlign w:val="center"/>
          </w:tcPr>
          <w:p w14:paraId="0F642482">
            <w:pPr>
              <w:pStyle w:val="165"/>
              <w:jc w:val="center"/>
            </w:pPr>
            <w:r>
              <w:rPr>
                <w:b w:val="0"/>
                <w:sz w:val="21"/>
              </w:rPr>
              <w:t>2.24 (0.51 to 9.78)</w:t>
            </w:r>
          </w:p>
        </w:tc>
        <w:tc>
          <w:tcPr>
            <w:tcW w:w="1080" w:type="dxa"/>
            <w:vAlign w:val="center"/>
          </w:tcPr>
          <w:p w14:paraId="09F71527">
            <w:pPr>
              <w:pStyle w:val="165"/>
              <w:jc w:val="center"/>
            </w:pPr>
            <w:r>
              <w:rPr>
                <w:b w:val="0"/>
                <w:sz w:val="21"/>
              </w:rPr>
              <w:t>0.283</w:t>
            </w:r>
          </w:p>
        </w:tc>
      </w:tr>
      <w:tr w14:paraId="2C9AD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1584" w:type="dxa"/>
            <w:vAlign w:val="center"/>
          </w:tcPr>
          <w:p w14:paraId="5E6B4756">
            <w:pPr>
              <w:pStyle w:val="165"/>
              <w:jc w:val="left"/>
            </w:pPr>
            <w:r>
              <w:rPr>
                <w:b w:val="0"/>
                <w:sz w:val="21"/>
              </w:rPr>
              <w:t>MAS</w:t>
            </w:r>
          </w:p>
        </w:tc>
        <w:tc>
          <w:tcPr>
            <w:tcW w:w="936" w:type="dxa"/>
            <w:vAlign w:val="center"/>
          </w:tcPr>
          <w:p w14:paraId="5FA68576">
            <w:pPr>
              <w:pStyle w:val="165"/>
              <w:jc w:val="center"/>
            </w:pPr>
            <w:r>
              <w:rPr>
                <w:b w:val="0"/>
                <w:sz w:val="21"/>
              </w:rPr>
              <w:t>OR</w:t>
            </w:r>
          </w:p>
        </w:tc>
        <w:tc>
          <w:tcPr>
            <w:tcW w:w="4392" w:type="dxa"/>
            <w:vAlign w:val="center"/>
          </w:tcPr>
          <w:p w14:paraId="540DFA5E">
            <w:pPr>
              <w:pStyle w:val="165"/>
              <w:jc w:val="center"/>
            </w:pPr>
            <w:r>
              <w:rPr>
                <w:b w:val="0"/>
                <w:sz w:val="21"/>
              </w:rPr>
              <w:t>1.51 (0.46 to 4.96)</w:t>
            </w:r>
          </w:p>
        </w:tc>
        <w:tc>
          <w:tcPr>
            <w:tcW w:w="1080" w:type="dxa"/>
            <w:vAlign w:val="center"/>
          </w:tcPr>
          <w:p w14:paraId="0B89F5D0">
            <w:pPr>
              <w:pStyle w:val="165"/>
              <w:jc w:val="center"/>
            </w:pPr>
            <w:r>
              <w:rPr>
                <w:b w:val="0"/>
                <w:sz w:val="21"/>
              </w:rPr>
              <w:t>0.499</w:t>
            </w:r>
          </w:p>
        </w:tc>
        <w:tc>
          <w:tcPr>
            <w:tcW w:w="3744" w:type="dxa"/>
            <w:vAlign w:val="center"/>
          </w:tcPr>
          <w:p w14:paraId="27666454">
            <w:pPr>
              <w:pStyle w:val="165"/>
              <w:jc w:val="center"/>
            </w:pPr>
            <w:r>
              <w:rPr>
                <w:b w:val="0"/>
                <w:sz w:val="21"/>
              </w:rPr>
              <w:t>1.59 (0.38 to 6.58)</w:t>
            </w:r>
          </w:p>
        </w:tc>
        <w:tc>
          <w:tcPr>
            <w:tcW w:w="1080" w:type="dxa"/>
            <w:vAlign w:val="center"/>
          </w:tcPr>
          <w:p w14:paraId="37724BBF">
            <w:pPr>
              <w:pStyle w:val="165"/>
              <w:jc w:val="center"/>
            </w:pPr>
            <w:r>
              <w:rPr>
                <w:b w:val="0"/>
                <w:sz w:val="21"/>
              </w:rPr>
              <w:t>0.524</w:t>
            </w:r>
          </w:p>
        </w:tc>
      </w:tr>
      <w:tr w14:paraId="1912B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1584" w:type="dxa"/>
            <w:vAlign w:val="center"/>
          </w:tcPr>
          <w:p w14:paraId="4DF39245">
            <w:pPr>
              <w:pStyle w:val="165"/>
              <w:jc w:val="left"/>
            </w:pPr>
            <w:r>
              <w:rPr>
                <w:b w:val="0"/>
                <w:sz w:val="21"/>
              </w:rPr>
              <w:t>Latency</w:t>
            </w:r>
          </w:p>
        </w:tc>
        <w:tc>
          <w:tcPr>
            <w:tcW w:w="936" w:type="dxa"/>
            <w:vAlign w:val="center"/>
          </w:tcPr>
          <w:p w14:paraId="5E3139B9">
            <w:pPr>
              <w:pStyle w:val="165"/>
              <w:jc w:val="center"/>
            </w:pPr>
            <w:r>
              <w:rPr>
                <w:b w:val="0"/>
                <w:sz w:val="21"/>
              </w:rPr>
              <w:t>MD</w:t>
            </w:r>
          </w:p>
        </w:tc>
        <w:tc>
          <w:tcPr>
            <w:tcW w:w="4392" w:type="dxa"/>
            <w:vAlign w:val="center"/>
          </w:tcPr>
          <w:p w14:paraId="3EF91B6A">
            <w:pPr>
              <w:pStyle w:val="165"/>
              <w:jc w:val="center"/>
            </w:pPr>
            <w:r>
              <w:rPr>
                <w:b w:val="0"/>
                <w:sz w:val="21"/>
              </w:rPr>
              <w:t>1.17 (−0.81 to 3.15)</w:t>
            </w:r>
          </w:p>
        </w:tc>
        <w:tc>
          <w:tcPr>
            <w:tcW w:w="1080" w:type="dxa"/>
            <w:vAlign w:val="center"/>
          </w:tcPr>
          <w:p w14:paraId="0011ABD4">
            <w:pPr>
              <w:pStyle w:val="165"/>
              <w:jc w:val="center"/>
            </w:pPr>
            <w:r>
              <w:rPr>
                <w:b w:val="0"/>
                <w:sz w:val="21"/>
              </w:rPr>
              <w:t>0.234</w:t>
            </w:r>
          </w:p>
        </w:tc>
        <w:tc>
          <w:tcPr>
            <w:tcW w:w="3744" w:type="dxa"/>
            <w:vAlign w:val="center"/>
          </w:tcPr>
          <w:p w14:paraId="428EBC03">
            <w:pPr>
              <w:pStyle w:val="165"/>
              <w:jc w:val="center"/>
            </w:pPr>
            <w:r>
              <w:rPr>
                <w:b w:val="0"/>
                <w:sz w:val="21"/>
              </w:rPr>
              <w:t>0.33 (−2.18 to 2.84)</w:t>
            </w:r>
          </w:p>
        </w:tc>
        <w:tc>
          <w:tcPr>
            <w:tcW w:w="1080" w:type="dxa"/>
            <w:vAlign w:val="center"/>
          </w:tcPr>
          <w:p w14:paraId="5210511C">
            <w:pPr>
              <w:pStyle w:val="165"/>
              <w:jc w:val="center"/>
            </w:pPr>
            <w:r>
              <w:rPr>
                <w:b w:val="0"/>
                <w:sz w:val="21"/>
              </w:rPr>
              <w:t>0.785</w:t>
            </w:r>
          </w:p>
        </w:tc>
      </w:tr>
      <w:tr w14:paraId="41F51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1584" w:type="dxa"/>
            <w:vAlign w:val="center"/>
          </w:tcPr>
          <w:p w14:paraId="061A172B">
            <w:pPr>
              <w:pStyle w:val="165"/>
              <w:jc w:val="left"/>
            </w:pPr>
            <w:r>
              <w:rPr>
                <w:b w:val="0"/>
                <w:sz w:val="21"/>
              </w:rPr>
              <w:t>PAED</w:t>
            </w:r>
          </w:p>
        </w:tc>
        <w:tc>
          <w:tcPr>
            <w:tcW w:w="936" w:type="dxa"/>
            <w:vAlign w:val="center"/>
          </w:tcPr>
          <w:p w14:paraId="3BB463E6">
            <w:pPr>
              <w:pStyle w:val="165"/>
              <w:jc w:val="center"/>
            </w:pPr>
            <w:r>
              <w:rPr>
                <w:b w:val="0"/>
                <w:sz w:val="21"/>
              </w:rPr>
              <w:t>MD</w:t>
            </w:r>
          </w:p>
        </w:tc>
        <w:tc>
          <w:tcPr>
            <w:tcW w:w="4392" w:type="dxa"/>
            <w:vAlign w:val="center"/>
          </w:tcPr>
          <w:p w14:paraId="7BB5BB62">
            <w:pPr>
              <w:pStyle w:val="165"/>
              <w:jc w:val="center"/>
            </w:pPr>
            <w:r>
              <w:rPr>
                <w:b w:val="0"/>
                <w:sz w:val="21"/>
              </w:rPr>
              <w:t>0.33 (−0.53 to 1.19)</w:t>
            </w:r>
          </w:p>
        </w:tc>
        <w:tc>
          <w:tcPr>
            <w:tcW w:w="1080" w:type="dxa"/>
            <w:vAlign w:val="center"/>
          </w:tcPr>
          <w:p w14:paraId="6F8F501B">
            <w:pPr>
              <w:pStyle w:val="165"/>
              <w:jc w:val="center"/>
            </w:pPr>
            <w:r>
              <w:rPr>
                <w:b w:val="0"/>
                <w:sz w:val="21"/>
              </w:rPr>
              <w:t>0.430</w:t>
            </w:r>
          </w:p>
        </w:tc>
        <w:tc>
          <w:tcPr>
            <w:tcW w:w="3744" w:type="dxa"/>
            <w:vAlign w:val="center"/>
          </w:tcPr>
          <w:p w14:paraId="7564585B">
            <w:pPr>
              <w:pStyle w:val="165"/>
              <w:jc w:val="center"/>
            </w:pPr>
            <w:r>
              <w:rPr>
                <w:b w:val="0"/>
                <w:sz w:val="21"/>
              </w:rPr>
              <w:t>−0.25 (−1.34 to 0.84)</w:t>
            </w:r>
          </w:p>
        </w:tc>
        <w:tc>
          <w:tcPr>
            <w:tcW w:w="1080" w:type="dxa"/>
            <w:vAlign w:val="center"/>
          </w:tcPr>
          <w:p w14:paraId="44B43681">
            <w:pPr>
              <w:pStyle w:val="165"/>
              <w:jc w:val="center"/>
            </w:pPr>
            <w:r>
              <w:rPr>
                <w:b w:val="0"/>
                <w:sz w:val="21"/>
              </w:rPr>
              <w:t>0.638</w:t>
            </w:r>
          </w:p>
        </w:tc>
      </w:tr>
      <w:tr w14:paraId="6F8F7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1584" w:type="dxa"/>
            <w:vAlign w:val="center"/>
          </w:tcPr>
          <w:p w14:paraId="53E40911">
            <w:pPr>
              <w:pStyle w:val="165"/>
              <w:jc w:val="left"/>
            </w:pPr>
            <w:r>
              <w:rPr>
                <w:b w:val="0"/>
                <w:sz w:val="21"/>
              </w:rPr>
              <w:t>Propofol</w:t>
            </w:r>
          </w:p>
        </w:tc>
        <w:tc>
          <w:tcPr>
            <w:tcW w:w="936" w:type="dxa"/>
            <w:vAlign w:val="center"/>
          </w:tcPr>
          <w:p w14:paraId="5E857ED1">
            <w:pPr>
              <w:pStyle w:val="165"/>
              <w:jc w:val="center"/>
            </w:pPr>
            <w:r>
              <w:rPr>
                <w:b w:val="0"/>
                <w:sz w:val="21"/>
              </w:rPr>
              <w:t>MD</w:t>
            </w:r>
          </w:p>
        </w:tc>
        <w:tc>
          <w:tcPr>
            <w:tcW w:w="4392" w:type="dxa"/>
            <w:vAlign w:val="center"/>
          </w:tcPr>
          <w:p w14:paraId="0C20FFDE">
            <w:pPr>
              <w:pStyle w:val="165"/>
              <w:jc w:val="center"/>
            </w:pPr>
            <w:r>
              <w:rPr>
                <w:b w:val="0"/>
                <w:sz w:val="21"/>
              </w:rPr>
              <w:t>−0.67 (−4.44 to 3.10)</w:t>
            </w:r>
          </w:p>
        </w:tc>
        <w:tc>
          <w:tcPr>
            <w:tcW w:w="1080" w:type="dxa"/>
            <w:vAlign w:val="center"/>
          </w:tcPr>
          <w:p w14:paraId="0E818029">
            <w:pPr>
              <w:pStyle w:val="165"/>
              <w:jc w:val="center"/>
            </w:pPr>
            <w:r>
              <w:rPr>
                <w:b w:val="0"/>
                <w:sz w:val="21"/>
              </w:rPr>
              <w:t>0.717</w:t>
            </w:r>
          </w:p>
        </w:tc>
        <w:tc>
          <w:tcPr>
            <w:tcW w:w="3744" w:type="dxa"/>
            <w:vAlign w:val="center"/>
          </w:tcPr>
          <w:p w14:paraId="45E2E6B4">
            <w:pPr>
              <w:pStyle w:val="165"/>
              <w:jc w:val="center"/>
            </w:pPr>
            <w:r>
              <w:rPr>
                <w:b w:val="0"/>
                <w:sz w:val="21"/>
              </w:rPr>
              <w:t>0.86 (−3.88 to 5.60)</w:t>
            </w:r>
          </w:p>
        </w:tc>
        <w:tc>
          <w:tcPr>
            <w:tcW w:w="1080" w:type="dxa"/>
            <w:vAlign w:val="center"/>
          </w:tcPr>
          <w:p w14:paraId="7AFD169C">
            <w:pPr>
              <w:pStyle w:val="165"/>
              <w:jc w:val="center"/>
            </w:pPr>
            <w:r>
              <w:rPr>
                <w:b w:val="0"/>
                <w:sz w:val="21"/>
              </w:rPr>
              <w:t>0.711</w:t>
            </w:r>
          </w:p>
        </w:tc>
      </w:tr>
      <w:tr w14:paraId="6515C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1584" w:type="dxa"/>
            <w:vAlign w:val="center"/>
          </w:tcPr>
          <w:p w14:paraId="4F0F326D">
            <w:pPr>
              <w:pStyle w:val="165"/>
              <w:jc w:val="left"/>
            </w:pPr>
            <w:r>
              <w:rPr>
                <w:b w:val="0"/>
                <w:sz w:val="21"/>
              </w:rPr>
              <w:t>MAP</w:t>
            </w:r>
          </w:p>
        </w:tc>
        <w:tc>
          <w:tcPr>
            <w:tcW w:w="936" w:type="dxa"/>
            <w:vAlign w:val="center"/>
          </w:tcPr>
          <w:p w14:paraId="3B2E5C82">
            <w:pPr>
              <w:pStyle w:val="165"/>
              <w:jc w:val="center"/>
            </w:pPr>
            <w:r>
              <w:rPr>
                <w:b w:val="0"/>
                <w:sz w:val="21"/>
              </w:rPr>
              <w:t>MD</w:t>
            </w:r>
          </w:p>
        </w:tc>
        <w:tc>
          <w:tcPr>
            <w:tcW w:w="4392" w:type="dxa"/>
            <w:vAlign w:val="center"/>
          </w:tcPr>
          <w:p w14:paraId="4FD5E752">
            <w:pPr>
              <w:pStyle w:val="165"/>
              <w:jc w:val="center"/>
            </w:pPr>
            <w:r>
              <w:rPr>
                <w:b w:val="0"/>
                <w:sz w:val="21"/>
              </w:rPr>
              <w:t>−0.10 (−1.14 to 0.95)</w:t>
            </w:r>
          </w:p>
        </w:tc>
        <w:tc>
          <w:tcPr>
            <w:tcW w:w="1080" w:type="dxa"/>
            <w:vAlign w:val="center"/>
          </w:tcPr>
          <w:p w14:paraId="37DB6E82">
            <w:pPr>
              <w:pStyle w:val="165"/>
              <w:jc w:val="center"/>
            </w:pPr>
            <w:r>
              <w:rPr>
                <w:b w:val="0"/>
                <w:sz w:val="21"/>
              </w:rPr>
              <w:t>0.852</w:t>
            </w:r>
          </w:p>
        </w:tc>
        <w:tc>
          <w:tcPr>
            <w:tcW w:w="3744" w:type="dxa"/>
            <w:vAlign w:val="center"/>
          </w:tcPr>
          <w:p w14:paraId="69D00A33">
            <w:pPr>
              <w:pStyle w:val="165"/>
              <w:jc w:val="center"/>
            </w:pPr>
            <w:r>
              <w:rPr>
                <w:b w:val="0"/>
                <w:sz w:val="21"/>
              </w:rPr>
              <w:t>2.52 (0.16 to 4.88)</w:t>
            </w:r>
          </w:p>
        </w:tc>
        <w:tc>
          <w:tcPr>
            <w:tcW w:w="1080" w:type="dxa"/>
            <w:vAlign w:val="center"/>
          </w:tcPr>
          <w:p w14:paraId="73354A60">
            <w:pPr>
              <w:pStyle w:val="165"/>
              <w:jc w:val="center"/>
            </w:pPr>
            <w:r>
              <w:rPr>
                <w:b w:val="0"/>
                <w:sz w:val="21"/>
              </w:rPr>
              <w:t>0.038</w:t>
            </w:r>
          </w:p>
        </w:tc>
      </w:tr>
      <w:tr w14:paraId="683E6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1584" w:type="dxa"/>
            <w:vAlign w:val="center"/>
          </w:tcPr>
          <w:p w14:paraId="2F38C35F">
            <w:pPr>
              <w:pStyle w:val="165"/>
              <w:jc w:val="left"/>
            </w:pPr>
            <w:r>
              <w:rPr>
                <w:b w:val="0"/>
                <w:sz w:val="21"/>
              </w:rPr>
              <w:t>HR</w:t>
            </w:r>
          </w:p>
        </w:tc>
        <w:tc>
          <w:tcPr>
            <w:tcW w:w="936" w:type="dxa"/>
            <w:vAlign w:val="center"/>
          </w:tcPr>
          <w:p w14:paraId="48645792">
            <w:pPr>
              <w:pStyle w:val="165"/>
              <w:jc w:val="center"/>
            </w:pPr>
            <w:r>
              <w:rPr>
                <w:b w:val="0"/>
                <w:sz w:val="21"/>
              </w:rPr>
              <w:t>MD</w:t>
            </w:r>
          </w:p>
        </w:tc>
        <w:tc>
          <w:tcPr>
            <w:tcW w:w="4392" w:type="dxa"/>
            <w:vAlign w:val="center"/>
          </w:tcPr>
          <w:p w14:paraId="4B97D1F7">
            <w:pPr>
              <w:pStyle w:val="165"/>
              <w:jc w:val="center"/>
            </w:pPr>
            <w:r>
              <w:rPr>
                <w:b w:val="0"/>
                <w:sz w:val="21"/>
              </w:rPr>
              <w:t>1.03 (0.003 to 2.06)</w:t>
            </w:r>
          </w:p>
        </w:tc>
        <w:tc>
          <w:tcPr>
            <w:tcW w:w="1080" w:type="dxa"/>
            <w:vAlign w:val="center"/>
          </w:tcPr>
          <w:p w14:paraId="7431A185">
            <w:pPr>
              <w:pStyle w:val="165"/>
              <w:jc w:val="center"/>
            </w:pPr>
            <w:r>
              <w:rPr>
                <w:b w:val="0"/>
                <w:sz w:val="21"/>
              </w:rPr>
              <w:t>0.049</w:t>
            </w:r>
          </w:p>
        </w:tc>
        <w:tc>
          <w:tcPr>
            <w:tcW w:w="3744" w:type="dxa"/>
            <w:vAlign w:val="center"/>
          </w:tcPr>
          <w:p w14:paraId="16B6F170">
            <w:pPr>
              <w:pStyle w:val="165"/>
              <w:jc w:val="center"/>
            </w:pPr>
            <w:r>
              <w:rPr>
                <w:b w:val="0"/>
                <w:sz w:val="21"/>
              </w:rPr>
              <w:t>−0.70 (−1.76 to 0.37)</w:t>
            </w:r>
          </w:p>
        </w:tc>
        <w:tc>
          <w:tcPr>
            <w:tcW w:w="1080" w:type="dxa"/>
            <w:vAlign w:val="center"/>
          </w:tcPr>
          <w:p w14:paraId="69D8AD6C">
            <w:pPr>
              <w:pStyle w:val="165"/>
              <w:jc w:val="center"/>
            </w:pPr>
            <w:r>
              <w:rPr>
                <w:b w:val="0"/>
                <w:sz w:val="21"/>
              </w:rPr>
              <w:t>0.193</w:t>
            </w:r>
          </w:p>
        </w:tc>
      </w:tr>
      <w:tr w14:paraId="30198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1584" w:type="dxa"/>
            <w:vAlign w:val="center"/>
          </w:tcPr>
          <w:p w14:paraId="5CE55D3D">
            <w:pPr>
              <w:pStyle w:val="165"/>
              <w:jc w:val="left"/>
            </w:pPr>
            <w:r>
              <w:rPr>
                <w:b w:val="0"/>
                <w:sz w:val="21"/>
              </w:rPr>
              <w:t>RR</w:t>
            </w:r>
          </w:p>
        </w:tc>
        <w:tc>
          <w:tcPr>
            <w:tcW w:w="936" w:type="dxa"/>
            <w:vAlign w:val="center"/>
          </w:tcPr>
          <w:p w14:paraId="67C21512">
            <w:pPr>
              <w:pStyle w:val="165"/>
              <w:jc w:val="center"/>
            </w:pPr>
            <w:r>
              <w:rPr>
                <w:b w:val="0"/>
                <w:sz w:val="21"/>
              </w:rPr>
              <w:t>MD</w:t>
            </w:r>
          </w:p>
        </w:tc>
        <w:tc>
          <w:tcPr>
            <w:tcW w:w="4392" w:type="dxa"/>
            <w:vAlign w:val="center"/>
          </w:tcPr>
          <w:p w14:paraId="40A53613">
            <w:pPr>
              <w:pStyle w:val="165"/>
              <w:jc w:val="center"/>
            </w:pPr>
            <w:r>
              <w:rPr>
                <w:b w:val="0"/>
                <w:sz w:val="21"/>
              </w:rPr>
              <w:t>−0.17 (−0.60 to 0.26)</w:t>
            </w:r>
          </w:p>
        </w:tc>
        <w:tc>
          <w:tcPr>
            <w:tcW w:w="1080" w:type="dxa"/>
            <w:vAlign w:val="center"/>
          </w:tcPr>
          <w:p w14:paraId="3A465E00">
            <w:pPr>
              <w:pStyle w:val="165"/>
              <w:jc w:val="center"/>
            </w:pPr>
            <w:r>
              <w:rPr>
                <w:b w:val="0"/>
                <w:sz w:val="21"/>
              </w:rPr>
              <w:t>0.425</w:t>
            </w:r>
          </w:p>
        </w:tc>
        <w:tc>
          <w:tcPr>
            <w:tcW w:w="3744" w:type="dxa"/>
            <w:vAlign w:val="center"/>
          </w:tcPr>
          <w:p w14:paraId="218AB696">
            <w:pPr>
              <w:pStyle w:val="165"/>
              <w:jc w:val="center"/>
            </w:pPr>
            <w:r>
              <w:rPr>
                <w:b w:val="0"/>
                <w:sz w:val="21"/>
              </w:rPr>
              <w:t>−0.62 (−1.59 to 0.35)</w:t>
            </w:r>
          </w:p>
        </w:tc>
        <w:tc>
          <w:tcPr>
            <w:tcW w:w="1080" w:type="dxa"/>
            <w:vAlign w:val="center"/>
          </w:tcPr>
          <w:p w14:paraId="46368439">
            <w:pPr>
              <w:pStyle w:val="165"/>
              <w:jc w:val="center"/>
            </w:pPr>
            <w:r>
              <w:rPr>
                <w:b w:val="0"/>
                <w:sz w:val="21"/>
              </w:rPr>
              <w:t>0.198</w:t>
            </w:r>
          </w:p>
        </w:tc>
      </w:tr>
      <w:tr w14:paraId="12381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1584" w:type="dxa"/>
            <w:tcBorders>
              <w:bottom w:val="single" w:color="000000" w:sz="10" w:space="0"/>
            </w:tcBorders>
            <w:vAlign w:val="center"/>
          </w:tcPr>
          <w:p w14:paraId="1AF72086">
            <w:pPr>
              <w:pStyle w:val="165"/>
              <w:jc w:val="left"/>
            </w:pPr>
            <w:r>
              <w:rPr>
                <w:b w:val="0"/>
                <w:sz w:val="21"/>
              </w:rPr>
              <w:t>SpO₂</w:t>
            </w:r>
          </w:p>
        </w:tc>
        <w:tc>
          <w:tcPr>
            <w:tcW w:w="936" w:type="dxa"/>
            <w:tcBorders>
              <w:bottom w:val="single" w:color="000000" w:sz="10" w:space="0"/>
            </w:tcBorders>
            <w:vAlign w:val="center"/>
          </w:tcPr>
          <w:p w14:paraId="5995EC30">
            <w:pPr>
              <w:pStyle w:val="165"/>
              <w:jc w:val="center"/>
            </w:pPr>
            <w:r>
              <w:rPr>
                <w:b w:val="0"/>
                <w:sz w:val="21"/>
              </w:rPr>
              <w:t>MD</w:t>
            </w:r>
          </w:p>
        </w:tc>
        <w:tc>
          <w:tcPr>
            <w:tcW w:w="4392" w:type="dxa"/>
            <w:tcBorders>
              <w:bottom w:val="single" w:color="000000" w:sz="10" w:space="0"/>
            </w:tcBorders>
            <w:vAlign w:val="center"/>
          </w:tcPr>
          <w:p w14:paraId="2594F276">
            <w:pPr>
              <w:pStyle w:val="165"/>
              <w:jc w:val="center"/>
            </w:pPr>
            <w:r>
              <w:rPr>
                <w:b w:val="0"/>
                <w:sz w:val="21"/>
              </w:rPr>
              <w:t>0.01 (−0.28 to 0.31)</w:t>
            </w:r>
          </w:p>
        </w:tc>
        <w:tc>
          <w:tcPr>
            <w:tcW w:w="1080" w:type="dxa"/>
            <w:tcBorders>
              <w:bottom w:val="single" w:color="000000" w:sz="10" w:space="0"/>
            </w:tcBorders>
            <w:vAlign w:val="center"/>
          </w:tcPr>
          <w:p w14:paraId="51E1054D">
            <w:pPr>
              <w:pStyle w:val="165"/>
              <w:jc w:val="center"/>
            </w:pPr>
            <w:r>
              <w:rPr>
                <w:b w:val="0"/>
                <w:sz w:val="21"/>
              </w:rPr>
              <w:t>0.925</w:t>
            </w:r>
          </w:p>
        </w:tc>
        <w:tc>
          <w:tcPr>
            <w:tcW w:w="3744" w:type="dxa"/>
            <w:tcBorders>
              <w:bottom w:val="single" w:color="000000" w:sz="10" w:space="0"/>
            </w:tcBorders>
            <w:vAlign w:val="center"/>
          </w:tcPr>
          <w:p w14:paraId="07DBC8BC">
            <w:pPr>
              <w:pStyle w:val="165"/>
              <w:jc w:val="center"/>
            </w:pPr>
            <w:r>
              <w:rPr>
                <w:b w:val="0"/>
                <w:sz w:val="21"/>
              </w:rPr>
              <w:t>−0.02 (−0.35 to 0.32)</w:t>
            </w:r>
          </w:p>
        </w:tc>
        <w:tc>
          <w:tcPr>
            <w:tcW w:w="1080" w:type="dxa"/>
            <w:tcBorders>
              <w:bottom w:val="single" w:color="000000" w:sz="10" w:space="0"/>
            </w:tcBorders>
            <w:vAlign w:val="center"/>
          </w:tcPr>
          <w:p w14:paraId="5303CB1C">
            <w:pPr>
              <w:pStyle w:val="165"/>
              <w:jc w:val="center"/>
            </w:pPr>
            <w:r>
              <w:rPr>
                <w:b w:val="0"/>
                <w:sz w:val="21"/>
              </w:rPr>
              <w:t>0.919</w:t>
            </w:r>
          </w:p>
        </w:tc>
      </w:tr>
    </w:tbl>
    <w:p w14:paraId="7CF69D1A">
      <w:pPr>
        <w:pStyle w:val="166"/>
      </w:pPr>
      <w:r>
        <w:t>OR, cumulative odds ratio for a higher score; MD, adjusted mean difference in the outcome’s original units. Propofol estimates adjust for session body weight. Sequence coefficients compare different children and may include between-child or calendar-cohort differences. P values are not adjusted for multiple comparisons; these coefficients are not confirmatory tests of carryover. Non-significance does not prove absence of carryover; a standard two-period design cannot separately identify sequence and all treatment-dependent carryover components without additional assumptions.</w:t>
      </w:r>
    </w:p>
    <w:p w14:paraId="4D9F9838">
      <w:pPr>
        <w:pStyle w:val="3"/>
        <w:pageBreakBefore/>
        <w:spacing w:before="0"/>
      </w:pPr>
      <w:r>
        <w:t>Table S3. Sensitivity to inter-session interval and linear calendar time</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70" w:type="dxa"/>
          <w:left w:w="70" w:type="dxa"/>
          <w:bottom w:w="70" w:type="dxa"/>
          <w:right w:w="70" w:type="dxa"/>
        </w:tblCellMar>
      </w:tblPr>
      <w:tblGrid>
        <w:gridCol w:w="2304"/>
        <w:gridCol w:w="3456"/>
        <w:gridCol w:w="3528"/>
        <w:gridCol w:w="3528"/>
      </w:tblGrid>
      <w:tr w14:paraId="1B8D4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tblHeader/>
          <w:jc w:val="center"/>
        </w:trPr>
        <w:tc>
          <w:tcPr>
            <w:tcW w:w="2304" w:type="dxa"/>
            <w:tcBorders>
              <w:top w:val="single" w:color="000000" w:sz="10" w:space="0"/>
              <w:bottom w:val="single" w:color="000000" w:sz="6" w:space="0"/>
            </w:tcBorders>
            <w:vAlign w:val="center"/>
          </w:tcPr>
          <w:p w14:paraId="406EC183">
            <w:pPr>
              <w:pStyle w:val="165"/>
              <w:jc w:val="left"/>
            </w:pPr>
            <w:r>
              <w:rPr>
                <w:b/>
                <w:sz w:val="21"/>
              </w:rPr>
              <w:t>Outcome / effect</w:t>
            </w:r>
          </w:p>
        </w:tc>
        <w:tc>
          <w:tcPr>
            <w:tcW w:w="3456" w:type="dxa"/>
            <w:tcBorders>
              <w:top w:val="single" w:color="000000" w:sz="10" w:space="0"/>
              <w:bottom w:val="single" w:color="000000" w:sz="6" w:space="0"/>
            </w:tcBorders>
            <w:vAlign w:val="center"/>
          </w:tcPr>
          <w:p w14:paraId="56422E64">
            <w:pPr>
              <w:pStyle w:val="165"/>
              <w:jc w:val="center"/>
            </w:pPr>
            <w:r>
              <w:rPr>
                <w:b/>
                <w:sz w:val="21"/>
              </w:rPr>
              <w:t>Core model</w:t>
            </w:r>
          </w:p>
        </w:tc>
        <w:tc>
          <w:tcPr>
            <w:tcW w:w="3528" w:type="dxa"/>
            <w:tcBorders>
              <w:top w:val="single" w:color="000000" w:sz="10" w:space="0"/>
              <w:bottom w:val="single" w:color="000000" w:sz="6" w:space="0"/>
            </w:tcBorders>
            <w:vAlign w:val="center"/>
          </w:tcPr>
          <w:p w14:paraId="19B2DD88">
            <w:pPr>
              <w:pStyle w:val="165"/>
              <w:jc w:val="center"/>
            </w:pPr>
            <w:r>
              <w:rPr>
                <w:b/>
                <w:sz w:val="21"/>
              </w:rPr>
              <w:t>+ interval deviation</w:t>
            </w:r>
          </w:p>
        </w:tc>
        <w:tc>
          <w:tcPr>
            <w:tcW w:w="3528" w:type="dxa"/>
            <w:tcBorders>
              <w:top w:val="single" w:color="000000" w:sz="10" w:space="0"/>
              <w:bottom w:val="single" w:color="000000" w:sz="6" w:space="0"/>
            </w:tcBorders>
            <w:vAlign w:val="center"/>
          </w:tcPr>
          <w:p w14:paraId="532F057E">
            <w:pPr>
              <w:pStyle w:val="165"/>
              <w:jc w:val="center"/>
            </w:pPr>
            <w:r>
              <w:rPr>
                <w:b/>
                <w:sz w:val="21"/>
              </w:rPr>
              <w:t>+ linear calendar time</w:t>
            </w:r>
          </w:p>
        </w:tc>
      </w:tr>
      <w:tr w14:paraId="1E868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2304" w:type="dxa"/>
            <w:vAlign w:val="center"/>
          </w:tcPr>
          <w:p w14:paraId="79074D57">
            <w:pPr>
              <w:pStyle w:val="165"/>
              <w:jc w:val="left"/>
            </w:pPr>
            <w:r>
              <w:rPr>
                <w:b w:val="0"/>
                <w:sz w:val="21"/>
              </w:rPr>
              <w:t>RSS T4 (OR)</w:t>
            </w:r>
          </w:p>
        </w:tc>
        <w:tc>
          <w:tcPr>
            <w:tcW w:w="3456" w:type="dxa"/>
            <w:vAlign w:val="center"/>
          </w:tcPr>
          <w:p w14:paraId="3F64F829">
            <w:pPr>
              <w:pStyle w:val="165"/>
              <w:jc w:val="center"/>
            </w:pPr>
            <w:r>
              <w:rPr>
                <w:b w:val="0"/>
                <w:sz w:val="21"/>
              </w:rPr>
              <w:t>111.3 (17.5 to 705.8)</w:t>
            </w:r>
            <w:r>
              <w:rPr>
                <w:b w:val="0"/>
                <w:sz w:val="21"/>
              </w:rPr>
              <w:br w:type="textWrapping"/>
            </w:r>
            <w:r>
              <w:rPr>
                <w:b w:val="0"/>
                <w:sz w:val="21"/>
              </w:rPr>
              <w:t>P &lt; 0.001</w:t>
            </w:r>
          </w:p>
        </w:tc>
        <w:tc>
          <w:tcPr>
            <w:tcW w:w="3528" w:type="dxa"/>
            <w:vAlign w:val="center"/>
          </w:tcPr>
          <w:p w14:paraId="35058738">
            <w:pPr>
              <w:pStyle w:val="165"/>
              <w:jc w:val="center"/>
            </w:pPr>
            <w:r>
              <w:rPr>
                <w:b w:val="0"/>
                <w:sz w:val="21"/>
              </w:rPr>
              <w:t>140.3 (21.2 to 928.9)</w:t>
            </w:r>
            <w:r>
              <w:rPr>
                <w:b w:val="0"/>
                <w:sz w:val="21"/>
              </w:rPr>
              <w:br w:type="textWrapping"/>
            </w:r>
            <w:r>
              <w:rPr>
                <w:b w:val="0"/>
                <w:sz w:val="21"/>
              </w:rPr>
              <w:t>P &lt; 0.001</w:t>
            </w:r>
          </w:p>
        </w:tc>
        <w:tc>
          <w:tcPr>
            <w:tcW w:w="3528" w:type="dxa"/>
            <w:vAlign w:val="center"/>
          </w:tcPr>
          <w:p w14:paraId="77A1BC6C">
            <w:pPr>
              <w:pStyle w:val="165"/>
              <w:jc w:val="center"/>
            </w:pPr>
            <w:r>
              <w:rPr>
                <w:b w:val="0"/>
                <w:sz w:val="21"/>
              </w:rPr>
              <w:t>110.8 (17.5 to 703.0)</w:t>
            </w:r>
            <w:r>
              <w:rPr>
                <w:b w:val="0"/>
                <w:sz w:val="21"/>
              </w:rPr>
              <w:br w:type="textWrapping"/>
            </w:r>
            <w:r>
              <w:rPr>
                <w:b w:val="0"/>
                <w:sz w:val="21"/>
              </w:rPr>
              <w:t>P &lt; 0.001</w:t>
            </w:r>
          </w:p>
        </w:tc>
      </w:tr>
      <w:tr w14:paraId="22D29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2304" w:type="dxa"/>
            <w:vAlign w:val="center"/>
          </w:tcPr>
          <w:p w14:paraId="35A451A4">
            <w:pPr>
              <w:pStyle w:val="165"/>
              <w:jc w:val="left"/>
            </w:pPr>
            <w:r>
              <w:rPr>
                <w:b w:val="0"/>
                <w:sz w:val="21"/>
              </w:rPr>
              <w:t>RSS T5 (OR)</w:t>
            </w:r>
          </w:p>
        </w:tc>
        <w:tc>
          <w:tcPr>
            <w:tcW w:w="3456" w:type="dxa"/>
            <w:vAlign w:val="center"/>
          </w:tcPr>
          <w:p w14:paraId="36680225">
            <w:pPr>
              <w:pStyle w:val="165"/>
              <w:jc w:val="center"/>
            </w:pPr>
            <w:r>
              <w:rPr>
                <w:b w:val="0"/>
                <w:sz w:val="21"/>
              </w:rPr>
              <w:t>2970 (333.1 to 26480)</w:t>
            </w:r>
            <w:r>
              <w:rPr>
                <w:b w:val="0"/>
                <w:sz w:val="21"/>
              </w:rPr>
              <w:br w:type="textWrapping"/>
            </w:r>
            <w:r>
              <w:rPr>
                <w:b w:val="0"/>
                <w:sz w:val="21"/>
              </w:rPr>
              <w:t>P &lt; 0.001</w:t>
            </w:r>
          </w:p>
        </w:tc>
        <w:tc>
          <w:tcPr>
            <w:tcW w:w="3528" w:type="dxa"/>
            <w:vAlign w:val="center"/>
          </w:tcPr>
          <w:p w14:paraId="014DB2A4">
            <w:pPr>
              <w:pStyle w:val="165"/>
              <w:jc w:val="center"/>
            </w:pPr>
            <w:r>
              <w:rPr>
                <w:b w:val="0"/>
                <w:sz w:val="21"/>
              </w:rPr>
              <w:t>3659 (396.9 to 33730)</w:t>
            </w:r>
            <w:r>
              <w:rPr>
                <w:b w:val="0"/>
                <w:sz w:val="21"/>
              </w:rPr>
              <w:br w:type="textWrapping"/>
            </w:r>
            <w:r>
              <w:rPr>
                <w:b w:val="0"/>
                <w:sz w:val="21"/>
              </w:rPr>
              <w:t>P &lt; 0.001</w:t>
            </w:r>
          </w:p>
        </w:tc>
        <w:tc>
          <w:tcPr>
            <w:tcW w:w="3528" w:type="dxa"/>
            <w:vAlign w:val="center"/>
          </w:tcPr>
          <w:p w14:paraId="192B0D99">
            <w:pPr>
              <w:pStyle w:val="165"/>
              <w:jc w:val="center"/>
            </w:pPr>
            <w:r>
              <w:rPr>
                <w:b w:val="0"/>
                <w:sz w:val="21"/>
              </w:rPr>
              <w:t>2960 (332.1 to 26380)</w:t>
            </w:r>
            <w:r>
              <w:rPr>
                <w:b w:val="0"/>
                <w:sz w:val="21"/>
              </w:rPr>
              <w:br w:type="textWrapping"/>
            </w:r>
            <w:r>
              <w:rPr>
                <w:b w:val="0"/>
                <w:sz w:val="21"/>
              </w:rPr>
              <w:t>P &lt; 0.001</w:t>
            </w:r>
          </w:p>
        </w:tc>
      </w:tr>
      <w:tr w14:paraId="18042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2304" w:type="dxa"/>
            <w:vAlign w:val="center"/>
          </w:tcPr>
          <w:p w14:paraId="56ADC370">
            <w:pPr>
              <w:pStyle w:val="165"/>
              <w:jc w:val="left"/>
            </w:pPr>
            <w:r>
              <w:rPr>
                <w:b w:val="0"/>
                <w:sz w:val="21"/>
              </w:rPr>
              <w:t>PSAS (OR)</w:t>
            </w:r>
          </w:p>
        </w:tc>
        <w:tc>
          <w:tcPr>
            <w:tcW w:w="3456" w:type="dxa"/>
            <w:vAlign w:val="center"/>
          </w:tcPr>
          <w:p w14:paraId="27CCFCDC">
            <w:pPr>
              <w:pStyle w:val="165"/>
              <w:jc w:val="center"/>
            </w:pPr>
            <w:r>
              <w:rPr>
                <w:b w:val="0"/>
                <w:sz w:val="21"/>
              </w:rPr>
              <w:t>0.023 (0.003 to 0.21)</w:t>
            </w:r>
            <w:r>
              <w:rPr>
                <w:b w:val="0"/>
                <w:sz w:val="21"/>
              </w:rPr>
              <w:br w:type="textWrapping"/>
            </w:r>
            <w:r>
              <w:rPr>
                <w:b w:val="0"/>
                <w:sz w:val="21"/>
              </w:rPr>
              <w:t>P &lt; 0.001</w:t>
            </w:r>
          </w:p>
        </w:tc>
        <w:tc>
          <w:tcPr>
            <w:tcW w:w="3528" w:type="dxa"/>
            <w:vAlign w:val="center"/>
          </w:tcPr>
          <w:p w14:paraId="6BF16C1C">
            <w:pPr>
              <w:pStyle w:val="165"/>
              <w:jc w:val="center"/>
            </w:pPr>
            <w:r>
              <w:rPr>
                <w:b w:val="0"/>
                <w:sz w:val="21"/>
              </w:rPr>
              <w:t>0.005 (0.00022 to 0.11)</w:t>
            </w:r>
            <w:r>
              <w:rPr>
                <w:b w:val="0"/>
                <w:sz w:val="21"/>
              </w:rPr>
              <w:br w:type="textWrapping"/>
            </w:r>
            <w:r>
              <w:rPr>
                <w:b w:val="0"/>
                <w:sz w:val="21"/>
              </w:rPr>
              <w:t>P &lt; 0.001</w:t>
            </w:r>
          </w:p>
        </w:tc>
        <w:tc>
          <w:tcPr>
            <w:tcW w:w="3528" w:type="dxa"/>
            <w:vAlign w:val="center"/>
          </w:tcPr>
          <w:p w14:paraId="6C5D902A">
            <w:pPr>
              <w:pStyle w:val="165"/>
              <w:jc w:val="center"/>
            </w:pPr>
            <w:r>
              <w:rPr>
                <w:b w:val="0"/>
                <w:sz w:val="21"/>
              </w:rPr>
              <w:t>0.024 (0.003 to 0.22)</w:t>
            </w:r>
            <w:r>
              <w:rPr>
                <w:b w:val="0"/>
                <w:sz w:val="21"/>
              </w:rPr>
              <w:br w:type="textWrapping"/>
            </w:r>
            <w:r>
              <w:rPr>
                <w:b w:val="0"/>
                <w:sz w:val="21"/>
              </w:rPr>
              <w:t>P &lt; 0.001</w:t>
            </w:r>
          </w:p>
        </w:tc>
      </w:tr>
      <w:tr w14:paraId="12455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2304" w:type="dxa"/>
            <w:vAlign w:val="center"/>
          </w:tcPr>
          <w:p w14:paraId="04145D59">
            <w:pPr>
              <w:pStyle w:val="165"/>
              <w:jc w:val="left"/>
            </w:pPr>
            <w:r>
              <w:rPr>
                <w:b w:val="0"/>
                <w:sz w:val="21"/>
              </w:rPr>
              <w:t>MAS (OR)</w:t>
            </w:r>
          </w:p>
        </w:tc>
        <w:tc>
          <w:tcPr>
            <w:tcW w:w="3456" w:type="dxa"/>
            <w:vAlign w:val="center"/>
          </w:tcPr>
          <w:p w14:paraId="540E9E10">
            <w:pPr>
              <w:pStyle w:val="165"/>
              <w:jc w:val="center"/>
            </w:pPr>
            <w:r>
              <w:rPr>
                <w:b w:val="0"/>
                <w:sz w:val="21"/>
              </w:rPr>
              <w:t>0.016 (0.002 to 0.13)</w:t>
            </w:r>
            <w:r>
              <w:rPr>
                <w:b w:val="0"/>
                <w:sz w:val="21"/>
              </w:rPr>
              <w:br w:type="textWrapping"/>
            </w:r>
            <w:r>
              <w:rPr>
                <w:b w:val="0"/>
                <w:sz w:val="21"/>
              </w:rPr>
              <w:t>P &lt; 0.001</w:t>
            </w:r>
          </w:p>
        </w:tc>
        <w:tc>
          <w:tcPr>
            <w:tcW w:w="3528" w:type="dxa"/>
            <w:vAlign w:val="center"/>
          </w:tcPr>
          <w:p w14:paraId="253FEA32">
            <w:pPr>
              <w:pStyle w:val="165"/>
              <w:jc w:val="center"/>
            </w:pPr>
            <w:r>
              <w:rPr>
                <w:b w:val="0"/>
                <w:sz w:val="21"/>
              </w:rPr>
              <w:t>0.007 (0.00051 to 0.093)</w:t>
            </w:r>
            <w:r>
              <w:rPr>
                <w:b w:val="0"/>
                <w:sz w:val="21"/>
              </w:rPr>
              <w:br w:type="textWrapping"/>
            </w:r>
            <w:r>
              <w:rPr>
                <w:b w:val="0"/>
                <w:sz w:val="21"/>
              </w:rPr>
              <w:t>P &lt; 0.001</w:t>
            </w:r>
          </w:p>
        </w:tc>
        <w:tc>
          <w:tcPr>
            <w:tcW w:w="3528" w:type="dxa"/>
            <w:vAlign w:val="center"/>
          </w:tcPr>
          <w:p w14:paraId="64D440EA">
            <w:pPr>
              <w:pStyle w:val="165"/>
              <w:jc w:val="center"/>
            </w:pPr>
            <w:r>
              <w:rPr>
                <w:b w:val="0"/>
                <w:sz w:val="21"/>
              </w:rPr>
              <w:t>0.017 (0.002 to 0.14)</w:t>
            </w:r>
            <w:r>
              <w:rPr>
                <w:b w:val="0"/>
                <w:sz w:val="21"/>
              </w:rPr>
              <w:br w:type="textWrapping"/>
            </w:r>
            <w:r>
              <w:rPr>
                <w:b w:val="0"/>
                <w:sz w:val="21"/>
              </w:rPr>
              <w:t>P &lt; 0.001</w:t>
            </w:r>
          </w:p>
        </w:tc>
      </w:tr>
      <w:tr w14:paraId="6772C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2304" w:type="dxa"/>
            <w:vAlign w:val="center"/>
          </w:tcPr>
          <w:p w14:paraId="41A5FCFD">
            <w:pPr>
              <w:pStyle w:val="165"/>
              <w:jc w:val="left"/>
            </w:pPr>
            <w:r>
              <w:rPr>
                <w:b w:val="0"/>
                <w:sz w:val="21"/>
              </w:rPr>
              <w:t>PAED (MD)</w:t>
            </w:r>
          </w:p>
        </w:tc>
        <w:tc>
          <w:tcPr>
            <w:tcW w:w="3456" w:type="dxa"/>
            <w:vAlign w:val="center"/>
          </w:tcPr>
          <w:p w14:paraId="7941B973">
            <w:pPr>
              <w:pStyle w:val="165"/>
              <w:jc w:val="center"/>
            </w:pPr>
            <w:r>
              <w:rPr>
                <w:b w:val="0"/>
                <w:sz w:val="21"/>
              </w:rPr>
              <w:t>−1.33 (−2.19 to −0.47)</w:t>
            </w:r>
            <w:r>
              <w:rPr>
                <w:b w:val="0"/>
                <w:sz w:val="21"/>
              </w:rPr>
              <w:br w:type="textWrapping"/>
            </w:r>
            <w:r>
              <w:rPr>
                <w:b w:val="0"/>
                <w:sz w:val="21"/>
              </w:rPr>
              <w:t>P = 0.004</w:t>
            </w:r>
          </w:p>
        </w:tc>
        <w:tc>
          <w:tcPr>
            <w:tcW w:w="3528" w:type="dxa"/>
            <w:vAlign w:val="center"/>
          </w:tcPr>
          <w:p w14:paraId="72239B0F">
            <w:pPr>
              <w:pStyle w:val="165"/>
              <w:jc w:val="center"/>
            </w:pPr>
            <w:r>
              <w:rPr>
                <w:b w:val="0"/>
                <w:sz w:val="21"/>
              </w:rPr>
              <w:t>−1.49 (−2.43 to −0.56)</w:t>
            </w:r>
            <w:r>
              <w:rPr>
                <w:b w:val="0"/>
                <w:sz w:val="21"/>
              </w:rPr>
              <w:br w:type="textWrapping"/>
            </w:r>
            <w:r>
              <w:rPr>
                <w:b w:val="0"/>
                <w:sz w:val="21"/>
              </w:rPr>
              <w:t>P = 0.003</w:t>
            </w:r>
          </w:p>
        </w:tc>
        <w:tc>
          <w:tcPr>
            <w:tcW w:w="3528" w:type="dxa"/>
            <w:vAlign w:val="center"/>
          </w:tcPr>
          <w:p w14:paraId="0D288964">
            <w:pPr>
              <w:pStyle w:val="165"/>
              <w:jc w:val="center"/>
            </w:pPr>
            <w:r>
              <w:rPr>
                <w:b w:val="0"/>
                <w:sz w:val="21"/>
              </w:rPr>
              <w:t>−1.32 (−2.18 to −0.46)</w:t>
            </w:r>
            <w:r>
              <w:rPr>
                <w:b w:val="0"/>
                <w:sz w:val="21"/>
              </w:rPr>
              <w:br w:type="textWrapping"/>
            </w:r>
            <w:r>
              <w:rPr>
                <w:b w:val="0"/>
                <w:sz w:val="21"/>
              </w:rPr>
              <w:t>P = 0.004</w:t>
            </w:r>
          </w:p>
        </w:tc>
      </w:tr>
      <w:tr w14:paraId="7AFB8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2304" w:type="dxa"/>
            <w:vAlign w:val="center"/>
          </w:tcPr>
          <w:p w14:paraId="31B54527">
            <w:pPr>
              <w:pStyle w:val="165"/>
              <w:jc w:val="left"/>
            </w:pPr>
            <w:r>
              <w:rPr>
                <w:b w:val="0"/>
                <w:sz w:val="21"/>
              </w:rPr>
              <w:t>Latency (MD)</w:t>
            </w:r>
          </w:p>
        </w:tc>
        <w:tc>
          <w:tcPr>
            <w:tcW w:w="3456" w:type="dxa"/>
            <w:vAlign w:val="center"/>
          </w:tcPr>
          <w:p w14:paraId="3BE1F4B7">
            <w:pPr>
              <w:pStyle w:val="165"/>
              <w:jc w:val="center"/>
            </w:pPr>
            <w:r>
              <w:rPr>
                <w:b w:val="0"/>
                <w:sz w:val="21"/>
              </w:rPr>
              <w:t>−3.83 (−5.81 to −1.85)</w:t>
            </w:r>
            <w:r>
              <w:rPr>
                <w:b w:val="0"/>
                <w:sz w:val="21"/>
              </w:rPr>
              <w:br w:type="textWrapping"/>
            </w:r>
            <w:r>
              <w:rPr>
                <w:b w:val="0"/>
                <w:sz w:val="21"/>
              </w:rPr>
              <w:t>P &lt; 0.001</w:t>
            </w:r>
          </w:p>
        </w:tc>
        <w:tc>
          <w:tcPr>
            <w:tcW w:w="3528" w:type="dxa"/>
            <w:vAlign w:val="center"/>
          </w:tcPr>
          <w:p w14:paraId="6A2426BE">
            <w:pPr>
              <w:pStyle w:val="165"/>
              <w:jc w:val="center"/>
            </w:pPr>
            <w:r>
              <w:rPr>
                <w:b w:val="0"/>
                <w:sz w:val="21"/>
              </w:rPr>
              <w:t>−3.29 (−5.38 to −1.20)</w:t>
            </w:r>
            <w:r>
              <w:rPr>
                <w:b w:val="0"/>
                <w:sz w:val="21"/>
              </w:rPr>
              <w:br w:type="textWrapping"/>
            </w:r>
            <w:r>
              <w:rPr>
                <w:b w:val="0"/>
                <w:sz w:val="21"/>
              </w:rPr>
              <w:t>P = 0.003</w:t>
            </w:r>
          </w:p>
        </w:tc>
        <w:tc>
          <w:tcPr>
            <w:tcW w:w="3528" w:type="dxa"/>
            <w:vAlign w:val="center"/>
          </w:tcPr>
          <w:p w14:paraId="028F2FBF">
            <w:pPr>
              <w:pStyle w:val="165"/>
              <w:jc w:val="center"/>
            </w:pPr>
            <w:r>
              <w:rPr>
                <w:b w:val="0"/>
                <w:sz w:val="21"/>
              </w:rPr>
              <w:t>−3.81 (−5.78 to −1.83)</w:t>
            </w:r>
            <w:r>
              <w:rPr>
                <w:b w:val="0"/>
                <w:sz w:val="21"/>
              </w:rPr>
              <w:br w:type="textWrapping"/>
            </w:r>
            <w:r>
              <w:rPr>
                <w:b w:val="0"/>
                <w:sz w:val="21"/>
              </w:rPr>
              <w:t>P &lt; 0.001</w:t>
            </w:r>
          </w:p>
        </w:tc>
      </w:tr>
      <w:tr w14:paraId="6AD27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2304" w:type="dxa"/>
            <w:tcBorders>
              <w:bottom w:val="single" w:color="000000" w:sz="10" w:space="0"/>
            </w:tcBorders>
            <w:vAlign w:val="center"/>
          </w:tcPr>
          <w:p w14:paraId="56BE58A0">
            <w:pPr>
              <w:pStyle w:val="165"/>
              <w:jc w:val="left"/>
            </w:pPr>
            <w:r>
              <w:rPr>
                <w:b w:val="0"/>
                <w:sz w:val="21"/>
              </w:rPr>
              <w:t>Propofol (MD)</w:t>
            </w:r>
          </w:p>
        </w:tc>
        <w:tc>
          <w:tcPr>
            <w:tcW w:w="3456" w:type="dxa"/>
            <w:tcBorders>
              <w:bottom w:val="single" w:color="000000" w:sz="10" w:space="0"/>
            </w:tcBorders>
            <w:vAlign w:val="center"/>
          </w:tcPr>
          <w:p w14:paraId="5D3F6D41">
            <w:pPr>
              <w:pStyle w:val="165"/>
              <w:jc w:val="center"/>
            </w:pPr>
            <w:r>
              <w:rPr>
                <w:b w:val="0"/>
                <w:sz w:val="21"/>
              </w:rPr>
              <w:t>−6.15 (−9.91 to −2.40)</w:t>
            </w:r>
            <w:r>
              <w:rPr>
                <w:b w:val="0"/>
                <w:sz w:val="21"/>
              </w:rPr>
              <w:br w:type="textWrapping"/>
            </w:r>
            <w:r>
              <w:rPr>
                <w:b w:val="0"/>
                <w:sz w:val="21"/>
              </w:rPr>
              <w:t>P = 0.003</w:t>
            </w:r>
          </w:p>
        </w:tc>
        <w:tc>
          <w:tcPr>
            <w:tcW w:w="3528" w:type="dxa"/>
            <w:tcBorders>
              <w:bottom w:val="single" w:color="000000" w:sz="10" w:space="0"/>
            </w:tcBorders>
            <w:vAlign w:val="center"/>
          </w:tcPr>
          <w:p w14:paraId="394EFA9E">
            <w:pPr>
              <w:pStyle w:val="165"/>
              <w:jc w:val="center"/>
            </w:pPr>
            <w:r>
              <w:rPr>
                <w:b w:val="0"/>
                <w:sz w:val="21"/>
              </w:rPr>
              <w:t>−5.99 (−10.04 to −1.94)</w:t>
            </w:r>
            <w:r>
              <w:rPr>
                <w:b w:val="0"/>
                <w:sz w:val="21"/>
              </w:rPr>
              <w:br w:type="textWrapping"/>
            </w:r>
            <w:r>
              <w:rPr>
                <w:b w:val="0"/>
                <w:sz w:val="21"/>
              </w:rPr>
              <w:t>P = 0.006</w:t>
            </w:r>
          </w:p>
        </w:tc>
        <w:tc>
          <w:tcPr>
            <w:tcW w:w="3528" w:type="dxa"/>
            <w:tcBorders>
              <w:bottom w:val="single" w:color="000000" w:sz="10" w:space="0"/>
            </w:tcBorders>
            <w:vAlign w:val="center"/>
          </w:tcPr>
          <w:p w14:paraId="521890BF">
            <w:pPr>
              <w:pStyle w:val="165"/>
              <w:jc w:val="center"/>
            </w:pPr>
            <w:r>
              <w:rPr>
                <w:b w:val="0"/>
                <w:sz w:val="21"/>
              </w:rPr>
              <w:t>−6.22 (−9.97 to −2.46)</w:t>
            </w:r>
            <w:r>
              <w:rPr>
                <w:b w:val="0"/>
                <w:sz w:val="21"/>
              </w:rPr>
              <w:br w:type="textWrapping"/>
            </w:r>
            <w:r>
              <w:rPr>
                <w:b w:val="0"/>
                <w:sz w:val="21"/>
              </w:rPr>
              <w:t>P = 0.002</w:t>
            </w:r>
          </w:p>
        </w:tc>
      </w:tr>
    </w:tbl>
    <w:p w14:paraId="58C4E680">
      <w:pPr>
        <w:pStyle w:val="166"/>
      </w:pPr>
      <w:r>
        <w:t>Core models include period and sequence; RSS models also include baseline, categorical time and treatment-by-time interaction. Propofol models include body weight. Interval deviation is zero in period 1 and (actual interval−68.2083 days) in period 2. Calendar time is the treatment date in 30-day units. The two additional covariates were fitted separately. P values are not adjusted for multiple comparisons; CIs are pointwise. Linear time adjustment does not fully capture unmeasured clinical changes.</w:t>
      </w:r>
    </w:p>
    <w:p w14:paraId="7570D1F1">
      <w:pPr>
        <w:pStyle w:val="3"/>
        <w:pageBreakBefore/>
        <w:spacing w:before="0"/>
      </w:pPr>
      <w:r>
        <w:t>Table S4. RSS sensitivity analyses without joint ordinal time-threshold modelling</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70" w:type="dxa"/>
          <w:left w:w="70" w:type="dxa"/>
          <w:bottom w:w="70" w:type="dxa"/>
          <w:right w:w="70" w:type="dxa"/>
        </w:tblCellMar>
      </w:tblPr>
      <w:tblGrid>
        <w:gridCol w:w="936"/>
        <w:gridCol w:w="5184"/>
        <w:gridCol w:w="2160"/>
        <w:gridCol w:w="2232"/>
        <w:gridCol w:w="2304"/>
      </w:tblGrid>
      <w:tr w14:paraId="79F39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tblHeader/>
          <w:jc w:val="center"/>
        </w:trPr>
        <w:tc>
          <w:tcPr>
            <w:tcW w:w="936" w:type="dxa"/>
            <w:tcBorders>
              <w:top w:val="single" w:color="000000" w:sz="10" w:space="0"/>
              <w:bottom w:val="single" w:color="000000" w:sz="6" w:space="0"/>
            </w:tcBorders>
            <w:vAlign w:val="center"/>
          </w:tcPr>
          <w:p w14:paraId="6065C065">
            <w:pPr>
              <w:pStyle w:val="165"/>
              <w:jc w:val="left"/>
            </w:pPr>
            <w:r>
              <w:rPr>
                <w:b/>
                <w:sz w:val="21"/>
              </w:rPr>
              <w:t>Time</w:t>
            </w:r>
          </w:p>
        </w:tc>
        <w:tc>
          <w:tcPr>
            <w:tcW w:w="5184" w:type="dxa"/>
            <w:tcBorders>
              <w:top w:val="single" w:color="000000" w:sz="10" w:space="0"/>
              <w:bottom w:val="single" w:color="000000" w:sz="6" w:space="0"/>
            </w:tcBorders>
            <w:vAlign w:val="center"/>
          </w:tcPr>
          <w:p w14:paraId="39065B89">
            <w:pPr>
              <w:pStyle w:val="165"/>
              <w:jc w:val="center"/>
            </w:pPr>
            <w:r>
              <w:rPr>
                <w:b/>
                <w:sz w:val="21"/>
              </w:rPr>
              <w:t>Separate-time Gaussian MD (95% CI)</w:t>
            </w:r>
          </w:p>
        </w:tc>
        <w:tc>
          <w:tcPr>
            <w:tcW w:w="2160" w:type="dxa"/>
            <w:tcBorders>
              <w:top w:val="single" w:color="000000" w:sz="10" w:space="0"/>
              <w:bottom w:val="single" w:color="000000" w:sz="6" w:space="0"/>
            </w:tcBorders>
            <w:vAlign w:val="center"/>
          </w:tcPr>
          <w:p w14:paraId="41091A51">
            <w:pPr>
              <w:pStyle w:val="165"/>
              <w:jc w:val="center"/>
            </w:pPr>
            <w:r>
              <w:rPr>
                <w:b/>
                <w:sz w:val="21"/>
              </w:rPr>
              <w:t>Gaussian P</w:t>
            </w:r>
          </w:p>
        </w:tc>
        <w:tc>
          <w:tcPr>
            <w:tcW w:w="2232" w:type="dxa"/>
            <w:tcBorders>
              <w:top w:val="single" w:color="000000" w:sz="10" w:space="0"/>
              <w:bottom w:val="single" w:color="000000" w:sz="6" w:space="0"/>
            </w:tcBorders>
            <w:vAlign w:val="center"/>
          </w:tcPr>
          <w:p w14:paraId="72AAAA29">
            <w:pPr>
              <w:pStyle w:val="165"/>
              <w:jc w:val="center"/>
            </w:pPr>
            <w:r>
              <w:rPr>
                <w:b/>
                <w:sz w:val="21"/>
              </w:rPr>
              <w:t>Paired rank P</w:t>
            </w:r>
          </w:p>
        </w:tc>
        <w:tc>
          <w:tcPr>
            <w:tcW w:w="2304" w:type="dxa"/>
            <w:tcBorders>
              <w:top w:val="single" w:color="000000" w:sz="10" w:space="0"/>
              <w:bottom w:val="single" w:color="000000" w:sz="6" w:space="0"/>
            </w:tcBorders>
            <w:vAlign w:val="center"/>
          </w:tcPr>
          <w:p w14:paraId="6653F70A">
            <w:pPr>
              <w:pStyle w:val="165"/>
              <w:jc w:val="center"/>
            </w:pPr>
            <w:r>
              <w:rPr>
                <w:b/>
                <w:sz w:val="21"/>
              </w:rPr>
              <w:t>Paired rank Holm P</w:t>
            </w:r>
          </w:p>
        </w:tc>
      </w:tr>
      <w:tr w14:paraId="2884B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936" w:type="dxa"/>
            <w:vAlign w:val="center"/>
          </w:tcPr>
          <w:p w14:paraId="5D13EABD">
            <w:pPr>
              <w:pStyle w:val="165"/>
              <w:jc w:val="left"/>
            </w:pPr>
            <w:r>
              <w:rPr>
                <w:b w:val="0"/>
                <w:sz w:val="21"/>
              </w:rPr>
              <w:t>T1</w:t>
            </w:r>
          </w:p>
        </w:tc>
        <w:tc>
          <w:tcPr>
            <w:tcW w:w="5184" w:type="dxa"/>
            <w:vAlign w:val="center"/>
          </w:tcPr>
          <w:p w14:paraId="15777CBC">
            <w:pPr>
              <w:pStyle w:val="165"/>
              <w:jc w:val="center"/>
            </w:pPr>
            <w:r>
              <w:rPr>
                <w:b w:val="0"/>
                <w:sz w:val="21"/>
              </w:rPr>
              <w:t>0.30 (0.01 to 0.59)</w:t>
            </w:r>
          </w:p>
        </w:tc>
        <w:tc>
          <w:tcPr>
            <w:tcW w:w="2160" w:type="dxa"/>
            <w:vAlign w:val="center"/>
          </w:tcPr>
          <w:p w14:paraId="2C733A6E">
            <w:pPr>
              <w:pStyle w:val="165"/>
              <w:jc w:val="center"/>
            </w:pPr>
            <w:r>
              <w:rPr>
                <w:b w:val="0"/>
                <w:sz w:val="21"/>
              </w:rPr>
              <w:t>0.043</w:t>
            </w:r>
          </w:p>
        </w:tc>
        <w:tc>
          <w:tcPr>
            <w:tcW w:w="2232" w:type="dxa"/>
            <w:vAlign w:val="center"/>
          </w:tcPr>
          <w:p w14:paraId="76604C2C">
            <w:pPr>
              <w:pStyle w:val="165"/>
              <w:jc w:val="center"/>
            </w:pPr>
            <w:r>
              <w:rPr>
                <w:b w:val="0"/>
                <w:sz w:val="21"/>
              </w:rPr>
              <w:t>0.046</w:t>
            </w:r>
          </w:p>
        </w:tc>
        <w:tc>
          <w:tcPr>
            <w:tcW w:w="2304" w:type="dxa"/>
            <w:vAlign w:val="center"/>
          </w:tcPr>
          <w:p w14:paraId="3AD45E9F">
            <w:pPr>
              <w:pStyle w:val="165"/>
              <w:jc w:val="center"/>
            </w:pPr>
            <w:r>
              <w:rPr>
                <w:b w:val="0"/>
                <w:sz w:val="21"/>
              </w:rPr>
              <w:t>0.063</w:t>
            </w:r>
          </w:p>
        </w:tc>
      </w:tr>
      <w:tr w14:paraId="4662E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936" w:type="dxa"/>
            <w:vAlign w:val="center"/>
          </w:tcPr>
          <w:p w14:paraId="67BED8FE">
            <w:pPr>
              <w:pStyle w:val="165"/>
              <w:jc w:val="left"/>
            </w:pPr>
            <w:r>
              <w:rPr>
                <w:b w:val="0"/>
                <w:sz w:val="21"/>
              </w:rPr>
              <w:t>T2</w:t>
            </w:r>
          </w:p>
        </w:tc>
        <w:tc>
          <w:tcPr>
            <w:tcW w:w="5184" w:type="dxa"/>
            <w:vAlign w:val="center"/>
          </w:tcPr>
          <w:p w14:paraId="27AF014F">
            <w:pPr>
              <w:pStyle w:val="165"/>
              <w:jc w:val="center"/>
            </w:pPr>
            <w:r>
              <w:rPr>
                <w:b w:val="0"/>
                <w:sz w:val="21"/>
              </w:rPr>
              <w:t>0.31 (0.07 to 0.55)</w:t>
            </w:r>
          </w:p>
        </w:tc>
        <w:tc>
          <w:tcPr>
            <w:tcW w:w="2160" w:type="dxa"/>
            <w:vAlign w:val="center"/>
          </w:tcPr>
          <w:p w14:paraId="303341F5">
            <w:pPr>
              <w:pStyle w:val="165"/>
              <w:jc w:val="center"/>
            </w:pPr>
            <w:r>
              <w:rPr>
                <w:b w:val="0"/>
                <w:sz w:val="21"/>
              </w:rPr>
              <w:t>0.013</w:t>
            </w:r>
          </w:p>
        </w:tc>
        <w:tc>
          <w:tcPr>
            <w:tcW w:w="2232" w:type="dxa"/>
            <w:vAlign w:val="center"/>
          </w:tcPr>
          <w:p w14:paraId="115B56C0">
            <w:pPr>
              <w:pStyle w:val="165"/>
              <w:jc w:val="center"/>
            </w:pPr>
            <w:r>
              <w:rPr>
                <w:b w:val="0"/>
                <w:sz w:val="21"/>
              </w:rPr>
              <w:t>0.021</w:t>
            </w:r>
          </w:p>
        </w:tc>
        <w:tc>
          <w:tcPr>
            <w:tcW w:w="2304" w:type="dxa"/>
            <w:vAlign w:val="center"/>
          </w:tcPr>
          <w:p w14:paraId="56A2805E">
            <w:pPr>
              <w:pStyle w:val="165"/>
              <w:jc w:val="center"/>
            </w:pPr>
            <w:r>
              <w:rPr>
                <w:b w:val="0"/>
                <w:sz w:val="21"/>
              </w:rPr>
              <w:t>0.063</w:t>
            </w:r>
          </w:p>
        </w:tc>
      </w:tr>
      <w:tr w14:paraId="7F090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936" w:type="dxa"/>
            <w:vAlign w:val="center"/>
          </w:tcPr>
          <w:p w14:paraId="0086E318">
            <w:pPr>
              <w:pStyle w:val="165"/>
              <w:jc w:val="left"/>
            </w:pPr>
            <w:r>
              <w:rPr>
                <w:b w:val="0"/>
                <w:sz w:val="21"/>
              </w:rPr>
              <w:t>T3</w:t>
            </w:r>
          </w:p>
        </w:tc>
        <w:tc>
          <w:tcPr>
            <w:tcW w:w="5184" w:type="dxa"/>
            <w:vAlign w:val="center"/>
          </w:tcPr>
          <w:p w14:paraId="6A5EE334">
            <w:pPr>
              <w:pStyle w:val="165"/>
              <w:jc w:val="center"/>
            </w:pPr>
            <w:r>
              <w:rPr>
                <w:b w:val="0"/>
                <w:sz w:val="21"/>
              </w:rPr>
              <w:t>0.43 (0.07 to 0.79)</w:t>
            </w:r>
          </w:p>
        </w:tc>
        <w:tc>
          <w:tcPr>
            <w:tcW w:w="2160" w:type="dxa"/>
            <w:vAlign w:val="center"/>
          </w:tcPr>
          <w:p w14:paraId="63087C18">
            <w:pPr>
              <w:pStyle w:val="165"/>
              <w:jc w:val="center"/>
            </w:pPr>
            <w:r>
              <w:rPr>
                <w:b w:val="0"/>
                <w:sz w:val="21"/>
              </w:rPr>
              <w:t>0.020</w:t>
            </w:r>
          </w:p>
        </w:tc>
        <w:tc>
          <w:tcPr>
            <w:tcW w:w="2232" w:type="dxa"/>
            <w:vAlign w:val="center"/>
          </w:tcPr>
          <w:p w14:paraId="3EABAE02">
            <w:pPr>
              <w:pStyle w:val="165"/>
              <w:jc w:val="center"/>
            </w:pPr>
            <w:r>
              <w:rPr>
                <w:b w:val="0"/>
                <w:sz w:val="21"/>
              </w:rPr>
              <w:t>0.025</w:t>
            </w:r>
          </w:p>
        </w:tc>
        <w:tc>
          <w:tcPr>
            <w:tcW w:w="2304" w:type="dxa"/>
            <w:vAlign w:val="center"/>
          </w:tcPr>
          <w:p w14:paraId="76B0D5FD">
            <w:pPr>
              <w:pStyle w:val="165"/>
              <w:jc w:val="center"/>
            </w:pPr>
            <w:r>
              <w:rPr>
                <w:b w:val="0"/>
                <w:sz w:val="21"/>
              </w:rPr>
              <w:t>0.063</w:t>
            </w:r>
          </w:p>
        </w:tc>
      </w:tr>
      <w:tr w14:paraId="3046E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936" w:type="dxa"/>
            <w:vAlign w:val="center"/>
          </w:tcPr>
          <w:p w14:paraId="50178542">
            <w:pPr>
              <w:pStyle w:val="165"/>
              <w:jc w:val="left"/>
            </w:pPr>
            <w:r>
              <w:rPr>
                <w:b w:val="0"/>
                <w:sz w:val="21"/>
              </w:rPr>
              <w:t>T4</w:t>
            </w:r>
          </w:p>
        </w:tc>
        <w:tc>
          <w:tcPr>
            <w:tcW w:w="5184" w:type="dxa"/>
            <w:vAlign w:val="center"/>
          </w:tcPr>
          <w:p w14:paraId="0AC6E1D6">
            <w:pPr>
              <w:pStyle w:val="165"/>
              <w:jc w:val="center"/>
            </w:pPr>
            <w:r>
              <w:rPr>
                <w:b w:val="0"/>
                <w:sz w:val="21"/>
              </w:rPr>
              <w:t>0.96 (0.65 to 1.26)</w:t>
            </w:r>
          </w:p>
        </w:tc>
        <w:tc>
          <w:tcPr>
            <w:tcW w:w="2160" w:type="dxa"/>
            <w:vAlign w:val="center"/>
          </w:tcPr>
          <w:p w14:paraId="1DD88B2F">
            <w:pPr>
              <w:pStyle w:val="165"/>
              <w:jc w:val="center"/>
            </w:pPr>
            <w:r>
              <w:rPr>
                <w:b w:val="0"/>
                <w:sz w:val="21"/>
              </w:rPr>
              <w:t>&lt;0.001</w:t>
            </w:r>
          </w:p>
        </w:tc>
        <w:tc>
          <w:tcPr>
            <w:tcW w:w="2232" w:type="dxa"/>
            <w:vAlign w:val="center"/>
          </w:tcPr>
          <w:p w14:paraId="56B94B81">
            <w:pPr>
              <w:pStyle w:val="165"/>
              <w:jc w:val="center"/>
            </w:pPr>
            <w:r>
              <w:rPr>
                <w:b w:val="0"/>
                <w:sz w:val="21"/>
              </w:rPr>
              <w:t>&lt;0.001</w:t>
            </w:r>
          </w:p>
        </w:tc>
        <w:tc>
          <w:tcPr>
            <w:tcW w:w="2304" w:type="dxa"/>
            <w:vAlign w:val="center"/>
          </w:tcPr>
          <w:p w14:paraId="621A61FA">
            <w:pPr>
              <w:pStyle w:val="165"/>
              <w:jc w:val="center"/>
            </w:pPr>
            <w:r>
              <w:rPr>
                <w:b w:val="0"/>
                <w:sz w:val="21"/>
              </w:rPr>
              <w:t>&lt;0.001</w:t>
            </w:r>
          </w:p>
        </w:tc>
      </w:tr>
      <w:tr w14:paraId="2D0CA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936" w:type="dxa"/>
            <w:tcBorders>
              <w:bottom w:val="single" w:color="000000" w:sz="10" w:space="0"/>
            </w:tcBorders>
            <w:vAlign w:val="center"/>
          </w:tcPr>
          <w:p w14:paraId="2C0144FB">
            <w:pPr>
              <w:pStyle w:val="165"/>
              <w:jc w:val="left"/>
            </w:pPr>
            <w:r>
              <w:rPr>
                <w:b w:val="0"/>
                <w:sz w:val="21"/>
              </w:rPr>
              <w:t>T5</w:t>
            </w:r>
          </w:p>
        </w:tc>
        <w:tc>
          <w:tcPr>
            <w:tcW w:w="5184" w:type="dxa"/>
            <w:tcBorders>
              <w:bottom w:val="single" w:color="000000" w:sz="10" w:space="0"/>
            </w:tcBorders>
            <w:vAlign w:val="center"/>
          </w:tcPr>
          <w:p w14:paraId="12DBD037">
            <w:pPr>
              <w:pStyle w:val="165"/>
              <w:jc w:val="center"/>
            </w:pPr>
            <w:r>
              <w:rPr>
                <w:b w:val="0"/>
                <w:sz w:val="21"/>
              </w:rPr>
              <w:t>1.59 (1.25 to 1.93)</w:t>
            </w:r>
          </w:p>
        </w:tc>
        <w:tc>
          <w:tcPr>
            <w:tcW w:w="2160" w:type="dxa"/>
            <w:tcBorders>
              <w:bottom w:val="single" w:color="000000" w:sz="10" w:space="0"/>
            </w:tcBorders>
            <w:vAlign w:val="center"/>
          </w:tcPr>
          <w:p w14:paraId="49B8546C">
            <w:pPr>
              <w:pStyle w:val="165"/>
              <w:jc w:val="center"/>
            </w:pPr>
            <w:r>
              <w:rPr>
                <w:b w:val="0"/>
                <w:sz w:val="21"/>
              </w:rPr>
              <w:t>&lt;0.001</w:t>
            </w:r>
          </w:p>
        </w:tc>
        <w:tc>
          <w:tcPr>
            <w:tcW w:w="2232" w:type="dxa"/>
            <w:tcBorders>
              <w:bottom w:val="single" w:color="000000" w:sz="10" w:space="0"/>
            </w:tcBorders>
            <w:vAlign w:val="center"/>
          </w:tcPr>
          <w:p w14:paraId="4F9949C0">
            <w:pPr>
              <w:pStyle w:val="165"/>
              <w:jc w:val="center"/>
            </w:pPr>
            <w:r>
              <w:rPr>
                <w:b w:val="0"/>
                <w:sz w:val="21"/>
              </w:rPr>
              <w:t>&lt;0.001</w:t>
            </w:r>
          </w:p>
        </w:tc>
        <w:tc>
          <w:tcPr>
            <w:tcW w:w="2304" w:type="dxa"/>
            <w:tcBorders>
              <w:bottom w:val="single" w:color="000000" w:sz="10" w:space="0"/>
            </w:tcBorders>
            <w:vAlign w:val="center"/>
          </w:tcPr>
          <w:p w14:paraId="5E2DE2A9">
            <w:pPr>
              <w:pStyle w:val="165"/>
              <w:jc w:val="center"/>
            </w:pPr>
            <w:r>
              <w:rPr>
                <w:b w:val="0"/>
                <w:sz w:val="21"/>
              </w:rPr>
              <w:t>&lt;0.001</w:t>
            </w:r>
          </w:p>
        </w:tc>
      </w:tr>
    </w:tbl>
    <w:p w14:paraId="7CC54BC2">
      <w:pPr>
        <w:pStyle w:val="166"/>
      </w:pPr>
      <w:r>
        <w:t>Each separate-time Gaussian model includes treatment, period, sequence, session-baseline RSS and a participant random intercept. The Gaussian P and Paired rank P columns are not adjusted for multiple comparisons. Rank analyses use paired Wilcoxon signed-rank tests with an asymptotic tie correction and do not adjust for period or sequence. Holm adjustment in the final column covers only the five post-dose rank comparisons; it is separate from the nine-comparison primary-outcome family in the main analysis. T4 and T5 are the most consistent findings across approaches.</w:t>
      </w:r>
    </w:p>
    <w:p w14:paraId="50970EA8">
      <w:pPr>
        <w:pStyle w:val="3"/>
        <w:pageBreakBefore/>
        <w:spacing w:before="0"/>
      </w:pPr>
      <w:r>
        <w:t>Table S5. Observed Ramsay Sedation Scale category distributions</w:t>
      </w:r>
    </w:p>
    <w:tbl>
      <w:tblPr>
        <w:tblStyle w:val="3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70" w:type="dxa"/>
          <w:left w:w="70" w:type="dxa"/>
          <w:bottom w:w="70" w:type="dxa"/>
          <w:right w:w="70" w:type="dxa"/>
        </w:tblCellMar>
      </w:tblPr>
      <w:tblGrid>
        <w:gridCol w:w="979"/>
        <w:gridCol w:w="1037"/>
        <w:gridCol w:w="1584"/>
        <w:gridCol w:w="1584"/>
        <w:gridCol w:w="1584"/>
        <w:gridCol w:w="1584"/>
        <w:gridCol w:w="1584"/>
        <w:gridCol w:w="1584"/>
        <w:gridCol w:w="2016"/>
      </w:tblGrid>
      <w:tr w14:paraId="0E5DD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tblHeader/>
          <w:jc w:val="center"/>
        </w:trPr>
        <w:tc>
          <w:tcPr>
            <w:tcW w:w="979" w:type="dxa"/>
            <w:tcBorders>
              <w:top w:val="single" w:color="000000" w:sz="10" w:space="0"/>
              <w:bottom w:val="single" w:color="000000" w:sz="6" w:space="0"/>
            </w:tcBorders>
            <w:vAlign w:val="center"/>
          </w:tcPr>
          <w:p w14:paraId="13FE150F">
            <w:pPr>
              <w:pStyle w:val="165"/>
              <w:jc w:val="left"/>
            </w:pPr>
            <w:r>
              <w:rPr>
                <w:b/>
                <w:sz w:val="21"/>
              </w:rPr>
              <w:t>Time</w:t>
            </w:r>
          </w:p>
        </w:tc>
        <w:tc>
          <w:tcPr>
            <w:tcW w:w="1037" w:type="dxa"/>
            <w:tcBorders>
              <w:top w:val="single" w:color="000000" w:sz="10" w:space="0"/>
              <w:bottom w:val="single" w:color="000000" w:sz="6" w:space="0"/>
            </w:tcBorders>
            <w:vAlign w:val="center"/>
          </w:tcPr>
          <w:p w14:paraId="3D357C05">
            <w:pPr>
              <w:pStyle w:val="165"/>
              <w:jc w:val="center"/>
            </w:pPr>
            <w:r>
              <w:rPr>
                <w:b/>
                <w:sz w:val="21"/>
              </w:rPr>
              <w:t>Regimen</w:t>
            </w:r>
          </w:p>
        </w:tc>
        <w:tc>
          <w:tcPr>
            <w:tcW w:w="1584" w:type="dxa"/>
            <w:tcBorders>
              <w:top w:val="single" w:color="000000" w:sz="10" w:space="0"/>
              <w:bottom w:val="single" w:color="000000" w:sz="6" w:space="0"/>
            </w:tcBorders>
            <w:vAlign w:val="center"/>
          </w:tcPr>
          <w:p w14:paraId="38779A73">
            <w:pPr>
              <w:pStyle w:val="165"/>
              <w:jc w:val="center"/>
            </w:pPr>
            <w:r>
              <w:rPr>
                <w:b/>
                <w:sz w:val="21"/>
              </w:rPr>
              <w:t>RSS 1</w:t>
            </w:r>
          </w:p>
        </w:tc>
        <w:tc>
          <w:tcPr>
            <w:tcW w:w="1584" w:type="dxa"/>
            <w:tcBorders>
              <w:top w:val="single" w:color="000000" w:sz="10" w:space="0"/>
              <w:bottom w:val="single" w:color="000000" w:sz="6" w:space="0"/>
            </w:tcBorders>
            <w:vAlign w:val="center"/>
          </w:tcPr>
          <w:p w14:paraId="751CF588">
            <w:pPr>
              <w:pStyle w:val="165"/>
              <w:jc w:val="center"/>
            </w:pPr>
            <w:r>
              <w:rPr>
                <w:b/>
                <w:sz w:val="21"/>
              </w:rPr>
              <w:t>RSS 2</w:t>
            </w:r>
          </w:p>
        </w:tc>
        <w:tc>
          <w:tcPr>
            <w:tcW w:w="1584" w:type="dxa"/>
            <w:tcBorders>
              <w:top w:val="single" w:color="000000" w:sz="10" w:space="0"/>
              <w:bottom w:val="single" w:color="000000" w:sz="6" w:space="0"/>
            </w:tcBorders>
            <w:vAlign w:val="center"/>
          </w:tcPr>
          <w:p w14:paraId="42410D66">
            <w:pPr>
              <w:pStyle w:val="165"/>
              <w:jc w:val="center"/>
            </w:pPr>
            <w:r>
              <w:rPr>
                <w:b/>
                <w:sz w:val="21"/>
              </w:rPr>
              <w:t>RSS 3</w:t>
            </w:r>
          </w:p>
        </w:tc>
        <w:tc>
          <w:tcPr>
            <w:tcW w:w="1584" w:type="dxa"/>
            <w:tcBorders>
              <w:top w:val="single" w:color="000000" w:sz="10" w:space="0"/>
              <w:bottom w:val="single" w:color="000000" w:sz="6" w:space="0"/>
            </w:tcBorders>
            <w:vAlign w:val="center"/>
          </w:tcPr>
          <w:p w14:paraId="20B68448">
            <w:pPr>
              <w:pStyle w:val="165"/>
              <w:jc w:val="center"/>
            </w:pPr>
            <w:r>
              <w:rPr>
                <w:b/>
                <w:sz w:val="21"/>
              </w:rPr>
              <w:t>RSS 4</w:t>
            </w:r>
          </w:p>
        </w:tc>
        <w:tc>
          <w:tcPr>
            <w:tcW w:w="1584" w:type="dxa"/>
            <w:tcBorders>
              <w:top w:val="single" w:color="000000" w:sz="10" w:space="0"/>
              <w:bottom w:val="single" w:color="000000" w:sz="6" w:space="0"/>
            </w:tcBorders>
            <w:vAlign w:val="center"/>
          </w:tcPr>
          <w:p w14:paraId="08DAED3F">
            <w:pPr>
              <w:pStyle w:val="165"/>
              <w:jc w:val="center"/>
            </w:pPr>
            <w:r>
              <w:rPr>
                <w:b/>
                <w:sz w:val="21"/>
              </w:rPr>
              <w:t>RSS 5</w:t>
            </w:r>
          </w:p>
        </w:tc>
        <w:tc>
          <w:tcPr>
            <w:tcW w:w="1584" w:type="dxa"/>
            <w:tcBorders>
              <w:top w:val="single" w:color="000000" w:sz="10" w:space="0"/>
              <w:bottom w:val="single" w:color="000000" w:sz="6" w:space="0"/>
            </w:tcBorders>
            <w:vAlign w:val="center"/>
          </w:tcPr>
          <w:p w14:paraId="5DF1CC2D">
            <w:pPr>
              <w:pStyle w:val="165"/>
              <w:jc w:val="center"/>
            </w:pPr>
            <w:r>
              <w:rPr>
                <w:b/>
                <w:sz w:val="21"/>
              </w:rPr>
              <w:t>RSS 6</w:t>
            </w:r>
          </w:p>
        </w:tc>
        <w:tc>
          <w:tcPr>
            <w:tcW w:w="2016" w:type="dxa"/>
            <w:tcBorders>
              <w:top w:val="single" w:color="000000" w:sz="10" w:space="0"/>
              <w:bottom w:val="single" w:color="000000" w:sz="6" w:space="0"/>
            </w:tcBorders>
            <w:vAlign w:val="center"/>
          </w:tcPr>
          <w:p w14:paraId="0E518A02">
            <w:pPr>
              <w:pStyle w:val="165"/>
              <w:jc w:val="center"/>
            </w:pPr>
            <w:r>
              <w:rPr>
                <w:b/>
                <w:sz w:val="21"/>
              </w:rPr>
              <w:t>Total, n</w:t>
            </w:r>
          </w:p>
        </w:tc>
      </w:tr>
      <w:tr w14:paraId="72DB9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979" w:type="dxa"/>
            <w:vAlign w:val="center"/>
          </w:tcPr>
          <w:p w14:paraId="05708CAE">
            <w:pPr>
              <w:pStyle w:val="165"/>
              <w:jc w:val="left"/>
            </w:pPr>
            <w:r>
              <w:rPr>
                <w:b w:val="0"/>
                <w:sz w:val="21"/>
              </w:rPr>
              <w:t>T0</w:t>
            </w:r>
          </w:p>
        </w:tc>
        <w:tc>
          <w:tcPr>
            <w:tcW w:w="1037" w:type="dxa"/>
            <w:vAlign w:val="center"/>
          </w:tcPr>
          <w:p w14:paraId="04C155DA">
            <w:pPr>
              <w:pStyle w:val="165"/>
              <w:jc w:val="center"/>
            </w:pPr>
            <w:r>
              <w:rPr>
                <w:b w:val="0"/>
                <w:sz w:val="21"/>
              </w:rPr>
              <w:t>R</w:t>
            </w:r>
          </w:p>
        </w:tc>
        <w:tc>
          <w:tcPr>
            <w:tcW w:w="1584" w:type="dxa"/>
            <w:vAlign w:val="center"/>
          </w:tcPr>
          <w:p w14:paraId="103D402E">
            <w:pPr>
              <w:pStyle w:val="165"/>
              <w:jc w:val="center"/>
            </w:pPr>
            <w:r>
              <w:rPr>
                <w:b w:val="0"/>
                <w:sz w:val="21"/>
              </w:rPr>
              <w:t>7 (29.2)</w:t>
            </w:r>
          </w:p>
        </w:tc>
        <w:tc>
          <w:tcPr>
            <w:tcW w:w="1584" w:type="dxa"/>
            <w:vAlign w:val="center"/>
          </w:tcPr>
          <w:p w14:paraId="45990ACE">
            <w:pPr>
              <w:pStyle w:val="165"/>
              <w:jc w:val="center"/>
            </w:pPr>
            <w:r>
              <w:rPr>
                <w:b w:val="0"/>
                <w:sz w:val="21"/>
              </w:rPr>
              <w:t>17 (70.8)</w:t>
            </w:r>
          </w:p>
        </w:tc>
        <w:tc>
          <w:tcPr>
            <w:tcW w:w="1584" w:type="dxa"/>
            <w:vAlign w:val="center"/>
          </w:tcPr>
          <w:p w14:paraId="4CFDB9C9">
            <w:pPr>
              <w:pStyle w:val="165"/>
              <w:jc w:val="center"/>
            </w:pPr>
            <w:r>
              <w:rPr>
                <w:b w:val="0"/>
                <w:sz w:val="21"/>
              </w:rPr>
              <w:t>0</w:t>
            </w:r>
          </w:p>
        </w:tc>
        <w:tc>
          <w:tcPr>
            <w:tcW w:w="1584" w:type="dxa"/>
            <w:vAlign w:val="center"/>
          </w:tcPr>
          <w:p w14:paraId="0FC6B190">
            <w:pPr>
              <w:pStyle w:val="165"/>
              <w:jc w:val="center"/>
            </w:pPr>
            <w:r>
              <w:rPr>
                <w:b w:val="0"/>
                <w:sz w:val="21"/>
              </w:rPr>
              <w:t>0</w:t>
            </w:r>
          </w:p>
        </w:tc>
        <w:tc>
          <w:tcPr>
            <w:tcW w:w="1584" w:type="dxa"/>
            <w:vAlign w:val="center"/>
          </w:tcPr>
          <w:p w14:paraId="66088FC7">
            <w:pPr>
              <w:pStyle w:val="165"/>
              <w:jc w:val="center"/>
            </w:pPr>
            <w:r>
              <w:rPr>
                <w:b w:val="0"/>
                <w:sz w:val="21"/>
              </w:rPr>
              <w:t>0</w:t>
            </w:r>
          </w:p>
        </w:tc>
        <w:tc>
          <w:tcPr>
            <w:tcW w:w="1584" w:type="dxa"/>
            <w:vAlign w:val="center"/>
          </w:tcPr>
          <w:p w14:paraId="36F89C4E">
            <w:pPr>
              <w:pStyle w:val="165"/>
              <w:jc w:val="center"/>
            </w:pPr>
            <w:r>
              <w:rPr>
                <w:b w:val="0"/>
                <w:sz w:val="21"/>
              </w:rPr>
              <w:t>0</w:t>
            </w:r>
          </w:p>
        </w:tc>
        <w:tc>
          <w:tcPr>
            <w:tcW w:w="2016" w:type="dxa"/>
            <w:vAlign w:val="center"/>
          </w:tcPr>
          <w:p w14:paraId="5C8C6661">
            <w:pPr>
              <w:pStyle w:val="165"/>
              <w:jc w:val="center"/>
            </w:pPr>
            <w:r>
              <w:rPr>
                <w:b w:val="0"/>
                <w:sz w:val="21"/>
              </w:rPr>
              <w:t>24</w:t>
            </w:r>
          </w:p>
        </w:tc>
      </w:tr>
      <w:tr w14:paraId="22ECE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979" w:type="dxa"/>
            <w:vAlign w:val="center"/>
          </w:tcPr>
          <w:p w14:paraId="33646C86">
            <w:pPr>
              <w:pStyle w:val="165"/>
              <w:jc w:val="left"/>
            </w:pPr>
            <w:r>
              <w:rPr>
                <w:b w:val="0"/>
                <w:sz w:val="21"/>
              </w:rPr>
              <w:t>T0</w:t>
            </w:r>
          </w:p>
        </w:tc>
        <w:tc>
          <w:tcPr>
            <w:tcW w:w="1037" w:type="dxa"/>
            <w:vAlign w:val="center"/>
          </w:tcPr>
          <w:p w14:paraId="2E794985">
            <w:pPr>
              <w:pStyle w:val="165"/>
              <w:jc w:val="center"/>
            </w:pPr>
            <w:r>
              <w:rPr>
                <w:b w:val="0"/>
                <w:sz w:val="21"/>
              </w:rPr>
              <w:t>C</w:t>
            </w:r>
          </w:p>
        </w:tc>
        <w:tc>
          <w:tcPr>
            <w:tcW w:w="1584" w:type="dxa"/>
            <w:vAlign w:val="center"/>
          </w:tcPr>
          <w:p w14:paraId="5B762149">
            <w:pPr>
              <w:pStyle w:val="165"/>
              <w:jc w:val="center"/>
            </w:pPr>
            <w:r>
              <w:rPr>
                <w:b w:val="0"/>
                <w:sz w:val="21"/>
              </w:rPr>
              <w:t>9 (37.5)</w:t>
            </w:r>
          </w:p>
        </w:tc>
        <w:tc>
          <w:tcPr>
            <w:tcW w:w="1584" w:type="dxa"/>
            <w:vAlign w:val="center"/>
          </w:tcPr>
          <w:p w14:paraId="7E55E875">
            <w:pPr>
              <w:pStyle w:val="165"/>
              <w:jc w:val="center"/>
            </w:pPr>
            <w:r>
              <w:rPr>
                <w:b w:val="0"/>
                <w:sz w:val="21"/>
              </w:rPr>
              <w:t>15 (62.5)</w:t>
            </w:r>
          </w:p>
        </w:tc>
        <w:tc>
          <w:tcPr>
            <w:tcW w:w="1584" w:type="dxa"/>
            <w:vAlign w:val="center"/>
          </w:tcPr>
          <w:p w14:paraId="0F2CF7BD">
            <w:pPr>
              <w:pStyle w:val="165"/>
              <w:jc w:val="center"/>
            </w:pPr>
            <w:r>
              <w:rPr>
                <w:b w:val="0"/>
                <w:sz w:val="21"/>
              </w:rPr>
              <w:t>0</w:t>
            </w:r>
          </w:p>
        </w:tc>
        <w:tc>
          <w:tcPr>
            <w:tcW w:w="1584" w:type="dxa"/>
            <w:vAlign w:val="center"/>
          </w:tcPr>
          <w:p w14:paraId="33A875FC">
            <w:pPr>
              <w:pStyle w:val="165"/>
              <w:jc w:val="center"/>
            </w:pPr>
            <w:r>
              <w:rPr>
                <w:b w:val="0"/>
                <w:sz w:val="21"/>
              </w:rPr>
              <w:t>0</w:t>
            </w:r>
          </w:p>
        </w:tc>
        <w:tc>
          <w:tcPr>
            <w:tcW w:w="1584" w:type="dxa"/>
            <w:vAlign w:val="center"/>
          </w:tcPr>
          <w:p w14:paraId="244FE377">
            <w:pPr>
              <w:pStyle w:val="165"/>
              <w:jc w:val="center"/>
            </w:pPr>
            <w:r>
              <w:rPr>
                <w:b w:val="0"/>
                <w:sz w:val="21"/>
              </w:rPr>
              <w:t>0</w:t>
            </w:r>
          </w:p>
        </w:tc>
        <w:tc>
          <w:tcPr>
            <w:tcW w:w="1584" w:type="dxa"/>
            <w:vAlign w:val="center"/>
          </w:tcPr>
          <w:p w14:paraId="50CDB9E9">
            <w:pPr>
              <w:pStyle w:val="165"/>
              <w:jc w:val="center"/>
            </w:pPr>
            <w:r>
              <w:rPr>
                <w:b w:val="0"/>
                <w:sz w:val="21"/>
              </w:rPr>
              <w:t>0</w:t>
            </w:r>
          </w:p>
        </w:tc>
        <w:tc>
          <w:tcPr>
            <w:tcW w:w="2016" w:type="dxa"/>
            <w:vAlign w:val="center"/>
          </w:tcPr>
          <w:p w14:paraId="0FE7412C">
            <w:pPr>
              <w:pStyle w:val="165"/>
              <w:jc w:val="center"/>
            </w:pPr>
            <w:r>
              <w:rPr>
                <w:b w:val="0"/>
                <w:sz w:val="21"/>
              </w:rPr>
              <w:t>24</w:t>
            </w:r>
          </w:p>
        </w:tc>
      </w:tr>
      <w:tr w14:paraId="1CC1E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979" w:type="dxa"/>
            <w:vAlign w:val="center"/>
          </w:tcPr>
          <w:p w14:paraId="009C2368">
            <w:pPr>
              <w:pStyle w:val="165"/>
              <w:jc w:val="left"/>
            </w:pPr>
            <w:r>
              <w:rPr>
                <w:b w:val="0"/>
                <w:sz w:val="21"/>
              </w:rPr>
              <w:t>T1</w:t>
            </w:r>
          </w:p>
        </w:tc>
        <w:tc>
          <w:tcPr>
            <w:tcW w:w="1037" w:type="dxa"/>
            <w:vAlign w:val="center"/>
          </w:tcPr>
          <w:p w14:paraId="59289BF2">
            <w:pPr>
              <w:pStyle w:val="165"/>
              <w:jc w:val="center"/>
            </w:pPr>
            <w:r>
              <w:rPr>
                <w:b w:val="0"/>
                <w:sz w:val="21"/>
              </w:rPr>
              <w:t>R</w:t>
            </w:r>
          </w:p>
        </w:tc>
        <w:tc>
          <w:tcPr>
            <w:tcW w:w="1584" w:type="dxa"/>
            <w:vAlign w:val="center"/>
          </w:tcPr>
          <w:p w14:paraId="1FF0E493">
            <w:pPr>
              <w:pStyle w:val="165"/>
              <w:jc w:val="center"/>
            </w:pPr>
            <w:r>
              <w:rPr>
                <w:b w:val="0"/>
                <w:sz w:val="21"/>
              </w:rPr>
              <w:t>2 (8.3)</w:t>
            </w:r>
          </w:p>
        </w:tc>
        <w:tc>
          <w:tcPr>
            <w:tcW w:w="1584" w:type="dxa"/>
            <w:vAlign w:val="center"/>
          </w:tcPr>
          <w:p w14:paraId="03AC696B">
            <w:pPr>
              <w:pStyle w:val="165"/>
              <w:jc w:val="center"/>
            </w:pPr>
            <w:r>
              <w:rPr>
                <w:b w:val="0"/>
                <w:sz w:val="21"/>
              </w:rPr>
              <w:t>14 (58.3)</w:t>
            </w:r>
          </w:p>
        </w:tc>
        <w:tc>
          <w:tcPr>
            <w:tcW w:w="1584" w:type="dxa"/>
            <w:vAlign w:val="center"/>
          </w:tcPr>
          <w:p w14:paraId="6F30CF94">
            <w:pPr>
              <w:pStyle w:val="165"/>
              <w:jc w:val="center"/>
            </w:pPr>
            <w:r>
              <w:rPr>
                <w:b w:val="0"/>
                <w:sz w:val="21"/>
              </w:rPr>
              <w:t>8 (33.3)</w:t>
            </w:r>
          </w:p>
        </w:tc>
        <w:tc>
          <w:tcPr>
            <w:tcW w:w="1584" w:type="dxa"/>
            <w:vAlign w:val="center"/>
          </w:tcPr>
          <w:p w14:paraId="22E2CF4C">
            <w:pPr>
              <w:pStyle w:val="165"/>
              <w:jc w:val="center"/>
            </w:pPr>
            <w:r>
              <w:rPr>
                <w:b w:val="0"/>
                <w:sz w:val="21"/>
              </w:rPr>
              <w:t>0</w:t>
            </w:r>
          </w:p>
        </w:tc>
        <w:tc>
          <w:tcPr>
            <w:tcW w:w="1584" w:type="dxa"/>
            <w:vAlign w:val="center"/>
          </w:tcPr>
          <w:p w14:paraId="2DCFF5BC">
            <w:pPr>
              <w:pStyle w:val="165"/>
              <w:jc w:val="center"/>
            </w:pPr>
            <w:r>
              <w:rPr>
                <w:b w:val="0"/>
                <w:sz w:val="21"/>
              </w:rPr>
              <w:t>0</w:t>
            </w:r>
          </w:p>
        </w:tc>
        <w:tc>
          <w:tcPr>
            <w:tcW w:w="1584" w:type="dxa"/>
            <w:vAlign w:val="center"/>
          </w:tcPr>
          <w:p w14:paraId="65A7C264">
            <w:pPr>
              <w:pStyle w:val="165"/>
              <w:jc w:val="center"/>
            </w:pPr>
            <w:r>
              <w:rPr>
                <w:b w:val="0"/>
                <w:sz w:val="21"/>
              </w:rPr>
              <w:t>0</w:t>
            </w:r>
          </w:p>
        </w:tc>
        <w:tc>
          <w:tcPr>
            <w:tcW w:w="2016" w:type="dxa"/>
            <w:vAlign w:val="center"/>
          </w:tcPr>
          <w:p w14:paraId="03821F93">
            <w:pPr>
              <w:pStyle w:val="165"/>
              <w:jc w:val="center"/>
            </w:pPr>
            <w:r>
              <w:rPr>
                <w:b w:val="0"/>
                <w:sz w:val="21"/>
              </w:rPr>
              <w:t>24</w:t>
            </w:r>
          </w:p>
        </w:tc>
      </w:tr>
      <w:tr w14:paraId="57CCF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979" w:type="dxa"/>
            <w:vAlign w:val="center"/>
          </w:tcPr>
          <w:p w14:paraId="194C6ED8">
            <w:pPr>
              <w:pStyle w:val="165"/>
              <w:jc w:val="left"/>
            </w:pPr>
            <w:r>
              <w:rPr>
                <w:b w:val="0"/>
                <w:sz w:val="21"/>
              </w:rPr>
              <w:t>T1</w:t>
            </w:r>
          </w:p>
        </w:tc>
        <w:tc>
          <w:tcPr>
            <w:tcW w:w="1037" w:type="dxa"/>
            <w:vAlign w:val="center"/>
          </w:tcPr>
          <w:p w14:paraId="17B882E3">
            <w:pPr>
              <w:pStyle w:val="165"/>
              <w:jc w:val="center"/>
            </w:pPr>
            <w:r>
              <w:rPr>
                <w:b w:val="0"/>
                <w:sz w:val="21"/>
              </w:rPr>
              <w:t>C</w:t>
            </w:r>
          </w:p>
        </w:tc>
        <w:tc>
          <w:tcPr>
            <w:tcW w:w="1584" w:type="dxa"/>
            <w:vAlign w:val="center"/>
          </w:tcPr>
          <w:p w14:paraId="1E0C49A4">
            <w:pPr>
              <w:pStyle w:val="165"/>
              <w:jc w:val="center"/>
            </w:pPr>
            <w:r>
              <w:rPr>
                <w:b w:val="0"/>
                <w:sz w:val="21"/>
              </w:rPr>
              <w:t>5 (20.8)</w:t>
            </w:r>
          </w:p>
        </w:tc>
        <w:tc>
          <w:tcPr>
            <w:tcW w:w="1584" w:type="dxa"/>
            <w:vAlign w:val="center"/>
          </w:tcPr>
          <w:p w14:paraId="2BB701FE">
            <w:pPr>
              <w:pStyle w:val="165"/>
              <w:jc w:val="center"/>
            </w:pPr>
            <w:r>
              <w:rPr>
                <w:b w:val="0"/>
                <w:sz w:val="21"/>
              </w:rPr>
              <w:t>16 (66.7)</w:t>
            </w:r>
          </w:p>
        </w:tc>
        <w:tc>
          <w:tcPr>
            <w:tcW w:w="1584" w:type="dxa"/>
            <w:vAlign w:val="center"/>
          </w:tcPr>
          <w:p w14:paraId="385E9FAE">
            <w:pPr>
              <w:pStyle w:val="165"/>
              <w:jc w:val="center"/>
            </w:pPr>
            <w:r>
              <w:rPr>
                <w:b w:val="0"/>
                <w:sz w:val="21"/>
              </w:rPr>
              <w:t>3 (12.5)</w:t>
            </w:r>
          </w:p>
        </w:tc>
        <w:tc>
          <w:tcPr>
            <w:tcW w:w="1584" w:type="dxa"/>
            <w:vAlign w:val="center"/>
          </w:tcPr>
          <w:p w14:paraId="56FD9922">
            <w:pPr>
              <w:pStyle w:val="165"/>
              <w:jc w:val="center"/>
            </w:pPr>
            <w:r>
              <w:rPr>
                <w:b w:val="0"/>
                <w:sz w:val="21"/>
              </w:rPr>
              <w:t>0</w:t>
            </w:r>
          </w:p>
        </w:tc>
        <w:tc>
          <w:tcPr>
            <w:tcW w:w="1584" w:type="dxa"/>
            <w:vAlign w:val="center"/>
          </w:tcPr>
          <w:p w14:paraId="78C11893">
            <w:pPr>
              <w:pStyle w:val="165"/>
              <w:jc w:val="center"/>
            </w:pPr>
            <w:r>
              <w:rPr>
                <w:b w:val="0"/>
                <w:sz w:val="21"/>
              </w:rPr>
              <w:t>0</w:t>
            </w:r>
          </w:p>
        </w:tc>
        <w:tc>
          <w:tcPr>
            <w:tcW w:w="1584" w:type="dxa"/>
            <w:vAlign w:val="center"/>
          </w:tcPr>
          <w:p w14:paraId="0A09D112">
            <w:pPr>
              <w:pStyle w:val="165"/>
              <w:jc w:val="center"/>
            </w:pPr>
            <w:r>
              <w:rPr>
                <w:b w:val="0"/>
                <w:sz w:val="21"/>
              </w:rPr>
              <w:t>0</w:t>
            </w:r>
          </w:p>
        </w:tc>
        <w:tc>
          <w:tcPr>
            <w:tcW w:w="2016" w:type="dxa"/>
            <w:vAlign w:val="center"/>
          </w:tcPr>
          <w:p w14:paraId="00A19F6D">
            <w:pPr>
              <w:pStyle w:val="165"/>
              <w:jc w:val="center"/>
            </w:pPr>
            <w:r>
              <w:rPr>
                <w:b w:val="0"/>
                <w:sz w:val="21"/>
              </w:rPr>
              <w:t>24</w:t>
            </w:r>
          </w:p>
        </w:tc>
      </w:tr>
      <w:tr w14:paraId="79AB2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979" w:type="dxa"/>
            <w:vAlign w:val="center"/>
          </w:tcPr>
          <w:p w14:paraId="30871FF4">
            <w:pPr>
              <w:pStyle w:val="165"/>
              <w:jc w:val="left"/>
            </w:pPr>
            <w:r>
              <w:rPr>
                <w:b w:val="0"/>
                <w:sz w:val="21"/>
              </w:rPr>
              <w:t>T2</w:t>
            </w:r>
          </w:p>
        </w:tc>
        <w:tc>
          <w:tcPr>
            <w:tcW w:w="1037" w:type="dxa"/>
            <w:vAlign w:val="center"/>
          </w:tcPr>
          <w:p w14:paraId="1454A188">
            <w:pPr>
              <w:pStyle w:val="165"/>
              <w:jc w:val="center"/>
            </w:pPr>
            <w:r>
              <w:rPr>
                <w:b w:val="0"/>
                <w:sz w:val="21"/>
              </w:rPr>
              <w:t>R</w:t>
            </w:r>
          </w:p>
        </w:tc>
        <w:tc>
          <w:tcPr>
            <w:tcW w:w="1584" w:type="dxa"/>
            <w:vAlign w:val="center"/>
          </w:tcPr>
          <w:p w14:paraId="0A7DAB35">
            <w:pPr>
              <w:pStyle w:val="165"/>
              <w:jc w:val="center"/>
            </w:pPr>
            <w:r>
              <w:rPr>
                <w:b w:val="0"/>
                <w:sz w:val="21"/>
              </w:rPr>
              <w:t>0</w:t>
            </w:r>
          </w:p>
        </w:tc>
        <w:tc>
          <w:tcPr>
            <w:tcW w:w="1584" w:type="dxa"/>
            <w:vAlign w:val="center"/>
          </w:tcPr>
          <w:p w14:paraId="4AAA0DBF">
            <w:pPr>
              <w:pStyle w:val="165"/>
              <w:jc w:val="center"/>
            </w:pPr>
            <w:r>
              <w:rPr>
                <w:b w:val="0"/>
                <w:sz w:val="21"/>
              </w:rPr>
              <w:t>3 (12.5)</w:t>
            </w:r>
          </w:p>
        </w:tc>
        <w:tc>
          <w:tcPr>
            <w:tcW w:w="1584" w:type="dxa"/>
            <w:vAlign w:val="center"/>
          </w:tcPr>
          <w:p w14:paraId="153E3FD5">
            <w:pPr>
              <w:pStyle w:val="165"/>
              <w:jc w:val="center"/>
            </w:pPr>
            <w:r>
              <w:rPr>
                <w:b w:val="0"/>
                <w:sz w:val="21"/>
              </w:rPr>
              <w:t>21 (87.5)</w:t>
            </w:r>
          </w:p>
        </w:tc>
        <w:tc>
          <w:tcPr>
            <w:tcW w:w="1584" w:type="dxa"/>
            <w:vAlign w:val="center"/>
          </w:tcPr>
          <w:p w14:paraId="05BCE3AC">
            <w:pPr>
              <w:pStyle w:val="165"/>
              <w:jc w:val="center"/>
            </w:pPr>
            <w:r>
              <w:rPr>
                <w:b w:val="0"/>
                <w:sz w:val="21"/>
              </w:rPr>
              <w:t>0</w:t>
            </w:r>
          </w:p>
        </w:tc>
        <w:tc>
          <w:tcPr>
            <w:tcW w:w="1584" w:type="dxa"/>
            <w:vAlign w:val="center"/>
          </w:tcPr>
          <w:p w14:paraId="65224D88">
            <w:pPr>
              <w:pStyle w:val="165"/>
              <w:jc w:val="center"/>
            </w:pPr>
            <w:r>
              <w:rPr>
                <w:b w:val="0"/>
                <w:sz w:val="21"/>
              </w:rPr>
              <w:t>0</w:t>
            </w:r>
          </w:p>
        </w:tc>
        <w:tc>
          <w:tcPr>
            <w:tcW w:w="1584" w:type="dxa"/>
            <w:vAlign w:val="center"/>
          </w:tcPr>
          <w:p w14:paraId="77E76131">
            <w:pPr>
              <w:pStyle w:val="165"/>
              <w:jc w:val="center"/>
            </w:pPr>
            <w:r>
              <w:rPr>
                <w:b w:val="0"/>
                <w:sz w:val="21"/>
              </w:rPr>
              <w:t>0</w:t>
            </w:r>
          </w:p>
        </w:tc>
        <w:tc>
          <w:tcPr>
            <w:tcW w:w="2016" w:type="dxa"/>
            <w:vAlign w:val="center"/>
          </w:tcPr>
          <w:p w14:paraId="7992D46F">
            <w:pPr>
              <w:pStyle w:val="165"/>
              <w:jc w:val="center"/>
            </w:pPr>
            <w:r>
              <w:rPr>
                <w:b w:val="0"/>
                <w:sz w:val="21"/>
              </w:rPr>
              <w:t>24</w:t>
            </w:r>
          </w:p>
        </w:tc>
      </w:tr>
      <w:tr w14:paraId="7973A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979" w:type="dxa"/>
            <w:vAlign w:val="center"/>
          </w:tcPr>
          <w:p w14:paraId="3ECCA3C2">
            <w:pPr>
              <w:pStyle w:val="165"/>
              <w:jc w:val="left"/>
            </w:pPr>
            <w:r>
              <w:rPr>
                <w:b w:val="0"/>
                <w:sz w:val="21"/>
              </w:rPr>
              <w:t>T2</w:t>
            </w:r>
          </w:p>
        </w:tc>
        <w:tc>
          <w:tcPr>
            <w:tcW w:w="1037" w:type="dxa"/>
            <w:vAlign w:val="center"/>
          </w:tcPr>
          <w:p w14:paraId="22598148">
            <w:pPr>
              <w:pStyle w:val="165"/>
              <w:jc w:val="center"/>
            </w:pPr>
            <w:r>
              <w:rPr>
                <w:b w:val="0"/>
                <w:sz w:val="21"/>
              </w:rPr>
              <w:t>C</w:t>
            </w:r>
          </w:p>
        </w:tc>
        <w:tc>
          <w:tcPr>
            <w:tcW w:w="1584" w:type="dxa"/>
            <w:vAlign w:val="center"/>
          </w:tcPr>
          <w:p w14:paraId="2188D2FA">
            <w:pPr>
              <w:pStyle w:val="165"/>
              <w:jc w:val="center"/>
            </w:pPr>
            <w:r>
              <w:rPr>
                <w:b w:val="0"/>
                <w:sz w:val="21"/>
              </w:rPr>
              <w:t>0</w:t>
            </w:r>
          </w:p>
        </w:tc>
        <w:tc>
          <w:tcPr>
            <w:tcW w:w="1584" w:type="dxa"/>
            <w:vAlign w:val="center"/>
          </w:tcPr>
          <w:p w14:paraId="56488819">
            <w:pPr>
              <w:pStyle w:val="165"/>
              <w:jc w:val="center"/>
            </w:pPr>
            <w:r>
              <w:rPr>
                <w:b w:val="0"/>
                <w:sz w:val="21"/>
              </w:rPr>
              <w:t>11 (45.8)</w:t>
            </w:r>
          </w:p>
        </w:tc>
        <w:tc>
          <w:tcPr>
            <w:tcW w:w="1584" w:type="dxa"/>
            <w:vAlign w:val="center"/>
          </w:tcPr>
          <w:p w14:paraId="3D66CAA7">
            <w:pPr>
              <w:pStyle w:val="165"/>
              <w:jc w:val="center"/>
            </w:pPr>
            <w:r>
              <w:rPr>
                <w:b w:val="0"/>
                <w:sz w:val="21"/>
              </w:rPr>
              <w:t>13 (54.2)</w:t>
            </w:r>
          </w:p>
        </w:tc>
        <w:tc>
          <w:tcPr>
            <w:tcW w:w="1584" w:type="dxa"/>
            <w:vAlign w:val="center"/>
          </w:tcPr>
          <w:p w14:paraId="34603A0D">
            <w:pPr>
              <w:pStyle w:val="165"/>
              <w:jc w:val="center"/>
            </w:pPr>
            <w:r>
              <w:rPr>
                <w:b w:val="0"/>
                <w:sz w:val="21"/>
              </w:rPr>
              <w:t>0</w:t>
            </w:r>
          </w:p>
        </w:tc>
        <w:tc>
          <w:tcPr>
            <w:tcW w:w="1584" w:type="dxa"/>
            <w:vAlign w:val="center"/>
          </w:tcPr>
          <w:p w14:paraId="30F5F4B8">
            <w:pPr>
              <w:pStyle w:val="165"/>
              <w:jc w:val="center"/>
            </w:pPr>
            <w:r>
              <w:rPr>
                <w:b w:val="0"/>
                <w:sz w:val="21"/>
              </w:rPr>
              <w:t>0</w:t>
            </w:r>
          </w:p>
        </w:tc>
        <w:tc>
          <w:tcPr>
            <w:tcW w:w="1584" w:type="dxa"/>
            <w:vAlign w:val="center"/>
          </w:tcPr>
          <w:p w14:paraId="28A7BE45">
            <w:pPr>
              <w:pStyle w:val="165"/>
              <w:jc w:val="center"/>
            </w:pPr>
            <w:r>
              <w:rPr>
                <w:b w:val="0"/>
                <w:sz w:val="21"/>
              </w:rPr>
              <w:t>0</w:t>
            </w:r>
          </w:p>
        </w:tc>
        <w:tc>
          <w:tcPr>
            <w:tcW w:w="2016" w:type="dxa"/>
            <w:vAlign w:val="center"/>
          </w:tcPr>
          <w:p w14:paraId="4DD5347C">
            <w:pPr>
              <w:pStyle w:val="165"/>
              <w:jc w:val="center"/>
            </w:pPr>
            <w:r>
              <w:rPr>
                <w:b w:val="0"/>
                <w:sz w:val="21"/>
              </w:rPr>
              <w:t>24</w:t>
            </w:r>
          </w:p>
        </w:tc>
      </w:tr>
      <w:tr w14:paraId="50EBA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979" w:type="dxa"/>
            <w:vAlign w:val="center"/>
          </w:tcPr>
          <w:p w14:paraId="6471E51B">
            <w:pPr>
              <w:pStyle w:val="165"/>
              <w:jc w:val="left"/>
            </w:pPr>
            <w:r>
              <w:rPr>
                <w:b w:val="0"/>
                <w:sz w:val="21"/>
              </w:rPr>
              <w:t>T3</w:t>
            </w:r>
          </w:p>
        </w:tc>
        <w:tc>
          <w:tcPr>
            <w:tcW w:w="1037" w:type="dxa"/>
            <w:vAlign w:val="center"/>
          </w:tcPr>
          <w:p w14:paraId="4472A0BD">
            <w:pPr>
              <w:pStyle w:val="165"/>
              <w:jc w:val="center"/>
            </w:pPr>
            <w:r>
              <w:rPr>
                <w:b w:val="0"/>
                <w:sz w:val="21"/>
              </w:rPr>
              <w:t>R</w:t>
            </w:r>
          </w:p>
        </w:tc>
        <w:tc>
          <w:tcPr>
            <w:tcW w:w="1584" w:type="dxa"/>
            <w:vAlign w:val="center"/>
          </w:tcPr>
          <w:p w14:paraId="366B7FEE">
            <w:pPr>
              <w:pStyle w:val="165"/>
              <w:jc w:val="center"/>
            </w:pPr>
            <w:r>
              <w:rPr>
                <w:b w:val="0"/>
                <w:sz w:val="21"/>
              </w:rPr>
              <w:t>0</w:t>
            </w:r>
          </w:p>
        </w:tc>
        <w:tc>
          <w:tcPr>
            <w:tcW w:w="1584" w:type="dxa"/>
            <w:vAlign w:val="center"/>
          </w:tcPr>
          <w:p w14:paraId="227824A9">
            <w:pPr>
              <w:pStyle w:val="165"/>
              <w:jc w:val="center"/>
            </w:pPr>
            <w:r>
              <w:rPr>
                <w:b w:val="0"/>
                <w:sz w:val="21"/>
              </w:rPr>
              <w:t>0</w:t>
            </w:r>
          </w:p>
        </w:tc>
        <w:tc>
          <w:tcPr>
            <w:tcW w:w="1584" w:type="dxa"/>
            <w:vAlign w:val="center"/>
          </w:tcPr>
          <w:p w14:paraId="3A6300AC">
            <w:pPr>
              <w:pStyle w:val="165"/>
              <w:jc w:val="center"/>
            </w:pPr>
            <w:r>
              <w:rPr>
                <w:b w:val="0"/>
                <w:sz w:val="21"/>
              </w:rPr>
              <w:t>7 (29.2)</w:t>
            </w:r>
          </w:p>
        </w:tc>
        <w:tc>
          <w:tcPr>
            <w:tcW w:w="1584" w:type="dxa"/>
            <w:vAlign w:val="center"/>
          </w:tcPr>
          <w:p w14:paraId="747E099D">
            <w:pPr>
              <w:pStyle w:val="165"/>
              <w:jc w:val="center"/>
            </w:pPr>
            <w:r>
              <w:rPr>
                <w:b w:val="0"/>
                <w:sz w:val="21"/>
              </w:rPr>
              <w:t>14 (58.3)</w:t>
            </w:r>
          </w:p>
        </w:tc>
        <w:tc>
          <w:tcPr>
            <w:tcW w:w="1584" w:type="dxa"/>
            <w:vAlign w:val="center"/>
          </w:tcPr>
          <w:p w14:paraId="7485FB35">
            <w:pPr>
              <w:pStyle w:val="165"/>
              <w:jc w:val="center"/>
            </w:pPr>
            <w:r>
              <w:rPr>
                <w:b w:val="0"/>
                <w:sz w:val="21"/>
              </w:rPr>
              <w:t>3 (12.5)</w:t>
            </w:r>
          </w:p>
        </w:tc>
        <w:tc>
          <w:tcPr>
            <w:tcW w:w="1584" w:type="dxa"/>
            <w:vAlign w:val="center"/>
          </w:tcPr>
          <w:p w14:paraId="656758BA">
            <w:pPr>
              <w:pStyle w:val="165"/>
              <w:jc w:val="center"/>
            </w:pPr>
            <w:r>
              <w:rPr>
                <w:b w:val="0"/>
                <w:sz w:val="21"/>
              </w:rPr>
              <w:t>0</w:t>
            </w:r>
          </w:p>
        </w:tc>
        <w:tc>
          <w:tcPr>
            <w:tcW w:w="2016" w:type="dxa"/>
            <w:vAlign w:val="center"/>
          </w:tcPr>
          <w:p w14:paraId="78EF410F">
            <w:pPr>
              <w:pStyle w:val="165"/>
              <w:jc w:val="center"/>
            </w:pPr>
            <w:r>
              <w:rPr>
                <w:b w:val="0"/>
                <w:sz w:val="21"/>
              </w:rPr>
              <w:t>24</w:t>
            </w:r>
          </w:p>
        </w:tc>
      </w:tr>
      <w:tr w14:paraId="644FD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979" w:type="dxa"/>
            <w:vAlign w:val="center"/>
          </w:tcPr>
          <w:p w14:paraId="7D3F2A41">
            <w:pPr>
              <w:pStyle w:val="165"/>
              <w:jc w:val="left"/>
            </w:pPr>
            <w:r>
              <w:rPr>
                <w:b w:val="0"/>
                <w:sz w:val="21"/>
              </w:rPr>
              <w:t>T3</w:t>
            </w:r>
          </w:p>
        </w:tc>
        <w:tc>
          <w:tcPr>
            <w:tcW w:w="1037" w:type="dxa"/>
            <w:vAlign w:val="center"/>
          </w:tcPr>
          <w:p w14:paraId="1B0154EF">
            <w:pPr>
              <w:pStyle w:val="165"/>
              <w:jc w:val="center"/>
            </w:pPr>
            <w:r>
              <w:rPr>
                <w:b w:val="0"/>
                <w:sz w:val="21"/>
              </w:rPr>
              <w:t>C</w:t>
            </w:r>
          </w:p>
        </w:tc>
        <w:tc>
          <w:tcPr>
            <w:tcW w:w="1584" w:type="dxa"/>
            <w:vAlign w:val="center"/>
          </w:tcPr>
          <w:p w14:paraId="7F7A18DF">
            <w:pPr>
              <w:pStyle w:val="165"/>
              <w:jc w:val="center"/>
            </w:pPr>
            <w:r>
              <w:rPr>
                <w:b w:val="0"/>
                <w:sz w:val="21"/>
              </w:rPr>
              <w:t>0</w:t>
            </w:r>
          </w:p>
        </w:tc>
        <w:tc>
          <w:tcPr>
            <w:tcW w:w="1584" w:type="dxa"/>
            <w:vAlign w:val="center"/>
          </w:tcPr>
          <w:p w14:paraId="454F927B">
            <w:pPr>
              <w:pStyle w:val="165"/>
              <w:jc w:val="center"/>
            </w:pPr>
            <w:r>
              <w:rPr>
                <w:b w:val="0"/>
                <w:sz w:val="21"/>
              </w:rPr>
              <w:t>0</w:t>
            </w:r>
          </w:p>
        </w:tc>
        <w:tc>
          <w:tcPr>
            <w:tcW w:w="1584" w:type="dxa"/>
            <w:vAlign w:val="center"/>
          </w:tcPr>
          <w:p w14:paraId="1FE5A53A">
            <w:pPr>
              <w:pStyle w:val="165"/>
              <w:jc w:val="center"/>
            </w:pPr>
            <w:r>
              <w:rPr>
                <w:b w:val="0"/>
                <w:sz w:val="21"/>
              </w:rPr>
              <w:t>15 (62.5)</w:t>
            </w:r>
          </w:p>
        </w:tc>
        <w:tc>
          <w:tcPr>
            <w:tcW w:w="1584" w:type="dxa"/>
            <w:vAlign w:val="center"/>
          </w:tcPr>
          <w:p w14:paraId="61739E46">
            <w:pPr>
              <w:pStyle w:val="165"/>
              <w:jc w:val="center"/>
            </w:pPr>
            <w:r>
              <w:rPr>
                <w:b w:val="0"/>
                <w:sz w:val="21"/>
              </w:rPr>
              <w:t>8 (33.3)</w:t>
            </w:r>
          </w:p>
        </w:tc>
        <w:tc>
          <w:tcPr>
            <w:tcW w:w="1584" w:type="dxa"/>
            <w:vAlign w:val="center"/>
          </w:tcPr>
          <w:p w14:paraId="7ECA0AAA">
            <w:pPr>
              <w:pStyle w:val="165"/>
              <w:jc w:val="center"/>
            </w:pPr>
            <w:r>
              <w:rPr>
                <w:b w:val="0"/>
                <w:sz w:val="21"/>
              </w:rPr>
              <w:t>1 (4.2)</w:t>
            </w:r>
          </w:p>
        </w:tc>
        <w:tc>
          <w:tcPr>
            <w:tcW w:w="1584" w:type="dxa"/>
            <w:vAlign w:val="center"/>
          </w:tcPr>
          <w:p w14:paraId="494E67AE">
            <w:pPr>
              <w:pStyle w:val="165"/>
              <w:jc w:val="center"/>
            </w:pPr>
            <w:r>
              <w:rPr>
                <w:b w:val="0"/>
                <w:sz w:val="21"/>
              </w:rPr>
              <w:t>0</w:t>
            </w:r>
          </w:p>
        </w:tc>
        <w:tc>
          <w:tcPr>
            <w:tcW w:w="2016" w:type="dxa"/>
            <w:vAlign w:val="center"/>
          </w:tcPr>
          <w:p w14:paraId="57F8D45A">
            <w:pPr>
              <w:pStyle w:val="165"/>
              <w:jc w:val="center"/>
            </w:pPr>
            <w:r>
              <w:rPr>
                <w:b w:val="0"/>
                <w:sz w:val="21"/>
              </w:rPr>
              <w:t>24</w:t>
            </w:r>
          </w:p>
        </w:tc>
      </w:tr>
      <w:tr w14:paraId="526AA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979" w:type="dxa"/>
            <w:vAlign w:val="center"/>
          </w:tcPr>
          <w:p w14:paraId="4F4F6BCB">
            <w:pPr>
              <w:pStyle w:val="165"/>
              <w:jc w:val="left"/>
            </w:pPr>
            <w:r>
              <w:rPr>
                <w:b w:val="0"/>
                <w:sz w:val="21"/>
              </w:rPr>
              <w:t>T4</w:t>
            </w:r>
          </w:p>
        </w:tc>
        <w:tc>
          <w:tcPr>
            <w:tcW w:w="1037" w:type="dxa"/>
            <w:vAlign w:val="center"/>
          </w:tcPr>
          <w:p w14:paraId="7AEBCF9E">
            <w:pPr>
              <w:pStyle w:val="165"/>
              <w:jc w:val="center"/>
            </w:pPr>
            <w:r>
              <w:rPr>
                <w:b w:val="0"/>
                <w:sz w:val="21"/>
              </w:rPr>
              <w:t>R</w:t>
            </w:r>
          </w:p>
        </w:tc>
        <w:tc>
          <w:tcPr>
            <w:tcW w:w="1584" w:type="dxa"/>
            <w:vAlign w:val="center"/>
          </w:tcPr>
          <w:p w14:paraId="3A4E8EF6">
            <w:pPr>
              <w:pStyle w:val="165"/>
              <w:jc w:val="center"/>
            </w:pPr>
            <w:r>
              <w:rPr>
                <w:b w:val="0"/>
                <w:sz w:val="21"/>
              </w:rPr>
              <w:t>0</w:t>
            </w:r>
          </w:p>
        </w:tc>
        <w:tc>
          <w:tcPr>
            <w:tcW w:w="1584" w:type="dxa"/>
            <w:vAlign w:val="center"/>
          </w:tcPr>
          <w:p w14:paraId="143E1E27">
            <w:pPr>
              <w:pStyle w:val="165"/>
              <w:jc w:val="center"/>
            </w:pPr>
            <w:r>
              <w:rPr>
                <w:b w:val="0"/>
                <w:sz w:val="21"/>
              </w:rPr>
              <w:t>0</w:t>
            </w:r>
          </w:p>
        </w:tc>
        <w:tc>
          <w:tcPr>
            <w:tcW w:w="1584" w:type="dxa"/>
            <w:vAlign w:val="center"/>
          </w:tcPr>
          <w:p w14:paraId="0999C3DA">
            <w:pPr>
              <w:pStyle w:val="165"/>
              <w:jc w:val="center"/>
            </w:pPr>
            <w:r>
              <w:rPr>
                <w:b w:val="0"/>
                <w:sz w:val="21"/>
              </w:rPr>
              <w:t>0</w:t>
            </w:r>
          </w:p>
        </w:tc>
        <w:tc>
          <w:tcPr>
            <w:tcW w:w="1584" w:type="dxa"/>
            <w:vAlign w:val="center"/>
          </w:tcPr>
          <w:p w14:paraId="69D0220A">
            <w:pPr>
              <w:pStyle w:val="165"/>
              <w:jc w:val="center"/>
            </w:pPr>
            <w:r>
              <w:rPr>
                <w:b w:val="0"/>
                <w:sz w:val="21"/>
              </w:rPr>
              <w:t>12 (50.0)</w:t>
            </w:r>
          </w:p>
        </w:tc>
        <w:tc>
          <w:tcPr>
            <w:tcW w:w="1584" w:type="dxa"/>
            <w:vAlign w:val="center"/>
          </w:tcPr>
          <w:p w14:paraId="2DCD645C">
            <w:pPr>
              <w:pStyle w:val="165"/>
              <w:jc w:val="center"/>
            </w:pPr>
            <w:r>
              <w:rPr>
                <w:b w:val="0"/>
                <w:sz w:val="21"/>
              </w:rPr>
              <w:t>10 (41.7)</w:t>
            </w:r>
          </w:p>
        </w:tc>
        <w:tc>
          <w:tcPr>
            <w:tcW w:w="1584" w:type="dxa"/>
            <w:vAlign w:val="center"/>
          </w:tcPr>
          <w:p w14:paraId="02197F9D">
            <w:pPr>
              <w:pStyle w:val="165"/>
              <w:jc w:val="center"/>
            </w:pPr>
            <w:r>
              <w:rPr>
                <w:b w:val="0"/>
                <w:sz w:val="21"/>
              </w:rPr>
              <w:t>2 (8.3)</w:t>
            </w:r>
          </w:p>
        </w:tc>
        <w:tc>
          <w:tcPr>
            <w:tcW w:w="2016" w:type="dxa"/>
            <w:vAlign w:val="center"/>
          </w:tcPr>
          <w:p w14:paraId="3D318B08">
            <w:pPr>
              <w:pStyle w:val="165"/>
              <w:jc w:val="center"/>
            </w:pPr>
            <w:r>
              <w:rPr>
                <w:b w:val="0"/>
                <w:sz w:val="21"/>
              </w:rPr>
              <w:t>24</w:t>
            </w:r>
          </w:p>
        </w:tc>
      </w:tr>
      <w:tr w14:paraId="40660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979" w:type="dxa"/>
            <w:vAlign w:val="center"/>
          </w:tcPr>
          <w:p w14:paraId="002E8680">
            <w:pPr>
              <w:pStyle w:val="165"/>
              <w:jc w:val="left"/>
            </w:pPr>
            <w:r>
              <w:rPr>
                <w:b w:val="0"/>
                <w:sz w:val="21"/>
              </w:rPr>
              <w:t>T4</w:t>
            </w:r>
          </w:p>
        </w:tc>
        <w:tc>
          <w:tcPr>
            <w:tcW w:w="1037" w:type="dxa"/>
            <w:vAlign w:val="center"/>
          </w:tcPr>
          <w:p w14:paraId="0EC5A756">
            <w:pPr>
              <w:pStyle w:val="165"/>
              <w:jc w:val="center"/>
            </w:pPr>
            <w:r>
              <w:rPr>
                <w:b w:val="0"/>
                <w:sz w:val="21"/>
              </w:rPr>
              <w:t>C</w:t>
            </w:r>
          </w:p>
        </w:tc>
        <w:tc>
          <w:tcPr>
            <w:tcW w:w="1584" w:type="dxa"/>
            <w:vAlign w:val="center"/>
          </w:tcPr>
          <w:p w14:paraId="7BC5548C">
            <w:pPr>
              <w:pStyle w:val="165"/>
              <w:jc w:val="center"/>
            </w:pPr>
            <w:r>
              <w:rPr>
                <w:b w:val="0"/>
                <w:sz w:val="21"/>
              </w:rPr>
              <w:t>0</w:t>
            </w:r>
          </w:p>
        </w:tc>
        <w:tc>
          <w:tcPr>
            <w:tcW w:w="1584" w:type="dxa"/>
            <w:vAlign w:val="center"/>
          </w:tcPr>
          <w:p w14:paraId="0EE29CA4">
            <w:pPr>
              <w:pStyle w:val="165"/>
              <w:jc w:val="center"/>
            </w:pPr>
            <w:r>
              <w:rPr>
                <w:b w:val="0"/>
                <w:sz w:val="21"/>
              </w:rPr>
              <w:t>0</w:t>
            </w:r>
          </w:p>
        </w:tc>
        <w:tc>
          <w:tcPr>
            <w:tcW w:w="1584" w:type="dxa"/>
            <w:vAlign w:val="center"/>
          </w:tcPr>
          <w:p w14:paraId="1D1A22D1">
            <w:pPr>
              <w:pStyle w:val="165"/>
              <w:jc w:val="center"/>
            </w:pPr>
            <w:r>
              <w:rPr>
                <w:b w:val="0"/>
                <w:sz w:val="21"/>
              </w:rPr>
              <w:t>9 (37.5)</w:t>
            </w:r>
          </w:p>
        </w:tc>
        <w:tc>
          <w:tcPr>
            <w:tcW w:w="1584" w:type="dxa"/>
            <w:vAlign w:val="center"/>
          </w:tcPr>
          <w:p w14:paraId="6034AA44">
            <w:pPr>
              <w:pStyle w:val="165"/>
              <w:jc w:val="center"/>
            </w:pPr>
            <w:r>
              <w:rPr>
                <w:b w:val="0"/>
                <w:sz w:val="21"/>
              </w:rPr>
              <w:t>15 (62.5)</w:t>
            </w:r>
          </w:p>
        </w:tc>
        <w:tc>
          <w:tcPr>
            <w:tcW w:w="1584" w:type="dxa"/>
            <w:vAlign w:val="center"/>
          </w:tcPr>
          <w:p w14:paraId="7A887908">
            <w:pPr>
              <w:pStyle w:val="165"/>
              <w:jc w:val="center"/>
            </w:pPr>
            <w:r>
              <w:rPr>
                <w:b w:val="0"/>
                <w:sz w:val="21"/>
              </w:rPr>
              <w:t>0</w:t>
            </w:r>
          </w:p>
        </w:tc>
        <w:tc>
          <w:tcPr>
            <w:tcW w:w="1584" w:type="dxa"/>
            <w:vAlign w:val="center"/>
          </w:tcPr>
          <w:p w14:paraId="27F239AC">
            <w:pPr>
              <w:pStyle w:val="165"/>
              <w:jc w:val="center"/>
            </w:pPr>
            <w:r>
              <w:rPr>
                <w:b w:val="0"/>
                <w:sz w:val="21"/>
              </w:rPr>
              <w:t>0</w:t>
            </w:r>
          </w:p>
        </w:tc>
        <w:tc>
          <w:tcPr>
            <w:tcW w:w="2016" w:type="dxa"/>
            <w:vAlign w:val="center"/>
          </w:tcPr>
          <w:p w14:paraId="648314D8">
            <w:pPr>
              <w:pStyle w:val="165"/>
              <w:jc w:val="center"/>
            </w:pPr>
            <w:r>
              <w:rPr>
                <w:b w:val="0"/>
                <w:sz w:val="21"/>
              </w:rPr>
              <w:t>24</w:t>
            </w:r>
          </w:p>
        </w:tc>
      </w:tr>
      <w:tr w14:paraId="49885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979" w:type="dxa"/>
            <w:vAlign w:val="center"/>
          </w:tcPr>
          <w:p w14:paraId="63FC635E">
            <w:pPr>
              <w:pStyle w:val="165"/>
              <w:jc w:val="left"/>
            </w:pPr>
            <w:r>
              <w:rPr>
                <w:b w:val="0"/>
                <w:sz w:val="21"/>
              </w:rPr>
              <w:t>T5</w:t>
            </w:r>
          </w:p>
        </w:tc>
        <w:tc>
          <w:tcPr>
            <w:tcW w:w="1037" w:type="dxa"/>
            <w:vAlign w:val="center"/>
          </w:tcPr>
          <w:p w14:paraId="0781E4FC">
            <w:pPr>
              <w:pStyle w:val="165"/>
              <w:jc w:val="center"/>
            </w:pPr>
            <w:r>
              <w:rPr>
                <w:b w:val="0"/>
                <w:sz w:val="21"/>
              </w:rPr>
              <w:t>R</w:t>
            </w:r>
          </w:p>
        </w:tc>
        <w:tc>
          <w:tcPr>
            <w:tcW w:w="1584" w:type="dxa"/>
            <w:vAlign w:val="center"/>
          </w:tcPr>
          <w:p w14:paraId="6FF1CEC0">
            <w:pPr>
              <w:pStyle w:val="165"/>
              <w:jc w:val="center"/>
            </w:pPr>
            <w:r>
              <w:rPr>
                <w:b w:val="0"/>
                <w:sz w:val="21"/>
              </w:rPr>
              <w:t>0</w:t>
            </w:r>
          </w:p>
        </w:tc>
        <w:tc>
          <w:tcPr>
            <w:tcW w:w="1584" w:type="dxa"/>
            <w:vAlign w:val="center"/>
          </w:tcPr>
          <w:p w14:paraId="0EBFB55F">
            <w:pPr>
              <w:pStyle w:val="165"/>
              <w:jc w:val="center"/>
            </w:pPr>
            <w:r>
              <w:rPr>
                <w:b w:val="0"/>
                <w:sz w:val="21"/>
              </w:rPr>
              <w:t>0</w:t>
            </w:r>
          </w:p>
        </w:tc>
        <w:tc>
          <w:tcPr>
            <w:tcW w:w="1584" w:type="dxa"/>
            <w:vAlign w:val="center"/>
          </w:tcPr>
          <w:p w14:paraId="6BCFE074">
            <w:pPr>
              <w:pStyle w:val="165"/>
              <w:jc w:val="center"/>
            </w:pPr>
            <w:r>
              <w:rPr>
                <w:b w:val="0"/>
                <w:sz w:val="21"/>
              </w:rPr>
              <w:t>0</w:t>
            </w:r>
          </w:p>
        </w:tc>
        <w:tc>
          <w:tcPr>
            <w:tcW w:w="1584" w:type="dxa"/>
            <w:vAlign w:val="center"/>
          </w:tcPr>
          <w:p w14:paraId="6BD6E8B9">
            <w:pPr>
              <w:pStyle w:val="165"/>
              <w:jc w:val="center"/>
            </w:pPr>
            <w:r>
              <w:rPr>
                <w:b w:val="0"/>
                <w:sz w:val="21"/>
              </w:rPr>
              <w:t>9 (37.5)</w:t>
            </w:r>
          </w:p>
        </w:tc>
        <w:tc>
          <w:tcPr>
            <w:tcW w:w="1584" w:type="dxa"/>
            <w:vAlign w:val="center"/>
          </w:tcPr>
          <w:p w14:paraId="1AA56D2C">
            <w:pPr>
              <w:pStyle w:val="165"/>
              <w:jc w:val="center"/>
            </w:pPr>
            <w:r>
              <w:rPr>
                <w:b w:val="0"/>
                <w:sz w:val="21"/>
              </w:rPr>
              <w:t>13 (54.2)</w:t>
            </w:r>
          </w:p>
        </w:tc>
        <w:tc>
          <w:tcPr>
            <w:tcW w:w="1584" w:type="dxa"/>
            <w:vAlign w:val="center"/>
          </w:tcPr>
          <w:p w14:paraId="639A6192">
            <w:pPr>
              <w:pStyle w:val="165"/>
              <w:jc w:val="center"/>
            </w:pPr>
            <w:r>
              <w:rPr>
                <w:b w:val="0"/>
                <w:sz w:val="21"/>
              </w:rPr>
              <w:t>2 (8.3)</w:t>
            </w:r>
          </w:p>
        </w:tc>
        <w:tc>
          <w:tcPr>
            <w:tcW w:w="2016" w:type="dxa"/>
            <w:vAlign w:val="center"/>
          </w:tcPr>
          <w:p w14:paraId="009BE87B">
            <w:pPr>
              <w:pStyle w:val="165"/>
              <w:jc w:val="center"/>
            </w:pPr>
            <w:r>
              <w:rPr>
                <w:b w:val="0"/>
                <w:sz w:val="21"/>
              </w:rPr>
              <w:t>24</w:t>
            </w:r>
          </w:p>
        </w:tc>
      </w:tr>
      <w:tr w14:paraId="2DB68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70" w:type="dxa"/>
            <w:left w:w="70" w:type="dxa"/>
            <w:bottom w:w="70" w:type="dxa"/>
            <w:right w:w="70" w:type="dxa"/>
          </w:tblCellMar>
        </w:tblPrEx>
        <w:trPr>
          <w:cantSplit/>
          <w:jc w:val="center"/>
        </w:trPr>
        <w:tc>
          <w:tcPr>
            <w:tcW w:w="979" w:type="dxa"/>
            <w:tcBorders>
              <w:bottom w:val="single" w:color="000000" w:sz="10" w:space="0"/>
            </w:tcBorders>
            <w:vAlign w:val="center"/>
          </w:tcPr>
          <w:p w14:paraId="707C5E81">
            <w:pPr>
              <w:pStyle w:val="165"/>
              <w:jc w:val="left"/>
            </w:pPr>
            <w:r>
              <w:rPr>
                <w:b w:val="0"/>
                <w:sz w:val="21"/>
              </w:rPr>
              <w:t>T5</w:t>
            </w:r>
          </w:p>
        </w:tc>
        <w:tc>
          <w:tcPr>
            <w:tcW w:w="1037" w:type="dxa"/>
            <w:tcBorders>
              <w:bottom w:val="single" w:color="000000" w:sz="10" w:space="0"/>
            </w:tcBorders>
            <w:vAlign w:val="center"/>
          </w:tcPr>
          <w:p w14:paraId="709304F9">
            <w:pPr>
              <w:pStyle w:val="165"/>
              <w:jc w:val="center"/>
            </w:pPr>
            <w:r>
              <w:rPr>
                <w:b w:val="0"/>
                <w:sz w:val="21"/>
              </w:rPr>
              <w:t>C</w:t>
            </w:r>
          </w:p>
        </w:tc>
        <w:tc>
          <w:tcPr>
            <w:tcW w:w="1584" w:type="dxa"/>
            <w:tcBorders>
              <w:bottom w:val="single" w:color="000000" w:sz="10" w:space="0"/>
            </w:tcBorders>
            <w:vAlign w:val="center"/>
          </w:tcPr>
          <w:p w14:paraId="7A26715F">
            <w:pPr>
              <w:pStyle w:val="165"/>
              <w:jc w:val="center"/>
            </w:pPr>
            <w:r>
              <w:rPr>
                <w:b w:val="0"/>
                <w:sz w:val="21"/>
              </w:rPr>
              <w:t>0</w:t>
            </w:r>
          </w:p>
        </w:tc>
        <w:tc>
          <w:tcPr>
            <w:tcW w:w="1584" w:type="dxa"/>
            <w:tcBorders>
              <w:bottom w:val="single" w:color="000000" w:sz="10" w:space="0"/>
            </w:tcBorders>
            <w:vAlign w:val="center"/>
          </w:tcPr>
          <w:p w14:paraId="7C5D55FE">
            <w:pPr>
              <w:pStyle w:val="165"/>
              <w:jc w:val="center"/>
            </w:pPr>
            <w:r>
              <w:rPr>
                <w:b w:val="0"/>
                <w:sz w:val="21"/>
              </w:rPr>
              <w:t>4 (16.7)</w:t>
            </w:r>
          </w:p>
        </w:tc>
        <w:tc>
          <w:tcPr>
            <w:tcW w:w="1584" w:type="dxa"/>
            <w:tcBorders>
              <w:bottom w:val="single" w:color="000000" w:sz="10" w:space="0"/>
            </w:tcBorders>
            <w:vAlign w:val="center"/>
          </w:tcPr>
          <w:p w14:paraId="194929E9">
            <w:pPr>
              <w:pStyle w:val="165"/>
              <w:jc w:val="center"/>
            </w:pPr>
            <w:r>
              <w:rPr>
                <w:b w:val="0"/>
                <w:sz w:val="21"/>
              </w:rPr>
              <w:t>13 (54.2)</w:t>
            </w:r>
          </w:p>
        </w:tc>
        <w:tc>
          <w:tcPr>
            <w:tcW w:w="1584" w:type="dxa"/>
            <w:tcBorders>
              <w:bottom w:val="single" w:color="000000" w:sz="10" w:space="0"/>
            </w:tcBorders>
            <w:vAlign w:val="center"/>
          </w:tcPr>
          <w:p w14:paraId="2D991291">
            <w:pPr>
              <w:pStyle w:val="165"/>
              <w:jc w:val="center"/>
            </w:pPr>
            <w:r>
              <w:rPr>
                <w:b w:val="0"/>
                <w:sz w:val="21"/>
              </w:rPr>
              <w:t>7 (29.2)</w:t>
            </w:r>
          </w:p>
        </w:tc>
        <w:tc>
          <w:tcPr>
            <w:tcW w:w="1584" w:type="dxa"/>
            <w:tcBorders>
              <w:bottom w:val="single" w:color="000000" w:sz="10" w:space="0"/>
            </w:tcBorders>
            <w:vAlign w:val="center"/>
          </w:tcPr>
          <w:p w14:paraId="70B6E894">
            <w:pPr>
              <w:pStyle w:val="165"/>
              <w:jc w:val="center"/>
            </w:pPr>
            <w:r>
              <w:rPr>
                <w:b w:val="0"/>
                <w:sz w:val="21"/>
              </w:rPr>
              <w:t>0</w:t>
            </w:r>
          </w:p>
        </w:tc>
        <w:tc>
          <w:tcPr>
            <w:tcW w:w="1584" w:type="dxa"/>
            <w:tcBorders>
              <w:bottom w:val="single" w:color="000000" w:sz="10" w:space="0"/>
            </w:tcBorders>
            <w:vAlign w:val="center"/>
          </w:tcPr>
          <w:p w14:paraId="2D390DBB">
            <w:pPr>
              <w:pStyle w:val="165"/>
              <w:jc w:val="center"/>
            </w:pPr>
            <w:r>
              <w:rPr>
                <w:b w:val="0"/>
                <w:sz w:val="21"/>
              </w:rPr>
              <w:t>0</w:t>
            </w:r>
          </w:p>
        </w:tc>
        <w:tc>
          <w:tcPr>
            <w:tcW w:w="2016" w:type="dxa"/>
            <w:tcBorders>
              <w:bottom w:val="single" w:color="000000" w:sz="10" w:space="0"/>
            </w:tcBorders>
            <w:vAlign w:val="center"/>
          </w:tcPr>
          <w:p w14:paraId="205462F3">
            <w:pPr>
              <w:pStyle w:val="165"/>
              <w:jc w:val="center"/>
            </w:pPr>
            <w:r>
              <w:rPr>
                <w:b w:val="0"/>
                <w:sz w:val="21"/>
              </w:rPr>
              <w:t>24</w:t>
            </w:r>
          </w:p>
        </w:tc>
      </w:tr>
    </w:tbl>
    <w:p w14:paraId="50E8C94C">
      <w:pPr>
        <w:pStyle w:val="166"/>
      </w:pPr>
      <w:r>
        <w:t>Values are n (%), except for the total column. Every regimen/time row contains 24 observations. R, intranasal dexmedetomidine plus esketamine; C, intranasal esketamine alone. T0 is baseline; T1–T4 are 15, 20, 25 and 30 min after dosing; T5 is immediately before induction. The two RSS 6 observations at T4 and the two at T5 occurred in the same two children during their R session. Thus, 2/24 distinct children (8.3%) had RSS 6 at either final assessment. No RSS 6 value was recorded under C. These counts describe sedation depth, not a prespecified binary success endpoint.</w:t>
      </w:r>
    </w:p>
    <w:p w14:paraId="6F78456E">
      <w:pPr>
        <w:pStyle w:val="3"/>
        <w:keepNext/>
        <w:pageBreakBefore/>
      </w:pPr>
      <w:r>
        <w:t>Table S6a. Ramsay sedation scoring and assessment schedule</w:t>
      </w:r>
    </w:p>
    <w:p w14:paraId="1744CA3F">
      <w:pPr>
        <w:spacing w:after="140" w:line="264" w:lineRule="auto"/>
      </w:pPr>
      <w:r>
        <w:rPr>
          <w:sz w:val="22"/>
        </w:rPr>
        <w:t xml:space="preserve">Primary sedation outcomes were RSS at T0–T5 and time from medication administration to the first RSS ≥3. </w:t>
      </w:r>
      <w:r>
        <w:rPr>
          <w:rFonts w:hint="eastAsia"/>
          <w:sz w:val="22"/>
        </w:rPr>
        <w:t>The RSS scoring criteria used in this study are shown below.</w:t>
      </w:r>
    </w:p>
    <w:tbl>
      <w:tblPr>
        <w:tblStyle w:val="32"/>
        <w:tblW w:w="0" w:type="auto"/>
        <w:tblInd w:w="0" w:type="dxa"/>
        <w:tblLayout w:type="fixed"/>
        <w:tblCellMar>
          <w:top w:w="0" w:type="dxa"/>
          <w:left w:w="108" w:type="dxa"/>
          <w:bottom w:w="0" w:type="dxa"/>
          <w:right w:w="108" w:type="dxa"/>
        </w:tblCellMar>
      </w:tblPr>
      <w:tblGrid>
        <w:gridCol w:w="1152"/>
        <w:gridCol w:w="13090"/>
      </w:tblGrid>
      <w:tr w14:paraId="13F22C65">
        <w:tblPrEx>
          <w:tblCellMar>
            <w:top w:w="0" w:type="dxa"/>
            <w:left w:w="108" w:type="dxa"/>
            <w:bottom w:w="0" w:type="dxa"/>
            <w:right w:w="108" w:type="dxa"/>
          </w:tblCellMar>
        </w:tblPrEx>
        <w:trPr>
          <w:cantSplit/>
          <w:tblHeader/>
        </w:trPr>
        <w:tc>
          <w:tcPr>
            <w:tcW w:w="1152" w:type="dxa"/>
            <w:tcBorders>
              <w:top w:val="single" w:color="000000" w:sz="6" w:space="0"/>
              <w:left w:val="nil"/>
              <w:bottom w:val="single" w:color="000000" w:sz="6" w:space="0"/>
              <w:right w:val="nil"/>
            </w:tcBorders>
            <w:tcMar>
              <w:top w:w="95" w:type="dxa"/>
              <w:left w:w="100" w:type="dxa"/>
              <w:bottom w:w="95" w:type="dxa"/>
              <w:right w:w="100" w:type="dxa"/>
            </w:tcMar>
            <w:vAlign w:val="center"/>
          </w:tcPr>
          <w:p w14:paraId="790050E5">
            <w:pPr>
              <w:keepNext w:val="0"/>
              <w:spacing w:before="0" w:after="0" w:line="252" w:lineRule="auto"/>
            </w:pPr>
            <w:r>
              <w:rPr>
                <w:rFonts w:ascii="Times New Roman" w:hAnsi="Times New Roman"/>
                <w:b/>
                <w:sz w:val="22"/>
              </w:rPr>
              <w:t>Score</w:t>
            </w:r>
          </w:p>
        </w:tc>
        <w:tc>
          <w:tcPr>
            <w:tcW w:w="13090" w:type="dxa"/>
            <w:tcBorders>
              <w:top w:val="single" w:color="000000" w:sz="6" w:space="0"/>
              <w:left w:val="nil"/>
              <w:bottom w:val="single" w:color="000000" w:sz="6" w:space="0"/>
              <w:right w:val="nil"/>
            </w:tcBorders>
            <w:tcMar>
              <w:top w:w="95" w:type="dxa"/>
              <w:left w:w="100" w:type="dxa"/>
              <w:bottom w:w="95" w:type="dxa"/>
              <w:right w:w="100" w:type="dxa"/>
            </w:tcMar>
            <w:vAlign w:val="center"/>
          </w:tcPr>
          <w:p w14:paraId="75A1F0C5">
            <w:pPr>
              <w:keepNext w:val="0"/>
              <w:spacing w:before="0" w:after="0" w:line="252" w:lineRule="auto"/>
            </w:pPr>
            <w:r>
              <w:rPr>
                <w:rFonts w:ascii="Times New Roman" w:hAnsi="Times New Roman"/>
                <w:b/>
                <w:sz w:val="22"/>
              </w:rPr>
              <w:t>Study scoring description</w:t>
            </w:r>
          </w:p>
        </w:tc>
      </w:tr>
      <w:tr w14:paraId="0A92F776">
        <w:tblPrEx>
          <w:tblCellMar>
            <w:top w:w="0" w:type="dxa"/>
            <w:left w:w="108" w:type="dxa"/>
            <w:bottom w:w="0" w:type="dxa"/>
            <w:right w:w="108" w:type="dxa"/>
          </w:tblCellMar>
        </w:tblPrEx>
        <w:trPr>
          <w:cantSplit/>
        </w:trPr>
        <w:tc>
          <w:tcPr>
            <w:tcW w:w="1152" w:type="dxa"/>
            <w:tcBorders>
              <w:top w:val="nil"/>
              <w:left w:val="nil"/>
              <w:bottom w:val="nil"/>
              <w:right w:val="nil"/>
            </w:tcBorders>
            <w:tcMar>
              <w:top w:w="95" w:type="dxa"/>
              <w:left w:w="100" w:type="dxa"/>
              <w:bottom w:w="95" w:type="dxa"/>
              <w:right w:w="100" w:type="dxa"/>
            </w:tcMar>
            <w:vAlign w:val="center"/>
          </w:tcPr>
          <w:p w14:paraId="0778FC43">
            <w:pPr>
              <w:keepNext w:val="0"/>
              <w:spacing w:before="0" w:after="0" w:line="252" w:lineRule="auto"/>
            </w:pPr>
            <w:r>
              <w:rPr>
                <w:rFonts w:ascii="Times New Roman" w:hAnsi="Times New Roman"/>
                <w:b w:val="0"/>
                <w:sz w:val="22"/>
              </w:rPr>
              <w:t>1</w:t>
            </w:r>
          </w:p>
        </w:tc>
        <w:tc>
          <w:tcPr>
            <w:tcW w:w="13090" w:type="dxa"/>
            <w:tcBorders>
              <w:top w:val="nil"/>
              <w:left w:val="nil"/>
              <w:bottom w:val="nil"/>
              <w:right w:val="nil"/>
            </w:tcBorders>
            <w:tcMar>
              <w:top w:w="95" w:type="dxa"/>
              <w:left w:w="100" w:type="dxa"/>
              <w:bottom w:w="95" w:type="dxa"/>
              <w:right w:w="100" w:type="dxa"/>
            </w:tcMar>
            <w:vAlign w:val="center"/>
          </w:tcPr>
          <w:p w14:paraId="1EBCE909">
            <w:pPr>
              <w:keepNext w:val="0"/>
              <w:spacing w:before="0" w:after="0" w:line="252" w:lineRule="auto"/>
            </w:pPr>
            <w:r>
              <w:rPr>
                <w:rFonts w:ascii="Times New Roman" w:hAnsi="Times New Roman"/>
                <w:b w:val="0"/>
                <w:sz w:val="22"/>
              </w:rPr>
              <w:t>Agitated and restless.</w:t>
            </w:r>
          </w:p>
        </w:tc>
      </w:tr>
      <w:tr w14:paraId="426DBD32">
        <w:tblPrEx>
          <w:tblCellMar>
            <w:top w:w="0" w:type="dxa"/>
            <w:left w:w="108" w:type="dxa"/>
            <w:bottom w:w="0" w:type="dxa"/>
            <w:right w:w="108" w:type="dxa"/>
          </w:tblCellMar>
        </w:tblPrEx>
        <w:trPr>
          <w:cantSplit/>
        </w:trPr>
        <w:tc>
          <w:tcPr>
            <w:tcW w:w="1152" w:type="dxa"/>
            <w:tcBorders>
              <w:top w:val="nil"/>
              <w:left w:val="nil"/>
              <w:bottom w:val="nil"/>
              <w:right w:val="nil"/>
            </w:tcBorders>
            <w:tcMar>
              <w:top w:w="95" w:type="dxa"/>
              <w:left w:w="100" w:type="dxa"/>
              <w:bottom w:w="95" w:type="dxa"/>
              <w:right w:w="100" w:type="dxa"/>
            </w:tcMar>
            <w:vAlign w:val="center"/>
          </w:tcPr>
          <w:p w14:paraId="1CE2DEE0">
            <w:pPr>
              <w:keepNext w:val="0"/>
              <w:spacing w:before="0" w:after="0" w:line="252" w:lineRule="auto"/>
            </w:pPr>
            <w:r>
              <w:rPr>
                <w:rFonts w:ascii="Times New Roman" w:hAnsi="Times New Roman"/>
                <w:b w:val="0"/>
                <w:sz w:val="22"/>
              </w:rPr>
              <w:t>2</w:t>
            </w:r>
          </w:p>
        </w:tc>
        <w:tc>
          <w:tcPr>
            <w:tcW w:w="13090" w:type="dxa"/>
            <w:tcBorders>
              <w:top w:val="nil"/>
              <w:left w:val="nil"/>
              <w:bottom w:val="nil"/>
              <w:right w:val="nil"/>
            </w:tcBorders>
            <w:tcMar>
              <w:top w:w="95" w:type="dxa"/>
              <w:left w:w="100" w:type="dxa"/>
              <w:bottom w:w="95" w:type="dxa"/>
              <w:right w:w="100" w:type="dxa"/>
            </w:tcMar>
            <w:vAlign w:val="center"/>
          </w:tcPr>
          <w:p w14:paraId="17ECC02A">
            <w:pPr>
              <w:keepNext w:val="0"/>
              <w:spacing w:before="0" w:after="0" w:line="252" w:lineRule="auto"/>
            </w:pPr>
            <w:r>
              <w:rPr>
                <w:rFonts w:ascii="Times New Roman" w:hAnsi="Times New Roman"/>
                <w:b w:val="0"/>
                <w:sz w:val="22"/>
              </w:rPr>
              <w:t>Awake, calm and cooperative.</w:t>
            </w:r>
          </w:p>
        </w:tc>
      </w:tr>
      <w:tr w14:paraId="784AB8DA">
        <w:tblPrEx>
          <w:tblCellMar>
            <w:top w:w="0" w:type="dxa"/>
            <w:left w:w="108" w:type="dxa"/>
            <w:bottom w:w="0" w:type="dxa"/>
            <w:right w:w="108" w:type="dxa"/>
          </w:tblCellMar>
        </w:tblPrEx>
        <w:trPr>
          <w:cantSplit/>
        </w:trPr>
        <w:tc>
          <w:tcPr>
            <w:tcW w:w="1152" w:type="dxa"/>
            <w:tcBorders>
              <w:top w:val="nil"/>
              <w:left w:val="nil"/>
              <w:bottom w:val="nil"/>
              <w:right w:val="nil"/>
            </w:tcBorders>
            <w:tcMar>
              <w:top w:w="95" w:type="dxa"/>
              <w:left w:w="100" w:type="dxa"/>
              <w:bottom w:w="95" w:type="dxa"/>
              <w:right w:w="100" w:type="dxa"/>
            </w:tcMar>
            <w:vAlign w:val="center"/>
          </w:tcPr>
          <w:p w14:paraId="322C94BA">
            <w:pPr>
              <w:keepNext w:val="0"/>
              <w:spacing w:before="0" w:after="0" w:line="252" w:lineRule="auto"/>
            </w:pPr>
            <w:r>
              <w:rPr>
                <w:rFonts w:ascii="Times New Roman" w:hAnsi="Times New Roman"/>
                <w:b w:val="0"/>
                <w:sz w:val="22"/>
              </w:rPr>
              <w:t>3</w:t>
            </w:r>
          </w:p>
        </w:tc>
        <w:tc>
          <w:tcPr>
            <w:tcW w:w="13090" w:type="dxa"/>
            <w:tcBorders>
              <w:top w:val="nil"/>
              <w:left w:val="nil"/>
              <w:bottom w:val="nil"/>
              <w:right w:val="nil"/>
            </w:tcBorders>
            <w:tcMar>
              <w:top w:w="95" w:type="dxa"/>
              <w:left w:w="100" w:type="dxa"/>
              <w:bottom w:w="95" w:type="dxa"/>
              <w:right w:w="100" w:type="dxa"/>
            </w:tcMar>
            <w:vAlign w:val="center"/>
          </w:tcPr>
          <w:p w14:paraId="3E3056A9">
            <w:pPr>
              <w:keepNext w:val="0"/>
              <w:spacing w:before="0" w:after="0" w:line="252" w:lineRule="auto"/>
            </w:pPr>
            <w:r>
              <w:rPr>
                <w:rFonts w:ascii="Times New Roman" w:hAnsi="Times New Roman"/>
                <w:b w:val="0"/>
                <w:sz w:val="22"/>
              </w:rPr>
              <w:t>Drowsy, with a prompt response to commands.</w:t>
            </w:r>
          </w:p>
        </w:tc>
      </w:tr>
      <w:tr w14:paraId="3D85B8C2">
        <w:tblPrEx>
          <w:tblCellMar>
            <w:top w:w="0" w:type="dxa"/>
            <w:left w:w="108" w:type="dxa"/>
            <w:bottom w:w="0" w:type="dxa"/>
            <w:right w:w="108" w:type="dxa"/>
          </w:tblCellMar>
        </w:tblPrEx>
        <w:trPr>
          <w:cantSplit/>
        </w:trPr>
        <w:tc>
          <w:tcPr>
            <w:tcW w:w="1152" w:type="dxa"/>
            <w:tcBorders>
              <w:top w:val="nil"/>
              <w:left w:val="nil"/>
              <w:bottom w:val="nil"/>
              <w:right w:val="nil"/>
            </w:tcBorders>
            <w:tcMar>
              <w:top w:w="95" w:type="dxa"/>
              <w:left w:w="100" w:type="dxa"/>
              <w:bottom w:w="95" w:type="dxa"/>
              <w:right w:w="100" w:type="dxa"/>
            </w:tcMar>
            <w:vAlign w:val="center"/>
          </w:tcPr>
          <w:p w14:paraId="5BF64A09">
            <w:pPr>
              <w:keepNext w:val="0"/>
              <w:spacing w:before="0" w:after="0" w:line="252" w:lineRule="auto"/>
            </w:pPr>
            <w:r>
              <w:rPr>
                <w:rFonts w:ascii="Times New Roman" w:hAnsi="Times New Roman"/>
                <w:b w:val="0"/>
                <w:sz w:val="22"/>
              </w:rPr>
              <w:t>4</w:t>
            </w:r>
          </w:p>
        </w:tc>
        <w:tc>
          <w:tcPr>
            <w:tcW w:w="13090" w:type="dxa"/>
            <w:tcBorders>
              <w:top w:val="nil"/>
              <w:left w:val="nil"/>
              <w:bottom w:val="nil"/>
              <w:right w:val="nil"/>
            </w:tcBorders>
            <w:tcMar>
              <w:top w:w="95" w:type="dxa"/>
              <w:left w:w="100" w:type="dxa"/>
              <w:bottom w:w="95" w:type="dxa"/>
              <w:right w:w="100" w:type="dxa"/>
            </w:tcMar>
            <w:vAlign w:val="center"/>
          </w:tcPr>
          <w:p w14:paraId="5DA23C46">
            <w:pPr>
              <w:keepNext w:val="0"/>
              <w:spacing w:before="0" w:after="0" w:line="252" w:lineRule="auto"/>
            </w:pPr>
            <w:r>
              <w:rPr>
                <w:rFonts w:ascii="Times New Roman" w:hAnsi="Times New Roman"/>
                <w:b w:val="0"/>
                <w:sz w:val="22"/>
              </w:rPr>
              <w:t>Light sleep; readily awakened.</w:t>
            </w:r>
          </w:p>
        </w:tc>
      </w:tr>
      <w:tr w14:paraId="50054AD2">
        <w:tblPrEx>
          <w:tblCellMar>
            <w:top w:w="0" w:type="dxa"/>
            <w:left w:w="108" w:type="dxa"/>
            <w:bottom w:w="0" w:type="dxa"/>
            <w:right w:w="108" w:type="dxa"/>
          </w:tblCellMar>
        </w:tblPrEx>
        <w:trPr>
          <w:cantSplit/>
        </w:trPr>
        <w:tc>
          <w:tcPr>
            <w:tcW w:w="1152" w:type="dxa"/>
            <w:tcBorders>
              <w:top w:val="nil"/>
              <w:left w:val="nil"/>
              <w:bottom w:val="nil"/>
              <w:right w:val="nil"/>
            </w:tcBorders>
            <w:tcMar>
              <w:top w:w="95" w:type="dxa"/>
              <w:left w:w="100" w:type="dxa"/>
              <w:bottom w:w="95" w:type="dxa"/>
              <w:right w:w="100" w:type="dxa"/>
            </w:tcMar>
            <w:vAlign w:val="center"/>
          </w:tcPr>
          <w:p w14:paraId="710FEE1E">
            <w:pPr>
              <w:keepNext w:val="0"/>
              <w:spacing w:before="0" w:after="0" w:line="252" w:lineRule="auto"/>
            </w:pPr>
            <w:r>
              <w:rPr>
                <w:rFonts w:ascii="Times New Roman" w:hAnsi="Times New Roman"/>
                <w:b w:val="0"/>
                <w:sz w:val="22"/>
              </w:rPr>
              <w:t>5</w:t>
            </w:r>
          </w:p>
        </w:tc>
        <w:tc>
          <w:tcPr>
            <w:tcW w:w="13090" w:type="dxa"/>
            <w:tcBorders>
              <w:top w:val="nil"/>
              <w:left w:val="nil"/>
              <w:bottom w:val="nil"/>
              <w:right w:val="nil"/>
            </w:tcBorders>
            <w:tcMar>
              <w:top w:w="95" w:type="dxa"/>
              <w:left w:w="100" w:type="dxa"/>
              <w:bottom w:w="95" w:type="dxa"/>
              <w:right w:w="100" w:type="dxa"/>
            </w:tcMar>
            <w:vAlign w:val="center"/>
          </w:tcPr>
          <w:p w14:paraId="5B52A99D">
            <w:pPr>
              <w:keepNext w:val="0"/>
              <w:spacing w:before="0" w:after="0" w:line="252" w:lineRule="auto"/>
            </w:pPr>
            <w:r>
              <w:rPr>
                <w:rFonts w:ascii="Times New Roman" w:hAnsi="Times New Roman"/>
                <w:b w:val="0"/>
                <w:sz w:val="22"/>
              </w:rPr>
              <w:t>Asleep, with a sluggish response to calling.</w:t>
            </w:r>
          </w:p>
        </w:tc>
      </w:tr>
      <w:tr w14:paraId="443AD7D2">
        <w:tblPrEx>
          <w:tblCellMar>
            <w:top w:w="0" w:type="dxa"/>
            <w:left w:w="108" w:type="dxa"/>
            <w:bottom w:w="0" w:type="dxa"/>
            <w:right w:w="108" w:type="dxa"/>
          </w:tblCellMar>
        </w:tblPrEx>
        <w:trPr>
          <w:cantSplit/>
        </w:trPr>
        <w:tc>
          <w:tcPr>
            <w:tcW w:w="1152" w:type="dxa"/>
            <w:tcBorders>
              <w:top w:val="nil"/>
              <w:left w:val="nil"/>
              <w:bottom w:val="single" w:color="000000" w:sz="6" w:space="0"/>
              <w:right w:val="nil"/>
            </w:tcBorders>
            <w:tcMar>
              <w:top w:w="95" w:type="dxa"/>
              <w:left w:w="100" w:type="dxa"/>
              <w:bottom w:w="95" w:type="dxa"/>
              <w:right w:w="100" w:type="dxa"/>
            </w:tcMar>
            <w:vAlign w:val="center"/>
          </w:tcPr>
          <w:p w14:paraId="542076D7">
            <w:pPr>
              <w:keepNext w:val="0"/>
              <w:spacing w:before="0" w:after="0" w:line="252" w:lineRule="auto"/>
            </w:pPr>
            <w:r>
              <w:rPr>
                <w:rFonts w:ascii="Times New Roman" w:hAnsi="Times New Roman"/>
                <w:b w:val="0"/>
                <w:sz w:val="22"/>
              </w:rPr>
              <w:t>6</w:t>
            </w:r>
          </w:p>
        </w:tc>
        <w:tc>
          <w:tcPr>
            <w:tcW w:w="13090" w:type="dxa"/>
            <w:tcBorders>
              <w:top w:val="nil"/>
              <w:left w:val="nil"/>
              <w:bottom w:val="single" w:color="000000" w:sz="6" w:space="0"/>
              <w:right w:val="nil"/>
            </w:tcBorders>
            <w:tcMar>
              <w:top w:w="95" w:type="dxa"/>
              <w:left w:w="100" w:type="dxa"/>
              <w:bottom w:w="95" w:type="dxa"/>
              <w:right w:w="100" w:type="dxa"/>
            </w:tcMar>
            <w:vAlign w:val="center"/>
          </w:tcPr>
          <w:p w14:paraId="36813506">
            <w:pPr>
              <w:keepNext w:val="0"/>
              <w:spacing w:before="0" w:after="0" w:line="252" w:lineRule="auto"/>
            </w:pPr>
            <w:r>
              <w:rPr>
                <w:rFonts w:ascii="Times New Roman" w:hAnsi="Times New Roman"/>
                <w:b w:val="0"/>
                <w:sz w:val="22"/>
              </w:rPr>
              <w:t>Deep sleep, with no response to calling.</w:t>
            </w:r>
          </w:p>
        </w:tc>
      </w:tr>
    </w:tbl>
    <w:p w14:paraId="718E80C6">
      <w:pPr>
        <w:pStyle w:val="166"/>
        <w:spacing w:before="160" w:line="264" w:lineRule="auto"/>
      </w:pPr>
      <w:r>
        <w:t>Assessment schedule: T0, before medication; T1, 15 min; T2, 20 min; T3, 25 min; T4, 30 min; and T5, immediately before anaesthetic induction. T5 is event-defined, not an assumed fixed elapsed time. Time to first RSS ≥3 is a separate recorded primary outcome. Higher RSS indicates deeper sedation.</w:t>
      </w:r>
    </w:p>
    <w:p w14:paraId="4A3D1E5F">
      <w:pPr>
        <w:pStyle w:val="3"/>
        <w:keepNext/>
        <w:pageBreakBefore/>
      </w:pPr>
      <w:r>
        <w:t>Table S6b. Parental separation and mask acceptance scoring</w:t>
      </w:r>
    </w:p>
    <w:p w14:paraId="453AD931">
      <w:pPr>
        <w:spacing w:after="140" w:line="264" w:lineRule="auto"/>
      </w:pPr>
      <w:r>
        <w:rPr>
          <w:sz w:val="22"/>
        </w:rPr>
        <w:t>The PSAS was assessed during separation of the child from the parent, b</w:t>
      </w:r>
      <w:bookmarkStart w:id="0" w:name="_GoBack"/>
      <w:bookmarkEnd w:id="0"/>
      <w:r>
        <w:rPr>
          <w:sz w:val="22"/>
        </w:rPr>
        <w:t>efore T5. The MAS was assessed during inhalational mask induction. The PSAS describes the child’s separation behaviour rather than the parent’s own anxiety.</w:t>
      </w:r>
    </w:p>
    <w:tbl>
      <w:tblPr>
        <w:tblStyle w:val="32"/>
        <w:tblW w:w="0" w:type="auto"/>
        <w:tblInd w:w="0" w:type="dxa"/>
        <w:tblLayout w:type="fixed"/>
        <w:tblCellMar>
          <w:top w:w="0" w:type="dxa"/>
          <w:left w:w="108" w:type="dxa"/>
          <w:bottom w:w="0" w:type="dxa"/>
          <w:right w:w="108" w:type="dxa"/>
        </w:tblCellMar>
      </w:tblPr>
      <w:tblGrid>
        <w:gridCol w:w="864"/>
        <w:gridCol w:w="6552"/>
        <w:gridCol w:w="6826"/>
      </w:tblGrid>
      <w:tr w14:paraId="7D965638">
        <w:tblPrEx>
          <w:tblCellMar>
            <w:top w:w="0" w:type="dxa"/>
            <w:left w:w="108" w:type="dxa"/>
            <w:bottom w:w="0" w:type="dxa"/>
            <w:right w:w="108" w:type="dxa"/>
          </w:tblCellMar>
        </w:tblPrEx>
        <w:trPr>
          <w:cantSplit/>
          <w:tblHeader/>
        </w:trPr>
        <w:tc>
          <w:tcPr>
            <w:tcW w:w="864" w:type="dxa"/>
            <w:tcBorders>
              <w:top w:val="single" w:color="000000" w:sz="6" w:space="0"/>
              <w:left w:val="nil"/>
              <w:bottom w:val="single" w:color="000000" w:sz="6" w:space="0"/>
              <w:right w:val="nil"/>
            </w:tcBorders>
            <w:tcMar>
              <w:top w:w="95" w:type="dxa"/>
              <w:left w:w="100" w:type="dxa"/>
              <w:bottom w:w="95" w:type="dxa"/>
              <w:right w:w="100" w:type="dxa"/>
            </w:tcMar>
            <w:vAlign w:val="center"/>
          </w:tcPr>
          <w:p w14:paraId="243E7CA1">
            <w:pPr>
              <w:keepNext w:val="0"/>
              <w:spacing w:before="0" w:after="0" w:line="252" w:lineRule="auto"/>
            </w:pPr>
            <w:r>
              <w:rPr>
                <w:rFonts w:ascii="Times New Roman" w:hAnsi="Times New Roman"/>
                <w:b/>
                <w:sz w:val="22"/>
              </w:rPr>
              <w:t>Score</w:t>
            </w:r>
          </w:p>
        </w:tc>
        <w:tc>
          <w:tcPr>
            <w:tcW w:w="6552" w:type="dxa"/>
            <w:tcBorders>
              <w:top w:val="single" w:color="000000" w:sz="6" w:space="0"/>
              <w:left w:val="nil"/>
              <w:bottom w:val="single" w:color="000000" w:sz="6" w:space="0"/>
              <w:right w:val="nil"/>
            </w:tcBorders>
            <w:tcMar>
              <w:top w:w="95" w:type="dxa"/>
              <w:left w:w="100" w:type="dxa"/>
              <w:bottom w:w="95" w:type="dxa"/>
              <w:right w:w="100" w:type="dxa"/>
            </w:tcMar>
            <w:vAlign w:val="center"/>
          </w:tcPr>
          <w:p w14:paraId="67BFB297">
            <w:pPr>
              <w:keepNext w:val="0"/>
              <w:spacing w:before="0" w:after="0" w:line="252" w:lineRule="auto"/>
            </w:pPr>
            <w:r>
              <w:rPr>
                <w:rFonts w:ascii="Times New Roman" w:hAnsi="Times New Roman"/>
                <w:b/>
                <w:sz w:val="22"/>
              </w:rPr>
              <w:t>PSAS: separation behaviour</w:t>
            </w:r>
          </w:p>
        </w:tc>
        <w:tc>
          <w:tcPr>
            <w:tcW w:w="6826" w:type="dxa"/>
            <w:tcBorders>
              <w:top w:val="single" w:color="000000" w:sz="6" w:space="0"/>
              <w:left w:val="nil"/>
              <w:bottom w:val="single" w:color="000000" w:sz="6" w:space="0"/>
              <w:right w:val="nil"/>
            </w:tcBorders>
            <w:tcMar>
              <w:top w:w="95" w:type="dxa"/>
              <w:left w:w="100" w:type="dxa"/>
              <w:bottom w:w="95" w:type="dxa"/>
              <w:right w:w="100" w:type="dxa"/>
            </w:tcMar>
            <w:vAlign w:val="center"/>
          </w:tcPr>
          <w:p w14:paraId="44E774C7">
            <w:pPr>
              <w:keepNext w:val="0"/>
              <w:spacing w:before="0" w:after="0" w:line="252" w:lineRule="auto"/>
            </w:pPr>
            <w:r>
              <w:rPr>
                <w:rFonts w:ascii="Times New Roman" w:hAnsi="Times New Roman"/>
                <w:b/>
                <w:sz w:val="22"/>
              </w:rPr>
              <w:t>MAS: mask acceptance</w:t>
            </w:r>
          </w:p>
        </w:tc>
      </w:tr>
      <w:tr w14:paraId="4B069D96">
        <w:tblPrEx>
          <w:tblCellMar>
            <w:top w:w="0" w:type="dxa"/>
            <w:left w:w="108" w:type="dxa"/>
            <w:bottom w:w="0" w:type="dxa"/>
            <w:right w:w="108" w:type="dxa"/>
          </w:tblCellMar>
        </w:tblPrEx>
        <w:trPr>
          <w:cantSplit/>
        </w:trPr>
        <w:tc>
          <w:tcPr>
            <w:tcW w:w="864" w:type="dxa"/>
            <w:tcBorders>
              <w:top w:val="nil"/>
              <w:left w:val="nil"/>
              <w:bottom w:val="nil"/>
              <w:right w:val="nil"/>
            </w:tcBorders>
            <w:tcMar>
              <w:top w:w="95" w:type="dxa"/>
              <w:left w:w="100" w:type="dxa"/>
              <w:bottom w:w="95" w:type="dxa"/>
              <w:right w:w="100" w:type="dxa"/>
            </w:tcMar>
            <w:vAlign w:val="center"/>
          </w:tcPr>
          <w:p w14:paraId="76809515">
            <w:pPr>
              <w:keepNext w:val="0"/>
              <w:spacing w:before="0" w:after="0" w:line="252" w:lineRule="auto"/>
            </w:pPr>
            <w:r>
              <w:rPr>
                <w:rFonts w:ascii="Times New Roman" w:hAnsi="Times New Roman"/>
                <w:b w:val="0"/>
                <w:sz w:val="22"/>
              </w:rPr>
              <w:t>1</w:t>
            </w:r>
          </w:p>
        </w:tc>
        <w:tc>
          <w:tcPr>
            <w:tcW w:w="6552" w:type="dxa"/>
            <w:tcBorders>
              <w:top w:val="nil"/>
              <w:left w:val="nil"/>
              <w:bottom w:val="nil"/>
              <w:right w:val="nil"/>
            </w:tcBorders>
            <w:tcMar>
              <w:top w:w="95" w:type="dxa"/>
              <w:left w:w="100" w:type="dxa"/>
              <w:bottom w:w="95" w:type="dxa"/>
              <w:right w:w="100" w:type="dxa"/>
            </w:tcMar>
            <w:vAlign w:val="center"/>
          </w:tcPr>
          <w:p w14:paraId="1EDED7F0">
            <w:pPr>
              <w:keepNext w:val="0"/>
              <w:spacing w:before="0" w:after="0" w:line="252" w:lineRule="auto"/>
            </w:pPr>
            <w:r>
              <w:rPr>
                <w:rFonts w:ascii="Times New Roman" w:hAnsi="Times New Roman"/>
                <w:b w:val="0"/>
                <w:sz w:val="22"/>
              </w:rPr>
              <w:t>Easy separation.</w:t>
            </w:r>
          </w:p>
        </w:tc>
        <w:tc>
          <w:tcPr>
            <w:tcW w:w="6826" w:type="dxa"/>
            <w:tcBorders>
              <w:top w:val="nil"/>
              <w:left w:val="nil"/>
              <w:bottom w:val="nil"/>
              <w:right w:val="nil"/>
            </w:tcBorders>
            <w:tcMar>
              <w:top w:w="95" w:type="dxa"/>
              <w:left w:w="100" w:type="dxa"/>
              <w:bottom w:w="95" w:type="dxa"/>
              <w:right w:w="100" w:type="dxa"/>
            </w:tcMar>
            <w:vAlign w:val="center"/>
          </w:tcPr>
          <w:p w14:paraId="22AE8C7D">
            <w:pPr>
              <w:keepNext w:val="0"/>
              <w:spacing w:before="0" w:after="0" w:line="252" w:lineRule="auto"/>
            </w:pPr>
            <w:r>
              <w:rPr>
                <w:rFonts w:ascii="Times New Roman" w:hAnsi="Times New Roman"/>
                <w:b w:val="0"/>
                <w:sz w:val="22"/>
              </w:rPr>
              <w:t>Excellent: no fear; cooperative; accepts the mask easily.</w:t>
            </w:r>
          </w:p>
        </w:tc>
      </w:tr>
      <w:tr w14:paraId="7CCFEA47">
        <w:tblPrEx>
          <w:tblCellMar>
            <w:top w:w="0" w:type="dxa"/>
            <w:left w:w="108" w:type="dxa"/>
            <w:bottom w:w="0" w:type="dxa"/>
            <w:right w:w="108" w:type="dxa"/>
          </w:tblCellMar>
        </w:tblPrEx>
        <w:trPr>
          <w:cantSplit/>
        </w:trPr>
        <w:tc>
          <w:tcPr>
            <w:tcW w:w="864" w:type="dxa"/>
            <w:tcBorders>
              <w:top w:val="nil"/>
              <w:left w:val="nil"/>
              <w:bottom w:val="nil"/>
              <w:right w:val="nil"/>
            </w:tcBorders>
            <w:tcMar>
              <w:top w:w="95" w:type="dxa"/>
              <w:left w:w="100" w:type="dxa"/>
              <w:bottom w:w="95" w:type="dxa"/>
              <w:right w:w="100" w:type="dxa"/>
            </w:tcMar>
            <w:vAlign w:val="center"/>
          </w:tcPr>
          <w:p w14:paraId="3075B24F">
            <w:pPr>
              <w:keepNext w:val="0"/>
              <w:spacing w:before="0" w:after="0" w:line="252" w:lineRule="auto"/>
            </w:pPr>
            <w:r>
              <w:rPr>
                <w:rFonts w:ascii="Times New Roman" w:hAnsi="Times New Roman"/>
                <w:b w:val="0"/>
                <w:sz w:val="22"/>
              </w:rPr>
              <w:t>2</w:t>
            </w:r>
          </w:p>
        </w:tc>
        <w:tc>
          <w:tcPr>
            <w:tcW w:w="6552" w:type="dxa"/>
            <w:tcBorders>
              <w:top w:val="nil"/>
              <w:left w:val="nil"/>
              <w:bottom w:val="nil"/>
              <w:right w:val="nil"/>
            </w:tcBorders>
            <w:tcMar>
              <w:top w:w="95" w:type="dxa"/>
              <w:left w:w="100" w:type="dxa"/>
              <w:bottom w:w="95" w:type="dxa"/>
              <w:right w:w="100" w:type="dxa"/>
            </w:tcMar>
            <w:vAlign w:val="center"/>
          </w:tcPr>
          <w:p w14:paraId="4DBD9FB7">
            <w:pPr>
              <w:keepNext w:val="0"/>
              <w:spacing w:before="0" w:after="0" w:line="252" w:lineRule="auto"/>
            </w:pPr>
            <w:r>
              <w:rPr>
                <w:rFonts w:ascii="Times New Roman" w:hAnsi="Times New Roman"/>
                <w:b w:val="0"/>
                <w:sz w:val="22"/>
              </w:rPr>
              <w:t>Crying, but easily consoled and not dependent on the parent.</w:t>
            </w:r>
          </w:p>
        </w:tc>
        <w:tc>
          <w:tcPr>
            <w:tcW w:w="6826" w:type="dxa"/>
            <w:tcBorders>
              <w:top w:val="nil"/>
              <w:left w:val="nil"/>
              <w:bottom w:val="nil"/>
              <w:right w:val="nil"/>
            </w:tcBorders>
            <w:tcMar>
              <w:top w:w="95" w:type="dxa"/>
              <w:left w:w="100" w:type="dxa"/>
              <w:bottom w:w="95" w:type="dxa"/>
              <w:right w:w="100" w:type="dxa"/>
            </w:tcMar>
            <w:vAlign w:val="center"/>
          </w:tcPr>
          <w:p w14:paraId="7CFCFCF5">
            <w:pPr>
              <w:keepNext w:val="0"/>
              <w:spacing w:before="0" w:after="0" w:line="252" w:lineRule="auto"/>
            </w:pPr>
            <w:r>
              <w:rPr>
                <w:rFonts w:ascii="Times New Roman" w:hAnsi="Times New Roman"/>
                <w:b w:val="0"/>
                <w:sz w:val="22"/>
              </w:rPr>
              <w:t>Good: slight fear of the mask; easily consoled.</w:t>
            </w:r>
          </w:p>
        </w:tc>
      </w:tr>
      <w:tr w14:paraId="6A23279D">
        <w:tblPrEx>
          <w:tblCellMar>
            <w:top w:w="0" w:type="dxa"/>
            <w:left w:w="108" w:type="dxa"/>
            <w:bottom w:w="0" w:type="dxa"/>
            <w:right w:w="108" w:type="dxa"/>
          </w:tblCellMar>
        </w:tblPrEx>
        <w:trPr>
          <w:cantSplit/>
        </w:trPr>
        <w:tc>
          <w:tcPr>
            <w:tcW w:w="864" w:type="dxa"/>
            <w:tcBorders>
              <w:top w:val="nil"/>
              <w:left w:val="nil"/>
              <w:bottom w:val="nil"/>
              <w:right w:val="nil"/>
            </w:tcBorders>
            <w:tcMar>
              <w:top w:w="95" w:type="dxa"/>
              <w:left w:w="100" w:type="dxa"/>
              <w:bottom w:w="95" w:type="dxa"/>
              <w:right w:w="100" w:type="dxa"/>
            </w:tcMar>
            <w:vAlign w:val="center"/>
          </w:tcPr>
          <w:p w14:paraId="7D46A1B8">
            <w:pPr>
              <w:keepNext w:val="0"/>
              <w:spacing w:before="0" w:after="0" w:line="252" w:lineRule="auto"/>
            </w:pPr>
            <w:r>
              <w:rPr>
                <w:rFonts w:ascii="Times New Roman" w:hAnsi="Times New Roman"/>
                <w:b w:val="0"/>
                <w:sz w:val="22"/>
              </w:rPr>
              <w:t>3</w:t>
            </w:r>
          </w:p>
        </w:tc>
        <w:tc>
          <w:tcPr>
            <w:tcW w:w="6552" w:type="dxa"/>
            <w:tcBorders>
              <w:top w:val="nil"/>
              <w:left w:val="nil"/>
              <w:bottom w:val="nil"/>
              <w:right w:val="nil"/>
            </w:tcBorders>
            <w:tcMar>
              <w:top w:w="95" w:type="dxa"/>
              <w:left w:w="100" w:type="dxa"/>
              <w:bottom w:w="95" w:type="dxa"/>
              <w:right w:w="100" w:type="dxa"/>
            </w:tcMar>
            <w:vAlign w:val="center"/>
          </w:tcPr>
          <w:p w14:paraId="17992819">
            <w:pPr>
              <w:keepNext w:val="0"/>
              <w:spacing w:before="0" w:after="0" w:line="252" w:lineRule="auto"/>
            </w:pPr>
            <w:r>
              <w:rPr>
                <w:rFonts w:ascii="Times New Roman" w:hAnsi="Times New Roman"/>
                <w:b w:val="0"/>
                <w:sz w:val="22"/>
              </w:rPr>
              <w:t>Crying and not consolable, but not dependent on the parent.</w:t>
            </w:r>
          </w:p>
        </w:tc>
        <w:tc>
          <w:tcPr>
            <w:tcW w:w="6826" w:type="dxa"/>
            <w:tcBorders>
              <w:top w:val="nil"/>
              <w:left w:val="nil"/>
              <w:bottom w:val="nil"/>
              <w:right w:val="nil"/>
            </w:tcBorders>
            <w:tcMar>
              <w:top w:w="95" w:type="dxa"/>
              <w:left w:w="100" w:type="dxa"/>
              <w:bottom w:w="95" w:type="dxa"/>
              <w:right w:w="100" w:type="dxa"/>
            </w:tcMar>
            <w:vAlign w:val="center"/>
          </w:tcPr>
          <w:p w14:paraId="52559106">
            <w:pPr>
              <w:keepNext w:val="0"/>
              <w:spacing w:before="0" w:after="0" w:line="252" w:lineRule="auto"/>
            </w:pPr>
            <w:r>
              <w:rPr>
                <w:rFonts w:ascii="Times New Roman" w:hAnsi="Times New Roman"/>
                <w:b w:val="0"/>
                <w:sz w:val="22"/>
              </w:rPr>
              <w:t>Fair: moderate fear of the mask; not consolable.</w:t>
            </w:r>
          </w:p>
        </w:tc>
      </w:tr>
      <w:tr w14:paraId="3659924C">
        <w:tblPrEx>
          <w:tblCellMar>
            <w:top w:w="0" w:type="dxa"/>
            <w:left w:w="108" w:type="dxa"/>
            <w:bottom w:w="0" w:type="dxa"/>
            <w:right w:w="108" w:type="dxa"/>
          </w:tblCellMar>
        </w:tblPrEx>
        <w:trPr>
          <w:cantSplit/>
        </w:trPr>
        <w:tc>
          <w:tcPr>
            <w:tcW w:w="864" w:type="dxa"/>
            <w:tcBorders>
              <w:top w:val="nil"/>
              <w:left w:val="nil"/>
              <w:bottom w:val="single" w:color="000000" w:sz="6" w:space="0"/>
              <w:right w:val="nil"/>
            </w:tcBorders>
            <w:tcMar>
              <w:top w:w="95" w:type="dxa"/>
              <w:left w:w="100" w:type="dxa"/>
              <w:bottom w:w="95" w:type="dxa"/>
              <w:right w:w="100" w:type="dxa"/>
            </w:tcMar>
            <w:vAlign w:val="center"/>
          </w:tcPr>
          <w:p w14:paraId="657A0F44">
            <w:pPr>
              <w:keepNext w:val="0"/>
              <w:spacing w:before="0" w:after="0" w:line="252" w:lineRule="auto"/>
            </w:pPr>
            <w:r>
              <w:rPr>
                <w:rFonts w:ascii="Times New Roman" w:hAnsi="Times New Roman"/>
                <w:b w:val="0"/>
                <w:sz w:val="22"/>
              </w:rPr>
              <w:t>4</w:t>
            </w:r>
          </w:p>
        </w:tc>
        <w:tc>
          <w:tcPr>
            <w:tcW w:w="6552" w:type="dxa"/>
            <w:tcBorders>
              <w:top w:val="nil"/>
              <w:left w:val="nil"/>
              <w:bottom w:val="single" w:color="000000" w:sz="6" w:space="0"/>
              <w:right w:val="nil"/>
            </w:tcBorders>
            <w:tcMar>
              <w:top w:w="95" w:type="dxa"/>
              <w:left w:w="100" w:type="dxa"/>
              <w:bottom w:w="95" w:type="dxa"/>
              <w:right w:w="100" w:type="dxa"/>
            </w:tcMar>
            <w:vAlign w:val="center"/>
          </w:tcPr>
          <w:p w14:paraId="6FE27E47">
            <w:pPr>
              <w:keepNext w:val="0"/>
              <w:spacing w:before="0" w:after="0" w:line="252" w:lineRule="auto"/>
            </w:pPr>
            <w:r>
              <w:rPr>
                <w:rFonts w:ascii="Times New Roman" w:hAnsi="Times New Roman"/>
                <w:b w:val="0"/>
                <w:sz w:val="22"/>
              </w:rPr>
              <w:t>Crying and dependent on the parent.</w:t>
            </w:r>
          </w:p>
        </w:tc>
        <w:tc>
          <w:tcPr>
            <w:tcW w:w="6826" w:type="dxa"/>
            <w:tcBorders>
              <w:top w:val="nil"/>
              <w:left w:val="nil"/>
              <w:bottom w:val="single" w:color="000000" w:sz="6" w:space="0"/>
              <w:right w:val="nil"/>
            </w:tcBorders>
            <w:tcMar>
              <w:top w:w="95" w:type="dxa"/>
              <w:left w:w="100" w:type="dxa"/>
              <w:bottom w:w="95" w:type="dxa"/>
              <w:right w:w="100" w:type="dxa"/>
            </w:tcMar>
            <w:vAlign w:val="center"/>
          </w:tcPr>
          <w:p w14:paraId="410DA409">
            <w:pPr>
              <w:keepNext w:val="0"/>
              <w:spacing w:before="0" w:after="0" w:line="252" w:lineRule="auto"/>
            </w:pPr>
            <w:r>
              <w:rPr>
                <w:rFonts w:ascii="Times New Roman" w:hAnsi="Times New Roman"/>
                <w:b w:val="0"/>
                <w:sz w:val="22"/>
              </w:rPr>
              <w:t>Poor: severe fear of the mask, with crying.</w:t>
            </w:r>
          </w:p>
        </w:tc>
      </w:tr>
    </w:tbl>
    <w:p w14:paraId="32FBFA67">
      <w:pPr>
        <w:pStyle w:val="166"/>
        <w:spacing w:before="160" w:line="264" w:lineRule="auto"/>
      </w:pPr>
      <w:r>
        <w:t>Scores of 1–2 indicate successful parental separation on the PSAS and satisfactory mask acceptance on the MAS. Lower scores are more favourable. These thresholds describe the study scoring criteria; the primary statistical comparisons use the full ordinal scores, not additional dichotomised hypothesis tests.</w:t>
      </w:r>
    </w:p>
    <w:p w14:paraId="1725CA4A">
      <w:pPr>
        <w:pStyle w:val="3"/>
        <w:keepNext/>
        <w:pageBreakBefore/>
      </w:pPr>
      <w:r>
        <w:t>Table S6c. Emergence-behaviour items and PAED scoring</w:t>
      </w:r>
    </w:p>
    <w:p w14:paraId="369681F0">
      <w:pPr>
        <w:spacing w:after="140" w:line="264" w:lineRule="auto"/>
      </w:pPr>
      <w:r>
        <w:rPr>
          <w:sz w:val="22"/>
        </w:rPr>
        <w:t>PAED scoring was performed after emergence. The following reproduces the five item descriptions and scoring directions supplied by the investigators.</w:t>
      </w:r>
    </w:p>
    <w:tbl>
      <w:tblPr>
        <w:tblStyle w:val="32"/>
        <w:tblW w:w="0" w:type="auto"/>
        <w:tblInd w:w="0" w:type="dxa"/>
        <w:tblLayout w:type="fixed"/>
        <w:tblCellMar>
          <w:top w:w="0" w:type="dxa"/>
          <w:left w:w="108" w:type="dxa"/>
          <w:bottom w:w="0" w:type="dxa"/>
          <w:right w:w="108" w:type="dxa"/>
        </w:tblCellMar>
      </w:tblPr>
      <w:tblGrid>
        <w:gridCol w:w="864"/>
        <w:gridCol w:w="9288"/>
        <w:gridCol w:w="4090"/>
      </w:tblGrid>
      <w:tr w14:paraId="6DCAA825">
        <w:tblPrEx>
          <w:tblCellMar>
            <w:top w:w="0" w:type="dxa"/>
            <w:left w:w="108" w:type="dxa"/>
            <w:bottom w:w="0" w:type="dxa"/>
            <w:right w:w="108" w:type="dxa"/>
          </w:tblCellMar>
        </w:tblPrEx>
        <w:trPr>
          <w:cantSplit/>
          <w:tblHeader/>
        </w:trPr>
        <w:tc>
          <w:tcPr>
            <w:tcW w:w="864" w:type="dxa"/>
            <w:tcBorders>
              <w:top w:val="single" w:color="000000" w:sz="6" w:space="0"/>
              <w:left w:val="nil"/>
              <w:bottom w:val="single" w:color="000000" w:sz="6" w:space="0"/>
              <w:right w:val="nil"/>
            </w:tcBorders>
            <w:tcMar>
              <w:top w:w="95" w:type="dxa"/>
              <w:left w:w="100" w:type="dxa"/>
              <w:bottom w:w="95" w:type="dxa"/>
              <w:right w:w="100" w:type="dxa"/>
            </w:tcMar>
            <w:vAlign w:val="center"/>
          </w:tcPr>
          <w:p w14:paraId="2F994B35">
            <w:pPr>
              <w:keepNext w:val="0"/>
              <w:spacing w:before="0" w:after="0" w:line="252" w:lineRule="auto"/>
            </w:pPr>
            <w:r>
              <w:rPr>
                <w:rFonts w:ascii="Times New Roman" w:hAnsi="Times New Roman"/>
                <w:b/>
                <w:sz w:val="22"/>
              </w:rPr>
              <w:t>Item</w:t>
            </w:r>
          </w:p>
        </w:tc>
        <w:tc>
          <w:tcPr>
            <w:tcW w:w="9288" w:type="dxa"/>
            <w:tcBorders>
              <w:top w:val="single" w:color="000000" w:sz="6" w:space="0"/>
              <w:left w:val="nil"/>
              <w:bottom w:val="single" w:color="000000" w:sz="6" w:space="0"/>
              <w:right w:val="nil"/>
            </w:tcBorders>
            <w:tcMar>
              <w:top w:w="95" w:type="dxa"/>
              <w:left w:w="100" w:type="dxa"/>
              <w:bottom w:w="95" w:type="dxa"/>
              <w:right w:w="100" w:type="dxa"/>
            </w:tcMar>
            <w:vAlign w:val="center"/>
          </w:tcPr>
          <w:p w14:paraId="3BA6F7FE">
            <w:pPr>
              <w:keepNext w:val="0"/>
              <w:spacing w:before="0" w:after="0" w:line="252" w:lineRule="auto"/>
            </w:pPr>
            <w:r>
              <w:rPr>
                <w:rFonts w:ascii="Times New Roman" w:hAnsi="Times New Roman"/>
                <w:b/>
                <w:sz w:val="22"/>
              </w:rPr>
              <w:t>Study item description</w:t>
            </w:r>
          </w:p>
        </w:tc>
        <w:tc>
          <w:tcPr>
            <w:tcW w:w="4090" w:type="dxa"/>
            <w:tcBorders>
              <w:top w:val="single" w:color="000000" w:sz="6" w:space="0"/>
              <w:left w:val="nil"/>
              <w:bottom w:val="single" w:color="000000" w:sz="6" w:space="0"/>
              <w:right w:val="nil"/>
            </w:tcBorders>
            <w:tcMar>
              <w:top w:w="95" w:type="dxa"/>
              <w:left w:w="100" w:type="dxa"/>
              <w:bottom w:w="95" w:type="dxa"/>
              <w:right w:w="100" w:type="dxa"/>
            </w:tcMar>
            <w:vAlign w:val="center"/>
          </w:tcPr>
          <w:p w14:paraId="78FC770D">
            <w:pPr>
              <w:keepNext w:val="0"/>
              <w:spacing w:before="0" w:after="0" w:line="252" w:lineRule="auto"/>
            </w:pPr>
            <w:r>
              <w:rPr>
                <w:rFonts w:ascii="Times New Roman" w:hAnsi="Times New Roman"/>
                <w:b/>
                <w:sz w:val="22"/>
              </w:rPr>
              <w:t>Scoring direction</w:t>
            </w:r>
          </w:p>
        </w:tc>
      </w:tr>
      <w:tr w14:paraId="0A554265">
        <w:tblPrEx>
          <w:tblCellMar>
            <w:top w:w="0" w:type="dxa"/>
            <w:left w:w="108" w:type="dxa"/>
            <w:bottom w:w="0" w:type="dxa"/>
            <w:right w:w="108" w:type="dxa"/>
          </w:tblCellMar>
        </w:tblPrEx>
        <w:trPr>
          <w:cantSplit/>
        </w:trPr>
        <w:tc>
          <w:tcPr>
            <w:tcW w:w="864" w:type="dxa"/>
            <w:tcBorders>
              <w:top w:val="nil"/>
              <w:left w:val="nil"/>
              <w:bottom w:val="nil"/>
              <w:right w:val="nil"/>
            </w:tcBorders>
            <w:tcMar>
              <w:top w:w="95" w:type="dxa"/>
              <w:left w:w="100" w:type="dxa"/>
              <w:bottom w:w="95" w:type="dxa"/>
              <w:right w:w="100" w:type="dxa"/>
            </w:tcMar>
            <w:vAlign w:val="center"/>
          </w:tcPr>
          <w:p w14:paraId="2E6B8D18">
            <w:pPr>
              <w:keepNext w:val="0"/>
              <w:spacing w:before="0" w:after="0" w:line="252" w:lineRule="auto"/>
            </w:pPr>
            <w:r>
              <w:rPr>
                <w:rFonts w:ascii="Times New Roman" w:hAnsi="Times New Roman"/>
                <w:b w:val="0"/>
                <w:sz w:val="22"/>
              </w:rPr>
              <w:t>1</w:t>
            </w:r>
          </w:p>
        </w:tc>
        <w:tc>
          <w:tcPr>
            <w:tcW w:w="9288" w:type="dxa"/>
            <w:tcBorders>
              <w:top w:val="nil"/>
              <w:left w:val="nil"/>
              <w:bottom w:val="nil"/>
              <w:right w:val="nil"/>
            </w:tcBorders>
            <w:tcMar>
              <w:top w:w="95" w:type="dxa"/>
              <w:left w:w="100" w:type="dxa"/>
              <w:bottom w:w="95" w:type="dxa"/>
              <w:right w:w="100" w:type="dxa"/>
            </w:tcMar>
            <w:vAlign w:val="center"/>
          </w:tcPr>
          <w:p w14:paraId="7BE65A65">
            <w:pPr>
              <w:keepNext w:val="0"/>
              <w:spacing w:before="0" w:after="0" w:line="252" w:lineRule="auto"/>
            </w:pPr>
            <w:r>
              <w:rPr>
                <w:rFonts w:ascii="Times New Roman" w:hAnsi="Times New Roman"/>
                <w:b w:val="0"/>
                <w:sz w:val="22"/>
              </w:rPr>
              <w:t>Eye contact with the caregiver.</w:t>
            </w:r>
          </w:p>
        </w:tc>
        <w:tc>
          <w:tcPr>
            <w:tcW w:w="4090" w:type="dxa"/>
            <w:tcBorders>
              <w:top w:val="nil"/>
              <w:left w:val="nil"/>
              <w:bottom w:val="nil"/>
              <w:right w:val="nil"/>
            </w:tcBorders>
            <w:tcMar>
              <w:top w:w="95" w:type="dxa"/>
              <w:left w:w="100" w:type="dxa"/>
              <w:bottom w:w="95" w:type="dxa"/>
              <w:right w:w="100" w:type="dxa"/>
            </w:tcMar>
            <w:vAlign w:val="center"/>
          </w:tcPr>
          <w:p w14:paraId="6CDAF19D">
            <w:pPr>
              <w:keepNext w:val="0"/>
              <w:spacing w:before="0" w:after="0" w:line="252" w:lineRule="auto"/>
            </w:pPr>
            <w:r>
              <w:rPr>
                <w:rFonts w:ascii="Times New Roman" w:hAnsi="Times New Roman"/>
                <w:b w:val="0"/>
                <w:sz w:val="22"/>
              </w:rPr>
              <w:t>Reverse-scored</w:t>
            </w:r>
          </w:p>
        </w:tc>
      </w:tr>
      <w:tr w14:paraId="285EAD87">
        <w:tblPrEx>
          <w:tblCellMar>
            <w:top w:w="0" w:type="dxa"/>
            <w:left w:w="108" w:type="dxa"/>
            <w:bottom w:w="0" w:type="dxa"/>
            <w:right w:w="108" w:type="dxa"/>
          </w:tblCellMar>
        </w:tblPrEx>
        <w:trPr>
          <w:cantSplit/>
        </w:trPr>
        <w:tc>
          <w:tcPr>
            <w:tcW w:w="864" w:type="dxa"/>
            <w:tcBorders>
              <w:top w:val="nil"/>
              <w:left w:val="nil"/>
              <w:bottom w:val="nil"/>
              <w:right w:val="nil"/>
            </w:tcBorders>
            <w:tcMar>
              <w:top w:w="95" w:type="dxa"/>
              <w:left w:w="100" w:type="dxa"/>
              <w:bottom w:w="95" w:type="dxa"/>
              <w:right w:w="100" w:type="dxa"/>
            </w:tcMar>
            <w:vAlign w:val="center"/>
          </w:tcPr>
          <w:p w14:paraId="7844201F">
            <w:pPr>
              <w:keepNext w:val="0"/>
              <w:spacing w:before="0" w:after="0" w:line="252" w:lineRule="auto"/>
            </w:pPr>
            <w:r>
              <w:rPr>
                <w:rFonts w:ascii="Times New Roman" w:hAnsi="Times New Roman"/>
                <w:b w:val="0"/>
                <w:sz w:val="22"/>
              </w:rPr>
              <w:t>2</w:t>
            </w:r>
          </w:p>
        </w:tc>
        <w:tc>
          <w:tcPr>
            <w:tcW w:w="9288" w:type="dxa"/>
            <w:tcBorders>
              <w:top w:val="nil"/>
              <w:left w:val="nil"/>
              <w:bottom w:val="nil"/>
              <w:right w:val="nil"/>
            </w:tcBorders>
            <w:tcMar>
              <w:top w:w="95" w:type="dxa"/>
              <w:left w:w="100" w:type="dxa"/>
              <w:bottom w:w="95" w:type="dxa"/>
              <w:right w:w="100" w:type="dxa"/>
            </w:tcMar>
            <w:vAlign w:val="center"/>
          </w:tcPr>
          <w:p w14:paraId="6F236AEC">
            <w:pPr>
              <w:keepNext w:val="0"/>
              <w:spacing w:before="0" w:after="0" w:line="252" w:lineRule="auto"/>
            </w:pPr>
            <w:r>
              <w:rPr>
                <w:rFonts w:ascii="Times New Roman" w:hAnsi="Times New Roman"/>
                <w:b w:val="0"/>
                <w:sz w:val="22"/>
              </w:rPr>
              <w:t>Purposeful actions.</w:t>
            </w:r>
          </w:p>
        </w:tc>
        <w:tc>
          <w:tcPr>
            <w:tcW w:w="4090" w:type="dxa"/>
            <w:tcBorders>
              <w:top w:val="nil"/>
              <w:left w:val="nil"/>
              <w:bottom w:val="nil"/>
              <w:right w:val="nil"/>
            </w:tcBorders>
            <w:tcMar>
              <w:top w:w="95" w:type="dxa"/>
              <w:left w:w="100" w:type="dxa"/>
              <w:bottom w:w="95" w:type="dxa"/>
              <w:right w:w="100" w:type="dxa"/>
            </w:tcMar>
            <w:vAlign w:val="center"/>
          </w:tcPr>
          <w:p w14:paraId="378A6AAA">
            <w:pPr>
              <w:keepNext w:val="0"/>
              <w:spacing w:before="0" w:after="0" w:line="252" w:lineRule="auto"/>
            </w:pPr>
            <w:r>
              <w:rPr>
                <w:rFonts w:ascii="Times New Roman" w:hAnsi="Times New Roman"/>
                <w:b w:val="0"/>
                <w:sz w:val="22"/>
              </w:rPr>
              <w:t>Reverse-scored</w:t>
            </w:r>
          </w:p>
        </w:tc>
      </w:tr>
      <w:tr w14:paraId="705A44DF">
        <w:tblPrEx>
          <w:tblCellMar>
            <w:top w:w="0" w:type="dxa"/>
            <w:left w:w="108" w:type="dxa"/>
            <w:bottom w:w="0" w:type="dxa"/>
            <w:right w:w="108" w:type="dxa"/>
          </w:tblCellMar>
        </w:tblPrEx>
        <w:trPr>
          <w:cantSplit/>
        </w:trPr>
        <w:tc>
          <w:tcPr>
            <w:tcW w:w="864" w:type="dxa"/>
            <w:tcBorders>
              <w:top w:val="nil"/>
              <w:left w:val="nil"/>
              <w:bottom w:val="nil"/>
              <w:right w:val="nil"/>
            </w:tcBorders>
            <w:tcMar>
              <w:top w:w="95" w:type="dxa"/>
              <w:left w:w="100" w:type="dxa"/>
              <w:bottom w:w="95" w:type="dxa"/>
              <w:right w:w="100" w:type="dxa"/>
            </w:tcMar>
            <w:vAlign w:val="center"/>
          </w:tcPr>
          <w:p w14:paraId="5D96214A">
            <w:pPr>
              <w:keepNext w:val="0"/>
              <w:spacing w:before="0" w:after="0" w:line="252" w:lineRule="auto"/>
            </w:pPr>
            <w:r>
              <w:rPr>
                <w:rFonts w:ascii="Times New Roman" w:hAnsi="Times New Roman"/>
                <w:b w:val="0"/>
                <w:sz w:val="22"/>
              </w:rPr>
              <w:t>3</w:t>
            </w:r>
          </w:p>
        </w:tc>
        <w:tc>
          <w:tcPr>
            <w:tcW w:w="9288" w:type="dxa"/>
            <w:tcBorders>
              <w:top w:val="nil"/>
              <w:left w:val="nil"/>
              <w:bottom w:val="nil"/>
              <w:right w:val="nil"/>
            </w:tcBorders>
            <w:tcMar>
              <w:top w:w="95" w:type="dxa"/>
              <w:left w:w="100" w:type="dxa"/>
              <w:bottom w:w="95" w:type="dxa"/>
              <w:right w:w="100" w:type="dxa"/>
            </w:tcMar>
            <w:vAlign w:val="center"/>
          </w:tcPr>
          <w:p w14:paraId="5B8532F9">
            <w:pPr>
              <w:keepNext w:val="0"/>
              <w:spacing w:before="0" w:after="0" w:line="252" w:lineRule="auto"/>
            </w:pPr>
            <w:r>
              <w:rPr>
                <w:rFonts w:ascii="Times New Roman" w:hAnsi="Times New Roman"/>
                <w:b w:val="0"/>
                <w:sz w:val="22"/>
              </w:rPr>
              <w:t>Awareness of surroundings.</w:t>
            </w:r>
          </w:p>
        </w:tc>
        <w:tc>
          <w:tcPr>
            <w:tcW w:w="4090" w:type="dxa"/>
            <w:tcBorders>
              <w:top w:val="nil"/>
              <w:left w:val="nil"/>
              <w:bottom w:val="nil"/>
              <w:right w:val="nil"/>
            </w:tcBorders>
            <w:tcMar>
              <w:top w:w="95" w:type="dxa"/>
              <w:left w:w="100" w:type="dxa"/>
              <w:bottom w:w="95" w:type="dxa"/>
              <w:right w:w="100" w:type="dxa"/>
            </w:tcMar>
            <w:vAlign w:val="center"/>
          </w:tcPr>
          <w:p w14:paraId="78B2CCD5">
            <w:pPr>
              <w:keepNext w:val="0"/>
              <w:spacing w:before="0" w:after="0" w:line="252" w:lineRule="auto"/>
            </w:pPr>
            <w:r>
              <w:rPr>
                <w:rFonts w:ascii="Times New Roman" w:hAnsi="Times New Roman"/>
                <w:b w:val="0"/>
                <w:sz w:val="22"/>
              </w:rPr>
              <w:t>Reverse-scored</w:t>
            </w:r>
          </w:p>
        </w:tc>
      </w:tr>
      <w:tr w14:paraId="7F324BB4">
        <w:tblPrEx>
          <w:tblCellMar>
            <w:top w:w="0" w:type="dxa"/>
            <w:left w:w="108" w:type="dxa"/>
            <w:bottom w:w="0" w:type="dxa"/>
            <w:right w:w="108" w:type="dxa"/>
          </w:tblCellMar>
        </w:tblPrEx>
        <w:trPr>
          <w:cantSplit/>
        </w:trPr>
        <w:tc>
          <w:tcPr>
            <w:tcW w:w="864" w:type="dxa"/>
            <w:tcBorders>
              <w:top w:val="nil"/>
              <w:left w:val="nil"/>
              <w:bottom w:val="nil"/>
              <w:right w:val="nil"/>
            </w:tcBorders>
            <w:tcMar>
              <w:top w:w="95" w:type="dxa"/>
              <w:left w:w="100" w:type="dxa"/>
              <w:bottom w:w="95" w:type="dxa"/>
              <w:right w:w="100" w:type="dxa"/>
            </w:tcMar>
            <w:vAlign w:val="center"/>
          </w:tcPr>
          <w:p w14:paraId="1B2CEFC3">
            <w:pPr>
              <w:keepNext w:val="0"/>
              <w:spacing w:before="0" w:after="0" w:line="252" w:lineRule="auto"/>
            </w:pPr>
            <w:r>
              <w:rPr>
                <w:rFonts w:ascii="Times New Roman" w:hAnsi="Times New Roman"/>
                <w:b w:val="0"/>
                <w:sz w:val="22"/>
              </w:rPr>
              <w:t>4</w:t>
            </w:r>
          </w:p>
        </w:tc>
        <w:tc>
          <w:tcPr>
            <w:tcW w:w="9288" w:type="dxa"/>
            <w:tcBorders>
              <w:top w:val="nil"/>
              <w:left w:val="nil"/>
              <w:bottom w:val="nil"/>
              <w:right w:val="nil"/>
            </w:tcBorders>
            <w:tcMar>
              <w:top w:w="95" w:type="dxa"/>
              <w:left w:w="100" w:type="dxa"/>
              <w:bottom w:w="95" w:type="dxa"/>
              <w:right w:w="100" w:type="dxa"/>
            </w:tcMar>
            <w:vAlign w:val="center"/>
          </w:tcPr>
          <w:p w14:paraId="4F1A5F0C">
            <w:pPr>
              <w:keepNext w:val="0"/>
              <w:spacing w:before="0" w:after="0" w:line="252" w:lineRule="auto"/>
            </w:pPr>
            <w:r>
              <w:rPr>
                <w:rFonts w:ascii="Times New Roman" w:hAnsi="Times New Roman"/>
                <w:b w:val="0"/>
                <w:sz w:val="22"/>
              </w:rPr>
              <w:t>Restlessness.</w:t>
            </w:r>
          </w:p>
        </w:tc>
        <w:tc>
          <w:tcPr>
            <w:tcW w:w="4090" w:type="dxa"/>
            <w:tcBorders>
              <w:top w:val="nil"/>
              <w:left w:val="nil"/>
              <w:bottom w:val="nil"/>
              <w:right w:val="nil"/>
            </w:tcBorders>
            <w:tcMar>
              <w:top w:w="95" w:type="dxa"/>
              <w:left w:w="100" w:type="dxa"/>
              <w:bottom w:w="95" w:type="dxa"/>
              <w:right w:w="100" w:type="dxa"/>
            </w:tcMar>
            <w:vAlign w:val="center"/>
          </w:tcPr>
          <w:p w14:paraId="605B9B3D">
            <w:pPr>
              <w:keepNext w:val="0"/>
              <w:spacing w:before="0" w:after="0" w:line="252" w:lineRule="auto"/>
            </w:pPr>
            <w:r>
              <w:rPr>
                <w:rFonts w:ascii="Times New Roman" w:hAnsi="Times New Roman"/>
                <w:b w:val="0"/>
                <w:sz w:val="22"/>
              </w:rPr>
              <w:t>Forward-scored</w:t>
            </w:r>
          </w:p>
        </w:tc>
      </w:tr>
      <w:tr w14:paraId="640CE252">
        <w:tblPrEx>
          <w:tblCellMar>
            <w:top w:w="0" w:type="dxa"/>
            <w:left w:w="108" w:type="dxa"/>
            <w:bottom w:w="0" w:type="dxa"/>
            <w:right w:w="108" w:type="dxa"/>
          </w:tblCellMar>
        </w:tblPrEx>
        <w:trPr>
          <w:cantSplit/>
        </w:trPr>
        <w:tc>
          <w:tcPr>
            <w:tcW w:w="864" w:type="dxa"/>
            <w:tcBorders>
              <w:top w:val="nil"/>
              <w:left w:val="nil"/>
              <w:bottom w:val="single" w:color="000000" w:sz="6" w:space="0"/>
              <w:right w:val="nil"/>
            </w:tcBorders>
            <w:tcMar>
              <w:top w:w="95" w:type="dxa"/>
              <w:left w:w="100" w:type="dxa"/>
              <w:bottom w:w="95" w:type="dxa"/>
              <w:right w:w="100" w:type="dxa"/>
            </w:tcMar>
            <w:vAlign w:val="center"/>
          </w:tcPr>
          <w:p w14:paraId="2CF98B25">
            <w:pPr>
              <w:keepNext w:val="0"/>
              <w:spacing w:before="0" w:after="0" w:line="252" w:lineRule="auto"/>
            </w:pPr>
            <w:r>
              <w:rPr>
                <w:rFonts w:ascii="Times New Roman" w:hAnsi="Times New Roman"/>
                <w:b w:val="0"/>
                <w:sz w:val="22"/>
              </w:rPr>
              <w:t>5</w:t>
            </w:r>
          </w:p>
        </w:tc>
        <w:tc>
          <w:tcPr>
            <w:tcW w:w="9288" w:type="dxa"/>
            <w:tcBorders>
              <w:top w:val="nil"/>
              <w:left w:val="nil"/>
              <w:bottom w:val="single" w:color="000000" w:sz="6" w:space="0"/>
              <w:right w:val="nil"/>
            </w:tcBorders>
            <w:tcMar>
              <w:top w:w="95" w:type="dxa"/>
              <w:left w:w="100" w:type="dxa"/>
              <w:bottom w:w="95" w:type="dxa"/>
              <w:right w:w="100" w:type="dxa"/>
            </w:tcMar>
            <w:vAlign w:val="center"/>
          </w:tcPr>
          <w:p w14:paraId="26768458">
            <w:pPr>
              <w:keepNext w:val="0"/>
              <w:spacing w:before="0" w:after="0" w:line="252" w:lineRule="auto"/>
            </w:pPr>
            <w:r>
              <w:rPr>
                <w:rFonts w:ascii="Times New Roman" w:hAnsi="Times New Roman"/>
                <w:b w:val="0"/>
                <w:sz w:val="22"/>
              </w:rPr>
              <w:t>Distressed crying.</w:t>
            </w:r>
          </w:p>
        </w:tc>
        <w:tc>
          <w:tcPr>
            <w:tcW w:w="4090" w:type="dxa"/>
            <w:tcBorders>
              <w:top w:val="nil"/>
              <w:left w:val="nil"/>
              <w:bottom w:val="single" w:color="000000" w:sz="6" w:space="0"/>
              <w:right w:val="nil"/>
            </w:tcBorders>
            <w:tcMar>
              <w:top w:w="95" w:type="dxa"/>
              <w:left w:w="100" w:type="dxa"/>
              <w:bottom w:w="95" w:type="dxa"/>
              <w:right w:w="100" w:type="dxa"/>
            </w:tcMar>
            <w:vAlign w:val="center"/>
          </w:tcPr>
          <w:p w14:paraId="5E7B914F">
            <w:pPr>
              <w:keepNext w:val="0"/>
              <w:spacing w:before="0" w:after="0" w:line="252" w:lineRule="auto"/>
            </w:pPr>
            <w:r>
              <w:rPr>
                <w:rFonts w:ascii="Times New Roman" w:hAnsi="Times New Roman"/>
                <w:b w:val="0"/>
                <w:sz w:val="22"/>
              </w:rPr>
              <w:t>Forward-scored</w:t>
            </w:r>
          </w:p>
        </w:tc>
      </w:tr>
    </w:tbl>
    <w:p w14:paraId="1FF76331">
      <w:pPr>
        <w:spacing w:after="140" w:line="264" w:lineRule="auto"/>
      </w:pPr>
      <w:r>
        <w:rPr>
          <w:sz w:val="22"/>
        </w:rPr>
        <w:t>Response anchors and item scores</w:t>
      </w:r>
    </w:p>
    <w:tbl>
      <w:tblPr>
        <w:tblStyle w:val="32"/>
        <w:tblW w:w="0" w:type="auto"/>
        <w:tblInd w:w="0" w:type="dxa"/>
        <w:tblLayout w:type="fixed"/>
        <w:tblCellMar>
          <w:top w:w="0" w:type="dxa"/>
          <w:left w:w="108" w:type="dxa"/>
          <w:bottom w:w="0" w:type="dxa"/>
          <w:right w:w="108" w:type="dxa"/>
        </w:tblCellMar>
      </w:tblPr>
      <w:tblGrid>
        <w:gridCol w:w="3226"/>
        <w:gridCol w:w="2203"/>
        <w:gridCol w:w="2203"/>
        <w:gridCol w:w="2203"/>
        <w:gridCol w:w="2203"/>
        <w:gridCol w:w="2203"/>
      </w:tblGrid>
      <w:tr w14:paraId="237C4D8B">
        <w:tblPrEx>
          <w:tblCellMar>
            <w:top w:w="0" w:type="dxa"/>
            <w:left w:w="108" w:type="dxa"/>
            <w:bottom w:w="0" w:type="dxa"/>
            <w:right w:w="108" w:type="dxa"/>
          </w:tblCellMar>
        </w:tblPrEx>
        <w:trPr>
          <w:cantSplit/>
          <w:tblHeader/>
        </w:trPr>
        <w:tc>
          <w:tcPr>
            <w:tcW w:w="3226" w:type="dxa"/>
            <w:tcBorders>
              <w:top w:val="single" w:color="000000" w:sz="6" w:space="0"/>
              <w:left w:val="nil"/>
              <w:bottom w:val="single" w:color="000000" w:sz="6" w:space="0"/>
              <w:right w:val="nil"/>
            </w:tcBorders>
            <w:tcMar>
              <w:top w:w="95" w:type="dxa"/>
              <w:left w:w="100" w:type="dxa"/>
              <w:bottom w:w="95" w:type="dxa"/>
              <w:right w:w="100" w:type="dxa"/>
            </w:tcMar>
            <w:vAlign w:val="center"/>
          </w:tcPr>
          <w:p w14:paraId="14DB8419">
            <w:pPr>
              <w:keepNext w:val="0"/>
              <w:spacing w:before="0" w:after="0" w:line="252" w:lineRule="auto"/>
            </w:pPr>
            <w:r>
              <w:rPr>
                <w:rFonts w:ascii="Times New Roman" w:hAnsi="Times New Roman"/>
                <w:b/>
                <w:sz w:val="22"/>
              </w:rPr>
              <w:t>Observed extent</w:t>
            </w:r>
          </w:p>
        </w:tc>
        <w:tc>
          <w:tcPr>
            <w:tcW w:w="2203" w:type="dxa"/>
            <w:tcBorders>
              <w:top w:val="single" w:color="000000" w:sz="6" w:space="0"/>
              <w:left w:val="nil"/>
              <w:bottom w:val="single" w:color="000000" w:sz="6" w:space="0"/>
              <w:right w:val="nil"/>
            </w:tcBorders>
            <w:tcMar>
              <w:top w:w="95" w:type="dxa"/>
              <w:left w:w="100" w:type="dxa"/>
              <w:bottom w:w="95" w:type="dxa"/>
              <w:right w:w="100" w:type="dxa"/>
            </w:tcMar>
            <w:vAlign w:val="center"/>
          </w:tcPr>
          <w:p w14:paraId="5F0C986B">
            <w:pPr>
              <w:keepNext w:val="0"/>
              <w:spacing w:before="0" w:after="0" w:line="252" w:lineRule="auto"/>
            </w:pPr>
            <w:r>
              <w:rPr>
                <w:rFonts w:ascii="Times New Roman" w:hAnsi="Times New Roman"/>
                <w:b/>
                <w:sz w:val="22"/>
              </w:rPr>
              <w:t>Not at all</w:t>
            </w:r>
          </w:p>
        </w:tc>
        <w:tc>
          <w:tcPr>
            <w:tcW w:w="2203" w:type="dxa"/>
            <w:tcBorders>
              <w:top w:val="single" w:color="000000" w:sz="6" w:space="0"/>
              <w:left w:val="nil"/>
              <w:bottom w:val="single" w:color="000000" w:sz="6" w:space="0"/>
              <w:right w:val="nil"/>
            </w:tcBorders>
            <w:tcMar>
              <w:top w:w="95" w:type="dxa"/>
              <w:left w:w="100" w:type="dxa"/>
              <w:bottom w:w="95" w:type="dxa"/>
              <w:right w:w="100" w:type="dxa"/>
            </w:tcMar>
            <w:vAlign w:val="center"/>
          </w:tcPr>
          <w:p w14:paraId="253F61C5">
            <w:pPr>
              <w:keepNext w:val="0"/>
              <w:spacing w:before="0" w:after="0" w:line="252" w:lineRule="auto"/>
            </w:pPr>
            <w:r>
              <w:rPr>
                <w:rFonts w:ascii="Times New Roman" w:hAnsi="Times New Roman"/>
                <w:b/>
                <w:sz w:val="22"/>
              </w:rPr>
              <w:t>A little</w:t>
            </w:r>
          </w:p>
        </w:tc>
        <w:tc>
          <w:tcPr>
            <w:tcW w:w="2203" w:type="dxa"/>
            <w:tcBorders>
              <w:top w:val="single" w:color="000000" w:sz="6" w:space="0"/>
              <w:left w:val="nil"/>
              <w:bottom w:val="single" w:color="000000" w:sz="6" w:space="0"/>
              <w:right w:val="nil"/>
            </w:tcBorders>
            <w:tcMar>
              <w:top w:w="95" w:type="dxa"/>
              <w:left w:w="100" w:type="dxa"/>
              <w:bottom w:w="95" w:type="dxa"/>
              <w:right w:w="100" w:type="dxa"/>
            </w:tcMar>
            <w:vAlign w:val="center"/>
          </w:tcPr>
          <w:p w14:paraId="73367E36">
            <w:pPr>
              <w:keepNext w:val="0"/>
              <w:spacing w:before="0" w:after="0" w:line="252" w:lineRule="auto"/>
            </w:pPr>
            <w:r>
              <w:rPr>
                <w:rFonts w:ascii="Times New Roman" w:hAnsi="Times New Roman"/>
                <w:b/>
                <w:sz w:val="22"/>
              </w:rPr>
              <w:t>Some</w:t>
            </w:r>
          </w:p>
        </w:tc>
        <w:tc>
          <w:tcPr>
            <w:tcW w:w="2203" w:type="dxa"/>
            <w:tcBorders>
              <w:top w:val="single" w:color="000000" w:sz="6" w:space="0"/>
              <w:left w:val="nil"/>
              <w:bottom w:val="single" w:color="000000" w:sz="6" w:space="0"/>
              <w:right w:val="nil"/>
            </w:tcBorders>
            <w:tcMar>
              <w:top w:w="95" w:type="dxa"/>
              <w:left w:w="100" w:type="dxa"/>
              <w:bottom w:w="95" w:type="dxa"/>
              <w:right w:w="100" w:type="dxa"/>
            </w:tcMar>
            <w:vAlign w:val="center"/>
          </w:tcPr>
          <w:p w14:paraId="4A718137">
            <w:pPr>
              <w:keepNext w:val="0"/>
              <w:spacing w:before="0" w:after="0" w:line="252" w:lineRule="auto"/>
            </w:pPr>
            <w:r>
              <w:rPr>
                <w:rFonts w:ascii="Times New Roman" w:hAnsi="Times New Roman"/>
                <w:b/>
                <w:sz w:val="22"/>
              </w:rPr>
              <w:t>A lot</w:t>
            </w:r>
          </w:p>
        </w:tc>
        <w:tc>
          <w:tcPr>
            <w:tcW w:w="2203" w:type="dxa"/>
            <w:tcBorders>
              <w:top w:val="single" w:color="000000" w:sz="6" w:space="0"/>
              <w:left w:val="nil"/>
              <w:bottom w:val="single" w:color="000000" w:sz="6" w:space="0"/>
              <w:right w:val="nil"/>
            </w:tcBorders>
            <w:tcMar>
              <w:top w:w="95" w:type="dxa"/>
              <w:left w:w="100" w:type="dxa"/>
              <w:bottom w:w="95" w:type="dxa"/>
              <w:right w:w="100" w:type="dxa"/>
            </w:tcMar>
            <w:vAlign w:val="center"/>
          </w:tcPr>
          <w:p w14:paraId="3E969F91">
            <w:pPr>
              <w:keepNext w:val="0"/>
              <w:spacing w:before="0" w:after="0" w:line="252" w:lineRule="auto"/>
            </w:pPr>
            <w:r>
              <w:rPr>
                <w:rFonts w:ascii="Times New Roman" w:hAnsi="Times New Roman"/>
                <w:b/>
                <w:sz w:val="22"/>
              </w:rPr>
              <w:t>Extremely</w:t>
            </w:r>
          </w:p>
        </w:tc>
      </w:tr>
      <w:tr w14:paraId="2EEAAB34">
        <w:tblPrEx>
          <w:tblCellMar>
            <w:top w:w="0" w:type="dxa"/>
            <w:left w:w="108" w:type="dxa"/>
            <w:bottom w:w="0" w:type="dxa"/>
            <w:right w:w="108" w:type="dxa"/>
          </w:tblCellMar>
        </w:tblPrEx>
        <w:trPr>
          <w:cantSplit/>
        </w:trPr>
        <w:tc>
          <w:tcPr>
            <w:tcW w:w="3226" w:type="dxa"/>
            <w:tcBorders>
              <w:top w:val="nil"/>
              <w:left w:val="nil"/>
              <w:bottom w:val="nil"/>
              <w:right w:val="nil"/>
            </w:tcBorders>
            <w:tcMar>
              <w:top w:w="95" w:type="dxa"/>
              <w:left w:w="100" w:type="dxa"/>
              <w:bottom w:w="95" w:type="dxa"/>
              <w:right w:w="100" w:type="dxa"/>
            </w:tcMar>
            <w:vAlign w:val="center"/>
          </w:tcPr>
          <w:p w14:paraId="20BC9809">
            <w:pPr>
              <w:keepNext w:val="0"/>
              <w:spacing w:before="0" w:after="0" w:line="252" w:lineRule="auto"/>
            </w:pPr>
            <w:r>
              <w:rPr>
                <w:rFonts w:ascii="Times New Roman" w:hAnsi="Times New Roman"/>
                <w:b w:val="0"/>
                <w:sz w:val="22"/>
              </w:rPr>
              <w:t>Items 1–3</w:t>
            </w:r>
          </w:p>
        </w:tc>
        <w:tc>
          <w:tcPr>
            <w:tcW w:w="2203" w:type="dxa"/>
            <w:tcBorders>
              <w:top w:val="nil"/>
              <w:left w:val="nil"/>
              <w:bottom w:val="nil"/>
              <w:right w:val="nil"/>
            </w:tcBorders>
            <w:tcMar>
              <w:top w:w="95" w:type="dxa"/>
              <w:left w:w="100" w:type="dxa"/>
              <w:bottom w:w="95" w:type="dxa"/>
              <w:right w:w="100" w:type="dxa"/>
            </w:tcMar>
            <w:vAlign w:val="center"/>
          </w:tcPr>
          <w:p w14:paraId="5F99D713">
            <w:pPr>
              <w:keepNext w:val="0"/>
              <w:spacing w:before="0" w:after="0" w:line="252" w:lineRule="auto"/>
            </w:pPr>
            <w:r>
              <w:rPr>
                <w:rFonts w:ascii="Times New Roman" w:hAnsi="Times New Roman"/>
                <w:b w:val="0"/>
                <w:sz w:val="22"/>
              </w:rPr>
              <w:t>4</w:t>
            </w:r>
          </w:p>
        </w:tc>
        <w:tc>
          <w:tcPr>
            <w:tcW w:w="2203" w:type="dxa"/>
            <w:tcBorders>
              <w:top w:val="nil"/>
              <w:left w:val="nil"/>
              <w:bottom w:val="nil"/>
              <w:right w:val="nil"/>
            </w:tcBorders>
            <w:tcMar>
              <w:top w:w="95" w:type="dxa"/>
              <w:left w:w="100" w:type="dxa"/>
              <w:bottom w:w="95" w:type="dxa"/>
              <w:right w:w="100" w:type="dxa"/>
            </w:tcMar>
            <w:vAlign w:val="center"/>
          </w:tcPr>
          <w:p w14:paraId="650F7607">
            <w:pPr>
              <w:keepNext w:val="0"/>
              <w:spacing w:before="0" w:after="0" w:line="252" w:lineRule="auto"/>
            </w:pPr>
            <w:r>
              <w:rPr>
                <w:rFonts w:ascii="Times New Roman" w:hAnsi="Times New Roman"/>
                <w:b w:val="0"/>
                <w:sz w:val="22"/>
              </w:rPr>
              <w:t>3</w:t>
            </w:r>
          </w:p>
        </w:tc>
        <w:tc>
          <w:tcPr>
            <w:tcW w:w="2203" w:type="dxa"/>
            <w:tcBorders>
              <w:top w:val="nil"/>
              <w:left w:val="nil"/>
              <w:bottom w:val="nil"/>
              <w:right w:val="nil"/>
            </w:tcBorders>
            <w:tcMar>
              <w:top w:w="95" w:type="dxa"/>
              <w:left w:w="100" w:type="dxa"/>
              <w:bottom w:w="95" w:type="dxa"/>
              <w:right w:w="100" w:type="dxa"/>
            </w:tcMar>
            <w:vAlign w:val="center"/>
          </w:tcPr>
          <w:p w14:paraId="0BC95572">
            <w:pPr>
              <w:keepNext w:val="0"/>
              <w:spacing w:before="0" w:after="0" w:line="252" w:lineRule="auto"/>
            </w:pPr>
            <w:r>
              <w:rPr>
                <w:rFonts w:ascii="Times New Roman" w:hAnsi="Times New Roman"/>
                <w:b w:val="0"/>
                <w:sz w:val="22"/>
              </w:rPr>
              <w:t>2</w:t>
            </w:r>
          </w:p>
        </w:tc>
        <w:tc>
          <w:tcPr>
            <w:tcW w:w="2203" w:type="dxa"/>
            <w:tcBorders>
              <w:top w:val="nil"/>
              <w:left w:val="nil"/>
              <w:bottom w:val="nil"/>
              <w:right w:val="nil"/>
            </w:tcBorders>
            <w:tcMar>
              <w:top w:w="95" w:type="dxa"/>
              <w:left w:w="100" w:type="dxa"/>
              <w:bottom w:w="95" w:type="dxa"/>
              <w:right w:w="100" w:type="dxa"/>
            </w:tcMar>
            <w:vAlign w:val="center"/>
          </w:tcPr>
          <w:p w14:paraId="521C8137">
            <w:pPr>
              <w:keepNext w:val="0"/>
              <w:spacing w:before="0" w:after="0" w:line="252" w:lineRule="auto"/>
            </w:pPr>
            <w:r>
              <w:rPr>
                <w:rFonts w:ascii="Times New Roman" w:hAnsi="Times New Roman"/>
                <w:b w:val="0"/>
                <w:sz w:val="22"/>
              </w:rPr>
              <w:t>1</w:t>
            </w:r>
          </w:p>
        </w:tc>
        <w:tc>
          <w:tcPr>
            <w:tcW w:w="2203" w:type="dxa"/>
            <w:tcBorders>
              <w:top w:val="nil"/>
              <w:left w:val="nil"/>
              <w:bottom w:val="nil"/>
              <w:right w:val="nil"/>
            </w:tcBorders>
            <w:tcMar>
              <w:top w:w="95" w:type="dxa"/>
              <w:left w:w="100" w:type="dxa"/>
              <w:bottom w:w="95" w:type="dxa"/>
              <w:right w:w="100" w:type="dxa"/>
            </w:tcMar>
            <w:vAlign w:val="center"/>
          </w:tcPr>
          <w:p w14:paraId="4D80887E">
            <w:pPr>
              <w:keepNext w:val="0"/>
              <w:spacing w:before="0" w:after="0" w:line="252" w:lineRule="auto"/>
            </w:pPr>
            <w:r>
              <w:rPr>
                <w:rFonts w:ascii="Times New Roman" w:hAnsi="Times New Roman"/>
                <w:b w:val="0"/>
                <w:sz w:val="22"/>
              </w:rPr>
              <w:t>0</w:t>
            </w:r>
          </w:p>
        </w:tc>
      </w:tr>
      <w:tr w14:paraId="58E34571">
        <w:tblPrEx>
          <w:tblCellMar>
            <w:top w:w="0" w:type="dxa"/>
            <w:left w:w="108" w:type="dxa"/>
            <w:bottom w:w="0" w:type="dxa"/>
            <w:right w:w="108" w:type="dxa"/>
          </w:tblCellMar>
        </w:tblPrEx>
        <w:trPr>
          <w:cantSplit/>
        </w:trPr>
        <w:tc>
          <w:tcPr>
            <w:tcW w:w="3226" w:type="dxa"/>
            <w:tcBorders>
              <w:top w:val="nil"/>
              <w:left w:val="nil"/>
              <w:bottom w:val="single" w:color="000000" w:sz="6" w:space="0"/>
              <w:right w:val="nil"/>
            </w:tcBorders>
            <w:tcMar>
              <w:top w:w="95" w:type="dxa"/>
              <w:left w:w="100" w:type="dxa"/>
              <w:bottom w:w="95" w:type="dxa"/>
              <w:right w:w="100" w:type="dxa"/>
            </w:tcMar>
            <w:vAlign w:val="center"/>
          </w:tcPr>
          <w:p w14:paraId="76B69DE4">
            <w:pPr>
              <w:keepNext w:val="0"/>
              <w:spacing w:before="0" w:after="0" w:line="252" w:lineRule="auto"/>
            </w:pPr>
            <w:r>
              <w:rPr>
                <w:rFonts w:ascii="Times New Roman" w:hAnsi="Times New Roman"/>
                <w:b w:val="0"/>
                <w:sz w:val="22"/>
              </w:rPr>
              <w:t>Items 4–5</w:t>
            </w:r>
          </w:p>
        </w:tc>
        <w:tc>
          <w:tcPr>
            <w:tcW w:w="2203" w:type="dxa"/>
            <w:tcBorders>
              <w:top w:val="nil"/>
              <w:left w:val="nil"/>
              <w:bottom w:val="single" w:color="000000" w:sz="6" w:space="0"/>
              <w:right w:val="nil"/>
            </w:tcBorders>
            <w:tcMar>
              <w:top w:w="95" w:type="dxa"/>
              <w:left w:w="100" w:type="dxa"/>
              <w:bottom w:w="95" w:type="dxa"/>
              <w:right w:w="100" w:type="dxa"/>
            </w:tcMar>
            <w:vAlign w:val="center"/>
          </w:tcPr>
          <w:p w14:paraId="42485FF2">
            <w:pPr>
              <w:keepNext w:val="0"/>
              <w:spacing w:before="0" w:after="0" w:line="252" w:lineRule="auto"/>
            </w:pPr>
            <w:r>
              <w:rPr>
                <w:rFonts w:ascii="Times New Roman" w:hAnsi="Times New Roman"/>
                <w:b w:val="0"/>
                <w:sz w:val="22"/>
              </w:rPr>
              <w:t>0</w:t>
            </w:r>
          </w:p>
        </w:tc>
        <w:tc>
          <w:tcPr>
            <w:tcW w:w="2203" w:type="dxa"/>
            <w:tcBorders>
              <w:top w:val="nil"/>
              <w:left w:val="nil"/>
              <w:bottom w:val="single" w:color="000000" w:sz="6" w:space="0"/>
              <w:right w:val="nil"/>
            </w:tcBorders>
            <w:tcMar>
              <w:top w:w="95" w:type="dxa"/>
              <w:left w:w="100" w:type="dxa"/>
              <w:bottom w:w="95" w:type="dxa"/>
              <w:right w:w="100" w:type="dxa"/>
            </w:tcMar>
            <w:vAlign w:val="center"/>
          </w:tcPr>
          <w:p w14:paraId="7D9A0815">
            <w:pPr>
              <w:keepNext w:val="0"/>
              <w:spacing w:before="0" w:after="0" w:line="252" w:lineRule="auto"/>
            </w:pPr>
            <w:r>
              <w:rPr>
                <w:rFonts w:ascii="Times New Roman" w:hAnsi="Times New Roman"/>
                <w:b w:val="0"/>
                <w:sz w:val="22"/>
              </w:rPr>
              <w:t>1</w:t>
            </w:r>
          </w:p>
        </w:tc>
        <w:tc>
          <w:tcPr>
            <w:tcW w:w="2203" w:type="dxa"/>
            <w:tcBorders>
              <w:top w:val="nil"/>
              <w:left w:val="nil"/>
              <w:bottom w:val="single" w:color="000000" w:sz="6" w:space="0"/>
              <w:right w:val="nil"/>
            </w:tcBorders>
            <w:tcMar>
              <w:top w:w="95" w:type="dxa"/>
              <w:left w:w="100" w:type="dxa"/>
              <w:bottom w:w="95" w:type="dxa"/>
              <w:right w:w="100" w:type="dxa"/>
            </w:tcMar>
            <w:vAlign w:val="center"/>
          </w:tcPr>
          <w:p w14:paraId="3F870002">
            <w:pPr>
              <w:keepNext w:val="0"/>
              <w:spacing w:before="0" w:after="0" w:line="252" w:lineRule="auto"/>
            </w:pPr>
            <w:r>
              <w:rPr>
                <w:rFonts w:ascii="Times New Roman" w:hAnsi="Times New Roman"/>
                <w:b w:val="0"/>
                <w:sz w:val="22"/>
              </w:rPr>
              <w:t>2</w:t>
            </w:r>
          </w:p>
        </w:tc>
        <w:tc>
          <w:tcPr>
            <w:tcW w:w="2203" w:type="dxa"/>
            <w:tcBorders>
              <w:top w:val="nil"/>
              <w:left w:val="nil"/>
              <w:bottom w:val="single" w:color="000000" w:sz="6" w:space="0"/>
              <w:right w:val="nil"/>
            </w:tcBorders>
            <w:tcMar>
              <w:top w:w="95" w:type="dxa"/>
              <w:left w:w="100" w:type="dxa"/>
              <w:bottom w:w="95" w:type="dxa"/>
              <w:right w:w="100" w:type="dxa"/>
            </w:tcMar>
            <w:vAlign w:val="center"/>
          </w:tcPr>
          <w:p w14:paraId="5AC9ADE0">
            <w:pPr>
              <w:keepNext w:val="0"/>
              <w:spacing w:before="0" w:after="0" w:line="252" w:lineRule="auto"/>
            </w:pPr>
            <w:r>
              <w:rPr>
                <w:rFonts w:ascii="Times New Roman" w:hAnsi="Times New Roman"/>
                <w:b w:val="0"/>
                <w:sz w:val="22"/>
              </w:rPr>
              <w:t>3</w:t>
            </w:r>
          </w:p>
        </w:tc>
        <w:tc>
          <w:tcPr>
            <w:tcW w:w="2203" w:type="dxa"/>
            <w:tcBorders>
              <w:top w:val="nil"/>
              <w:left w:val="nil"/>
              <w:bottom w:val="single" w:color="000000" w:sz="6" w:space="0"/>
              <w:right w:val="nil"/>
            </w:tcBorders>
            <w:tcMar>
              <w:top w:w="95" w:type="dxa"/>
              <w:left w:w="100" w:type="dxa"/>
              <w:bottom w:w="95" w:type="dxa"/>
              <w:right w:w="100" w:type="dxa"/>
            </w:tcMar>
            <w:vAlign w:val="center"/>
          </w:tcPr>
          <w:p w14:paraId="68F3FD8F">
            <w:pPr>
              <w:keepNext w:val="0"/>
              <w:spacing w:before="0" w:after="0" w:line="252" w:lineRule="auto"/>
            </w:pPr>
            <w:r>
              <w:rPr>
                <w:rFonts w:ascii="Times New Roman" w:hAnsi="Times New Roman"/>
                <w:b w:val="0"/>
                <w:sz w:val="22"/>
              </w:rPr>
              <w:t>4</w:t>
            </w:r>
          </w:p>
        </w:tc>
      </w:tr>
    </w:tbl>
    <w:p w14:paraId="09A4ECE7">
      <w:pPr>
        <w:pStyle w:val="166"/>
        <w:spacing w:before="160" w:line="264" w:lineRule="auto"/>
      </w:pPr>
      <w:r>
        <w:t>Each item is scored 0–4, giving a total score of 0–20. Higher totals indicate greater emergence-related behavioural disturbance. A total ≥10 is the study criterion for emergence delirium.</w:t>
      </w:r>
    </w:p>
    <w:sectPr>
      <w:footerReference r:id="rId5" w:type="default"/>
      <w:pgSz w:w="16838" w:h="11905" w:orient="landscape"/>
      <w:pgMar w:top="979" w:right="979" w:bottom="979" w:left="979" w:header="504" w:footer="504"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Noto Sans CJK SC">
    <w:altName w:val="Menk Amglang Tig"/>
    <w:panose1 w:val="00000000000000000000"/>
    <w:charset w:val="00"/>
    <w:family w:val="auto"/>
    <w:pitch w:val="default"/>
    <w:sig w:usb0="00000000" w:usb1="00000000" w:usb2="00000000" w:usb3="00000000" w:csb0="00000000" w:csb1="00000000"/>
  </w:font>
  <w:font w:name="Menk Amglang Tig">
    <w:panose1 w:val="02000500000000000000"/>
    <w:charset w:val="00"/>
    <w:family w:val="auto"/>
    <w:pitch w:val="default"/>
    <w:sig w:usb0="A000029F" w:usb1="1041E44A" w:usb2="00020012" w:usb3="00000000" w:csb0="00000003"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Menk Amglang Tig"/>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66F5A">
    <w:pPr>
      <w:pStyle w:val="24"/>
      <w:suppressLineNumbers/>
      <w:jc w:val="center"/>
    </w:pPr>
    <w:r>
      <w:fldChar w:fldCharType="begin"/>
    </w:r>
    <w:r>
      <w:instrText xml:space="preserve">PAGE</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CF1E11"/>
    <w:rsid w:val="07CC09EB"/>
    <w:rsid w:val="19182ACB"/>
    <w:rsid w:val="1DBC69B5"/>
    <w:rsid w:val="1FCC40F6"/>
    <w:rsid w:val="2451059E"/>
    <w:rsid w:val="282633A8"/>
    <w:rsid w:val="292328DB"/>
    <w:rsid w:val="29BA46F0"/>
    <w:rsid w:val="2B0A6FB1"/>
    <w:rsid w:val="520F6E87"/>
    <w:rsid w:val="56504B81"/>
    <w:rsid w:val="6731781D"/>
    <w:rsid w:val="714D2D21"/>
    <w:rsid w:val="7B5573A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widowControl/>
      <w:spacing w:after="120" w:line="276" w:lineRule="auto"/>
    </w:pPr>
    <w:rPr>
      <w:rFonts w:ascii="Times New Roman" w:hAnsi="Times New Roman" w:eastAsia="Noto Sans CJK SC" w:cs="Times New Roman"/>
      <w:color w:val="000000"/>
      <w:sz w:val="24"/>
      <w:szCs w:val="22"/>
      <w:lang w:val="en-US" w:eastAsia="en-US" w:bidi="ar-SA"/>
    </w:rPr>
  </w:style>
  <w:style w:type="paragraph" w:styleId="3">
    <w:name w:val="heading 1"/>
    <w:basedOn w:val="1"/>
    <w:next w:val="1"/>
    <w:link w:val="138"/>
    <w:qFormat/>
    <w:uiPriority w:val="9"/>
    <w:pPr>
      <w:keepNext/>
      <w:keepLines/>
      <w:spacing w:before="240" w:after="120" w:line="288" w:lineRule="auto"/>
      <w:outlineLvl w:val="0"/>
    </w:pPr>
    <w:rPr>
      <w:rFonts w:ascii="Times New Roman" w:hAnsi="Times New Roman" w:eastAsia="Noto Sans CJK SC" w:cs="Times New Roman"/>
      <w:b/>
      <w:bCs/>
      <w:color w:val="000000"/>
      <w:sz w:val="26"/>
      <w:szCs w:val="28"/>
    </w:rPr>
  </w:style>
  <w:style w:type="paragraph" w:styleId="4">
    <w:name w:val="heading 2"/>
    <w:basedOn w:val="1"/>
    <w:next w:val="1"/>
    <w:link w:val="139"/>
    <w:unhideWhenUsed/>
    <w:qFormat/>
    <w:uiPriority w:val="9"/>
    <w:pPr>
      <w:keepNext/>
      <w:keepLines/>
      <w:spacing w:before="240" w:after="120" w:line="288" w:lineRule="auto"/>
      <w:outlineLvl w:val="1"/>
    </w:pPr>
    <w:rPr>
      <w:rFonts w:ascii="Times New Roman" w:hAnsi="Times New Roman" w:eastAsia="Noto Sans CJK SC" w:cs="Times New Roman"/>
      <w:b/>
      <w:bCs/>
      <w:color w:val="000000"/>
      <w:sz w:val="24"/>
      <w:szCs w:val="26"/>
    </w:rPr>
  </w:style>
  <w:style w:type="paragraph" w:styleId="5">
    <w:name w:val="heading 3"/>
    <w:basedOn w:val="1"/>
    <w:next w:val="1"/>
    <w:link w:val="140"/>
    <w:unhideWhenUsed/>
    <w:qFormat/>
    <w:uiPriority w:val="9"/>
    <w:pPr>
      <w:keepNext/>
      <w:keepLines/>
      <w:spacing w:before="200" w:after="0"/>
      <w:outlineLvl w:val="2"/>
    </w:pPr>
    <w:rPr>
      <w:rFonts w:ascii="Times New Roman" w:hAnsi="Times New Roman" w:eastAsia="Noto Sans CJK SC" w:cs="Times New Roman"/>
      <w:bCs/>
      <w:color w:val="000000"/>
      <w:sz w:val="24"/>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rFonts w:ascii="Times New Roman" w:hAnsi="Times New Roman" w:eastAsia="Noto Sans CJK SC" w:cs="Times New Roman"/>
      <w:bCs/>
      <w:color w:val="000000"/>
      <w:sz w:val="24"/>
      <w:szCs w:val="18"/>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rPr>
      <w:rFonts w:ascii="Times New Roman" w:hAnsi="Times New Roman" w:eastAsia="Noto Sans CJK SC" w:cs="Times New Roman"/>
      <w:color w:val="000000"/>
      <w:sz w:val="24"/>
    </w:r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imes New Roman" w:hAnsi="Times New Roman" w:eastAsia="Noto Sans CJK SC" w:cs="Times New Roman"/>
      <w:i/>
      <w:iCs/>
      <w:color w:val="000000"/>
      <w:spacing w:val="15"/>
      <w:sz w:val="24"/>
      <w:szCs w:val="24"/>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spacing w:after="400" w:line="288" w:lineRule="auto"/>
      <w:contextualSpacing/>
    </w:pPr>
    <w:rPr>
      <w:rFonts w:ascii="Times New Roman" w:hAnsi="Times New Roman" w:eastAsia="Noto Sans CJK SC" w:cs="Times New Roman"/>
      <w:b/>
      <w:color w:val="000000"/>
      <w:spacing w:val="5"/>
      <w:kern w:val="28"/>
      <w:sz w:val="30"/>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Reference"/>
    <w:qFormat/>
    <w:uiPriority w:val="0"/>
    <w:pPr>
      <w:keepLines/>
      <w:widowControl/>
      <w:spacing w:after="60" w:line="276" w:lineRule="auto"/>
      <w:ind w:left="360" w:hanging="360"/>
    </w:pPr>
    <w:rPr>
      <w:rFonts w:ascii="Times New Roman" w:hAnsi="Times New Roman" w:eastAsia="Noto Sans CJK SC" w:cs="Times New Roman"/>
      <w:color w:val="000000"/>
      <w:sz w:val="22"/>
      <w:szCs w:val="22"/>
      <w:lang w:val="en-US" w:eastAsia="en-US" w:bidi="ar-SA"/>
    </w:rPr>
  </w:style>
  <w:style w:type="paragraph" w:customStyle="1" w:styleId="165">
    <w:name w:val="Table Text"/>
    <w:qFormat/>
    <w:uiPriority w:val="0"/>
    <w:pPr>
      <w:widowControl/>
      <w:spacing w:before="0" w:after="0" w:line="252" w:lineRule="auto"/>
    </w:pPr>
    <w:rPr>
      <w:rFonts w:ascii="Times New Roman" w:hAnsi="Times New Roman" w:eastAsia="Noto Sans CJK SC" w:cs="Times New Roman"/>
      <w:color w:val="000000"/>
      <w:sz w:val="21"/>
      <w:szCs w:val="22"/>
      <w:lang w:val="en-US" w:eastAsia="en-US" w:bidi="ar-SA"/>
    </w:rPr>
  </w:style>
  <w:style w:type="paragraph" w:customStyle="1" w:styleId="166">
    <w:name w:val="Table Legend"/>
    <w:qFormat/>
    <w:uiPriority w:val="0"/>
    <w:pPr>
      <w:spacing w:before="180" w:after="0" w:line="276" w:lineRule="auto"/>
    </w:pPr>
    <w:rPr>
      <w:rFonts w:ascii="Times New Roman" w:hAnsi="Times New Roman" w:eastAsia="Noto Sans CJK SC" w:cs="Times New Roman"/>
      <w:color w:val="000000"/>
      <w:sz w:val="20"/>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9</Pages>
  <Words>1955</Words>
  <Characters>9994</Characters>
  <Lines>0</Lines>
  <Paragraphs>0</Paragraphs>
  <TotalTime>131</TotalTime>
  <ScaleCrop>false</ScaleCrop>
  <LinksUpToDate>false</LinksUpToDate>
  <CharactersWithSpaces>11480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Angus…T </dc:creator>
  <dc:description>generated by python-docx</dc:description>
  <cp:keywords>dexmedetomidine; esketamine; premedication; paediatric; burn scars; crossover trial</cp:keywords>
  <cp:lastModifiedBy>Angus…T </cp:lastModifiedBy>
  <dcterms:modified xsi:type="dcterms:W3CDTF">2026-09-14T16:36:16Z</dcterms:modified>
  <dc:subject>BMC Anesthesiology manuscript materials</dc:subject>
  <dc:title>Efficacy and Safety of Intranasal Dexmedetomidine Combined with Esketamine for Premedication in Children Undergoing Laser Treatment for Burn Scars: A Randomised Self-Controlled Crossover Trial</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eyJoZGlkIjoiMjgzMDEzNDU3MWUwNTVkNDM2ZTBkNzYwNTJhNzJjY2QiLCJ1c2VySWQiOiI0MTU2OTE2OTAifQ==</vt:lpwstr>
  </property>
  <property fmtid="{D5CDD505-2E9C-101B-9397-08002B2CF9AE}" pid="3" name="KSOProductBuildVer">
    <vt:lpwstr>2052-12.1.0.28505</vt:lpwstr>
  </property>
  <property fmtid="{D5CDD505-2E9C-101B-9397-08002B2CF9AE}" pid="4" name="ICV">
    <vt:lpwstr>2DAFABCCA6924469B41AB1FD1836FF08_12</vt:lpwstr>
  </property>
</Properties>
</file>