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3851" w:rsidRPr="008D6CC6" w:rsidRDefault="00213851">
      <w:pPr>
        <w:rPr>
          <w:rFonts w:ascii="Times New Roman" w:hAnsi="Times New Roman" w:cs="Times New Roman"/>
        </w:rPr>
      </w:pPr>
      <w:r w:rsidRPr="008D6CC6">
        <w:rPr>
          <w:rFonts w:ascii="Times New Roman" w:hAnsi="Times New Roman" w:cs="Times New Roman"/>
          <w:b/>
          <w:bCs/>
        </w:rPr>
        <w:t>Supplementa</w:t>
      </w:r>
      <w:r w:rsidR="00AA3B44">
        <w:rPr>
          <w:rFonts w:ascii="Times New Roman" w:hAnsi="Times New Roman" w:cs="Times New Roman"/>
          <w:b/>
          <w:bCs/>
        </w:rPr>
        <w:t>l</w:t>
      </w:r>
      <w:r w:rsidR="009D3E7C">
        <w:rPr>
          <w:rFonts w:ascii="Times New Roman" w:hAnsi="Times New Roman" w:cs="Times New Roman"/>
          <w:b/>
          <w:bCs/>
        </w:rPr>
        <w:t xml:space="preserve"> </w:t>
      </w:r>
      <w:r w:rsidRPr="008D6CC6">
        <w:rPr>
          <w:rFonts w:ascii="Times New Roman" w:hAnsi="Times New Roman" w:cs="Times New Roman"/>
          <w:b/>
          <w:bCs/>
        </w:rPr>
        <w:t>Table 1.</w:t>
      </w:r>
      <w:r w:rsidR="001F615C" w:rsidRPr="008D6CC6">
        <w:rPr>
          <w:rFonts w:ascii="Times New Roman" w:hAnsi="Times New Roman" w:cs="Times New Roman"/>
          <w:b/>
          <w:bCs/>
        </w:rPr>
        <w:t xml:space="preserve"> </w:t>
      </w:r>
      <w:r w:rsidR="00620F16" w:rsidRPr="008D6CC6">
        <w:rPr>
          <w:rFonts w:ascii="Times New Roman" w:hAnsi="Times New Roman" w:cs="Times New Roman"/>
        </w:rPr>
        <w:t>Comparison of multivariate regression models incorporating fundoscopic grading, pRNFL thickness, and AONSD for the prediction of elevated CSF</w:t>
      </w:r>
      <w:r w:rsidR="00C4632A" w:rsidRPr="008D6CC6">
        <w:rPr>
          <w:rFonts w:ascii="Times New Roman" w:hAnsi="Times New Roman" w:cs="Times New Roman"/>
        </w:rPr>
        <w:t>-</w:t>
      </w:r>
      <w:r w:rsidR="00620F16" w:rsidRPr="008D6CC6">
        <w:rPr>
          <w:rFonts w:ascii="Times New Roman" w:hAnsi="Times New Roman" w:cs="Times New Roman"/>
        </w:rPr>
        <w:t>OP (≥25cmH</w:t>
      </w:r>
      <w:r w:rsidR="00620F16" w:rsidRPr="008D6CC6">
        <w:rPr>
          <w:rFonts w:ascii="Times New Roman" w:hAnsi="Times New Roman" w:cs="Times New Roman"/>
          <w:vertAlign w:val="subscript"/>
        </w:rPr>
        <w:t>2</w:t>
      </w:r>
      <w:r w:rsidR="00620F16" w:rsidRPr="008D6CC6">
        <w:rPr>
          <w:rFonts w:ascii="Times New Roman" w:hAnsi="Times New Roman" w:cs="Times New Roman"/>
        </w:rPr>
        <w:t>O).</w:t>
      </w:r>
      <w:r w:rsidR="001F615C" w:rsidRPr="008D6CC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3"/>
        <w:gridCol w:w="2269"/>
        <w:gridCol w:w="1277"/>
        <w:gridCol w:w="2124"/>
        <w:gridCol w:w="1134"/>
        <w:gridCol w:w="1984"/>
        <w:gridCol w:w="1049"/>
      </w:tblGrid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OR (95% CI)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p-value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OR (95% CI)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p-value</w:t>
            </w:r>
          </w:p>
        </w:tc>
        <w:tc>
          <w:tcPr>
            <w:tcW w:w="198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OR (95% CI)</w:t>
            </w:r>
          </w:p>
        </w:tc>
        <w:tc>
          <w:tcPr>
            <w:tcW w:w="104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p-value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Age ≤ 40 years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3.37 (1.21–10.0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0.023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4.61 (1.50–15.7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0.01</w:t>
            </w:r>
            <w:r w:rsidR="003F38E0"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</w:t>
            </w:r>
          </w:p>
        </w:tc>
        <w:tc>
          <w:tcPr>
            <w:tcW w:w="1984" w:type="dxa"/>
          </w:tcPr>
          <w:p w:rsidR="0073219F" w:rsidRPr="008D6CC6" w:rsidRDefault="003F38E0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4.44</w:t>
            </w:r>
            <w:r w:rsidR="0073219F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(1.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57</w:t>
            </w:r>
            <w:r w:rsidR="0073219F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–1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</w:t>
            </w:r>
            <w:r w:rsidR="0073219F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.8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</w:t>
            </w:r>
            <w:r w:rsidR="0073219F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04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0.00</w:t>
            </w:r>
            <w:r w:rsidR="003F38E0"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7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BMI ≥ 30kg/m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vertAlign w:val="superscript"/>
                <w:lang w:val="en-GB"/>
              </w:rPr>
              <w:t>2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3.44 (1.27–9.98)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0.018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4.15 (1.38–14.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08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0.015</w:t>
            </w:r>
          </w:p>
        </w:tc>
        <w:tc>
          <w:tcPr>
            <w:tcW w:w="198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94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(1.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45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–11.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57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04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</w:t>
            </w:r>
            <w:r w:rsidR="003F38E0"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09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Frisén scale ≥ 2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2.78 (1.03–7.85)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0.046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984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049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pRNFL thickness ≥ 125µm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10.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49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(3.40–39.0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&lt;0.001</w:t>
            </w:r>
          </w:p>
        </w:tc>
        <w:tc>
          <w:tcPr>
            <w:tcW w:w="1984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049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AONSD ≥ 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0mm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n.a.</w:t>
            </w:r>
          </w:p>
        </w:tc>
        <w:tc>
          <w:tcPr>
            <w:tcW w:w="1984" w:type="dxa"/>
          </w:tcPr>
          <w:p w:rsidR="0073219F" w:rsidRPr="008D6CC6" w:rsidRDefault="003F38E0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2.52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0.76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–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8.97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049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136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PGF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0.65 (0.11–3.91)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0.63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0.24 (0.03–1.88)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0.17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1984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0.5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(0.08–3.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44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049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0.5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14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TSS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4.61 (1.67–13.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90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0.004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8.88 (2.70–35.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25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0.001</w:t>
            </w:r>
          </w:p>
        </w:tc>
        <w:tc>
          <w:tcPr>
            <w:tcW w:w="1984" w:type="dxa"/>
          </w:tcPr>
          <w:p w:rsidR="0073219F" w:rsidRPr="008D6CC6" w:rsidRDefault="003F38E0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4.50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1.62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–1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.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55</w:t>
            </w:r>
            <w:r w:rsidR="00213851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049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0.00</w:t>
            </w:r>
            <w:r w:rsidR="003F38E0"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5</w:t>
            </w:r>
          </w:p>
        </w:tc>
      </w:tr>
      <w:tr w:rsidR="00213851" w:rsidRPr="008D6CC6" w:rsidTr="00213851">
        <w:tc>
          <w:tcPr>
            <w:tcW w:w="3113" w:type="dxa"/>
          </w:tcPr>
          <w:p w:rsidR="0073219F" w:rsidRPr="008D6CC6" w:rsidRDefault="0073219F" w:rsidP="0073219F">
            <w:pPr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≥ 3 MRI signs</w:t>
            </w:r>
          </w:p>
        </w:tc>
        <w:tc>
          <w:tcPr>
            <w:tcW w:w="2269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4.56 (0.67–32.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76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277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0.12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12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7.26 (0.85–66.9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134" w:type="dxa"/>
          </w:tcPr>
          <w:p w:rsidR="0073219F" w:rsidRPr="008D6CC6" w:rsidRDefault="0073219F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0.07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1984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70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(0.6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–3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7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.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17</w:t>
            </w: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</w:tc>
        <w:tc>
          <w:tcPr>
            <w:tcW w:w="1049" w:type="dxa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0.1</w:t>
            </w:r>
            <w:r w:rsidR="003F38E0" w:rsidRPr="008D6CC6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25</w:t>
            </w:r>
          </w:p>
        </w:tc>
      </w:tr>
      <w:tr w:rsidR="0073219F" w:rsidRPr="008D6CC6" w:rsidTr="00213851">
        <w:tc>
          <w:tcPr>
            <w:tcW w:w="3113" w:type="dxa"/>
          </w:tcPr>
          <w:p w:rsidR="0073219F" w:rsidRPr="008D6CC6" w:rsidRDefault="00213851" w:rsidP="0073219F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AUC (95% CI)</w:t>
            </w:r>
          </w:p>
        </w:tc>
        <w:tc>
          <w:tcPr>
            <w:tcW w:w="3546" w:type="dxa"/>
            <w:gridSpan w:val="2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0.82 (0.74–0.90)</w:t>
            </w:r>
          </w:p>
        </w:tc>
        <w:tc>
          <w:tcPr>
            <w:tcW w:w="3258" w:type="dxa"/>
            <w:gridSpan w:val="2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0.88 (0.81–0.95)</w:t>
            </w:r>
          </w:p>
        </w:tc>
        <w:tc>
          <w:tcPr>
            <w:tcW w:w="3033" w:type="dxa"/>
            <w:gridSpan w:val="2"/>
          </w:tcPr>
          <w:p w:rsidR="0073219F" w:rsidRPr="008D6CC6" w:rsidRDefault="00213851" w:rsidP="0073219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 w:rsidRPr="008D6CC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0.82 (0.74–0.90)</w:t>
            </w:r>
          </w:p>
        </w:tc>
      </w:tr>
    </w:tbl>
    <w:p w:rsidR="005B65F1" w:rsidRPr="008D6CC6" w:rsidRDefault="005036B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D6CC6">
        <w:rPr>
          <w:rFonts w:ascii="Times New Roman" w:hAnsi="Times New Roman" w:cs="Times New Roman"/>
          <w:sz w:val="20"/>
          <w:szCs w:val="20"/>
          <w:lang w:val="en-GB"/>
        </w:rPr>
        <w:t>AONSD: arachnoid optic nerve sheath diameter,</w:t>
      </w:r>
      <w:r w:rsidR="009E5ABF" w:rsidRPr="008D6CC6">
        <w:rPr>
          <w:rFonts w:ascii="Times New Roman" w:hAnsi="Times New Roman" w:cs="Times New Roman"/>
          <w:sz w:val="20"/>
          <w:szCs w:val="20"/>
          <w:lang w:val="en-GB"/>
        </w:rPr>
        <w:t xml:space="preserve"> AUC: area under the curve,</w:t>
      </w:r>
      <w:r w:rsidRPr="008D6CC6">
        <w:rPr>
          <w:rFonts w:ascii="Times New Roman" w:hAnsi="Times New Roman" w:cs="Times New Roman"/>
          <w:sz w:val="20"/>
          <w:szCs w:val="20"/>
          <w:lang w:val="en-GB"/>
        </w:rPr>
        <w:t xml:space="preserve"> BMI: body mass index, CI: confidence interval, CSF</w:t>
      </w:r>
      <w:r w:rsidR="00C4632A" w:rsidRPr="008D6CC6">
        <w:rPr>
          <w:rFonts w:ascii="Times New Roman" w:hAnsi="Times New Roman" w:cs="Times New Roman"/>
          <w:sz w:val="20"/>
          <w:szCs w:val="20"/>
          <w:lang w:val="en-GB"/>
        </w:rPr>
        <w:t>-OP</w:t>
      </w:r>
      <w:r w:rsidRPr="008D6CC6">
        <w:rPr>
          <w:rFonts w:ascii="Times New Roman" w:hAnsi="Times New Roman" w:cs="Times New Roman"/>
          <w:sz w:val="20"/>
          <w:szCs w:val="20"/>
          <w:lang w:val="en-GB"/>
        </w:rPr>
        <w:t>: cerebrospinal fluid</w:t>
      </w:r>
      <w:r w:rsidR="00C4632A" w:rsidRPr="008D6CC6">
        <w:rPr>
          <w:rFonts w:ascii="Times New Roman" w:hAnsi="Times New Roman" w:cs="Times New Roman"/>
          <w:sz w:val="20"/>
          <w:szCs w:val="20"/>
          <w:lang w:val="en-GB"/>
        </w:rPr>
        <w:t xml:space="preserve"> opening pressure</w:t>
      </w:r>
      <w:r w:rsidRPr="008D6CC6">
        <w:rPr>
          <w:rFonts w:ascii="Times New Roman" w:hAnsi="Times New Roman" w:cs="Times New Roman"/>
          <w:sz w:val="20"/>
          <w:szCs w:val="20"/>
          <w:lang w:val="en-GB"/>
        </w:rPr>
        <w:t>, ES: empty sella, MRI: magnetic resonance imaging, OR: odds ratio, PGF: posterior globe flattening, pRNFL: peripapillary retinal nerve fibre layer,</w:t>
      </w:r>
      <w:r w:rsidR="004E643B" w:rsidRPr="008D6CC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D6CC6">
        <w:rPr>
          <w:rFonts w:ascii="Times New Roman" w:hAnsi="Times New Roman" w:cs="Times New Roman"/>
          <w:sz w:val="20"/>
          <w:szCs w:val="20"/>
          <w:lang w:val="en-GB"/>
        </w:rPr>
        <w:t>TSS: transverse sinus stenosis</w:t>
      </w:r>
    </w:p>
    <w:p w:rsidR="005B65F1" w:rsidRPr="008D6CC6" w:rsidRDefault="005B65F1">
      <w:pPr>
        <w:spacing w:after="0" w:line="240" w:lineRule="auto"/>
        <w:jc w:val="left"/>
        <w:rPr>
          <w:rFonts w:ascii="Times New Roman" w:hAnsi="Times New Roman" w:cs="Times New Roman"/>
        </w:rPr>
      </w:pPr>
      <w:r w:rsidRPr="008D6CC6">
        <w:rPr>
          <w:rFonts w:ascii="Times New Roman" w:hAnsi="Times New Roman" w:cs="Times New Roman"/>
        </w:rPr>
        <w:br w:type="page"/>
      </w:r>
    </w:p>
    <w:p w:rsidR="00F86E71" w:rsidRPr="008D6CC6" w:rsidRDefault="00F86E71" w:rsidP="00F86E71">
      <w:pPr>
        <w:jc w:val="center"/>
        <w:rPr>
          <w:rFonts w:ascii="Times New Roman" w:hAnsi="Times New Roman" w:cs="Times New Roman"/>
          <w:b/>
          <w:bCs/>
        </w:rPr>
        <w:sectPr w:rsidR="00F86E71" w:rsidRPr="008D6CC6" w:rsidSect="0073219F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F86E71" w:rsidRPr="008D6CC6" w:rsidRDefault="008D6CC6" w:rsidP="00F86E7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>
            <wp:extent cx="5410200" cy="2755900"/>
            <wp:effectExtent l="0" t="0" r="0" b="0"/>
            <wp:docPr id="1365122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122021" name="Picture 13651220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E71" w:rsidRPr="00AA3B44" w:rsidRDefault="00F86E71" w:rsidP="00F86E71">
      <w:pPr>
        <w:rPr>
          <w:rFonts w:ascii="Times New Roman" w:hAnsi="Times New Roman" w:cs="Times New Roman"/>
        </w:rPr>
      </w:pPr>
      <w:r w:rsidRPr="008D6CC6">
        <w:rPr>
          <w:rFonts w:ascii="Times New Roman" w:hAnsi="Times New Roman" w:cs="Times New Roman"/>
          <w:b/>
          <w:bCs/>
        </w:rPr>
        <w:t>Supplementa</w:t>
      </w:r>
      <w:r w:rsidR="00AA3B44">
        <w:rPr>
          <w:rFonts w:ascii="Times New Roman" w:hAnsi="Times New Roman" w:cs="Times New Roman"/>
          <w:b/>
          <w:bCs/>
        </w:rPr>
        <w:t>l</w:t>
      </w:r>
      <w:r w:rsidRPr="008D6CC6">
        <w:rPr>
          <w:rFonts w:ascii="Times New Roman" w:hAnsi="Times New Roman" w:cs="Times New Roman"/>
          <w:b/>
          <w:bCs/>
        </w:rPr>
        <w:t xml:space="preserve"> Figure 1.</w:t>
      </w:r>
      <w:r w:rsidRPr="008D6CC6">
        <w:rPr>
          <w:rFonts w:ascii="Times New Roman" w:hAnsi="Times New Roman" w:cs="Times New Roman"/>
        </w:rPr>
        <w:t xml:space="preserve"> </w:t>
      </w:r>
      <w:r w:rsidR="008D6CC6">
        <w:rPr>
          <w:rFonts w:ascii="Times New Roman" w:hAnsi="Times New Roman" w:cs="Times New Roman"/>
        </w:rPr>
        <w:t>Clinical</w:t>
      </w:r>
      <w:r w:rsidRPr="008D6CC6">
        <w:rPr>
          <w:rFonts w:ascii="Times New Roman" w:hAnsi="Times New Roman" w:cs="Times New Roman"/>
        </w:rPr>
        <w:t xml:space="preserve"> application of the OCT-enhanced Vienna Intracranial Hypertension Score (VIHS-OCT) for pre-lumbar puncture risk stratification</w:t>
      </w:r>
      <w:r w:rsidR="008D6CC6">
        <w:rPr>
          <w:rFonts w:ascii="Times New Roman" w:hAnsi="Times New Roman" w:cs="Times New Roman"/>
        </w:rPr>
        <w:t xml:space="preserve">. </w:t>
      </w:r>
      <w:r w:rsidR="008D6CC6" w:rsidRPr="008D6CC6">
        <w:rPr>
          <w:rFonts w:ascii="Times New Roman" w:hAnsi="Times New Roman" w:cs="Times New Roman"/>
          <w:lang w:val="en-GB"/>
        </w:rPr>
        <w:t>Distribution of normal (≤20cmH</w:t>
      </w:r>
      <w:r w:rsidR="008D6CC6" w:rsidRPr="008D6CC6">
        <w:rPr>
          <w:rFonts w:ascii="Times New Roman" w:hAnsi="Times New Roman" w:cs="Times New Roman"/>
          <w:vertAlign w:val="subscript"/>
          <w:lang w:val="en-GB"/>
        </w:rPr>
        <w:t>2</w:t>
      </w:r>
      <w:r w:rsidR="008D6CC6" w:rsidRPr="008D6CC6">
        <w:rPr>
          <w:rFonts w:ascii="Times New Roman" w:hAnsi="Times New Roman" w:cs="Times New Roman"/>
          <w:lang w:val="en-GB"/>
        </w:rPr>
        <w:t>O), borderline (&gt;20 to &lt;25cmH</w:t>
      </w:r>
      <w:r w:rsidR="008D6CC6" w:rsidRPr="008D6CC6">
        <w:rPr>
          <w:rFonts w:ascii="Times New Roman" w:hAnsi="Times New Roman" w:cs="Times New Roman"/>
          <w:vertAlign w:val="subscript"/>
          <w:lang w:val="en-GB"/>
        </w:rPr>
        <w:t>2</w:t>
      </w:r>
      <w:r w:rsidR="008D6CC6" w:rsidRPr="008D6CC6">
        <w:rPr>
          <w:rFonts w:ascii="Times New Roman" w:hAnsi="Times New Roman" w:cs="Times New Roman"/>
          <w:lang w:val="en-GB"/>
        </w:rPr>
        <w:t>O), and elevated (≥25cmH</w:t>
      </w:r>
      <w:r w:rsidR="008D6CC6" w:rsidRPr="008D6CC6">
        <w:rPr>
          <w:rFonts w:ascii="Times New Roman" w:hAnsi="Times New Roman" w:cs="Times New Roman"/>
          <w:vertAlign w:val="subscript"/>
          <w:lang w:val="en-GB"/>
        </w:rPr>
        <w:t>2</w:t>
      </w:r>
      <w:r w:rsidR="008D6CC6" w:rsidRPr="008D6CC6">
        <w:rPr>
          <w:rFonts w:ascii="Times New Roman" w:hAnsi="Times New Roman" w:cs="Times New Roman"/>
          <w:lang w:val="en-GB"/>
        </w:rPr>
        <w:t>O) CSF-OP across low- (≤2 points), intermediate- (3</w:t>
      </w:r>
      <w:r w:rsidR="008D6CC6">
        <w:rPr>
          <w:rFonts w:ascii="Times New Roman" w:hAnsi="Times New Roman" w:cs="Times New Roman"/>
          <w:lang w:val="en-GB"/>
        </w:rPr>
        <w:t xml:space="preserve">–4 </w:t>
      </w:r>
      <w:r w:rsidR="008D6CC6" w:rsidRPr="008D6CC6">
        <w:rPr>
          <w:rFonts w:ascii="Times New Roman" w:hAnsi="Times New Roman" w:cs="Times New Roman"/>
          <w:lang w:val="en-GB"/>
        </w:rPr>
        <w:t>points), and high-risk (≥</w:t>
      </w:r>
      <w:r w:rsidR="008D6CC6">
        <w:rPr>
          <w:rFonts w:ascii="Times New Roman" w:hAnsi="Times New Roman" w:cs="Times New Roman"/>
          <w:lang w:val="en-GB"/>
        </w:rPr>
        <w:t>5</w:t>
      </w:r>
      <w:r w:rsidR="008D6CC6" w:rsidRPr="008D6CC6">
        <w:rPr>
          <w:rFonts w:ascii="Times New Roman" w:hAnsi="Times New Roman" w:cs="Times New Roman"/>
          <w:lang w:val="en-GB"/>
        </w:rPr>
        <w:t xml:space="preserve"> points) VIHS</w:t>
      </w:r>
      <w:r w:rsidR="008D6CC6">
        <w:rPr>
          <w:rFonts w:ascii="Times New Roman" w:hAnsi="Times New Roman" w:cs="Times New Roman"/>
          <w:lang w:val="en-GB"/>
        </w:rPr>
        <w:t>-OCT</w:t>
      </w:r>
      <w:r w:rsidR="008D6CC6" w:rsidRPr="008D6CC6">
        <w:rPr>
          <w:rFonts w:ascii="Times New Roman" w:hAnsi="Times New Roman" w:cs="Times New Roman"/>
          <w:lang w:val="en-GB"/>
        </w:rPr>
        <w:t xml:space="preserve"> categories.</w:t>
      </w:r>
      <w:r w:rsidR="00AA3B44" w:rsidRPr="00AA3B44">
        <w:rPr>
          <w:rFonts w:ascii="Times New Roman" w:hAnsi="Times New Roman" w:cs="Times New Roman"/>
        </w:rPr>
        <w:t xml:space="preserve"> </w:t>
      </w:r>
      <w:r w:rsidRPr="00AA3B44">
        <w:rPr>
          <w:rFonts w:ascii="Times New Roman" w:hAnsi="Times New Roman" w:cs="Times New Roman"/>
        </w:rPr>
        <w:t>BMI: body mass index, CI: confidence interval,</w:t>
      </w:r>
      <w:r w:rsidR="00C4632A" w:rsidRPr="00AA3B44">
        <w:rPr>
          <w:rFonts w:ascii="Times New Roman" w:hAnsi="Times New Roman" w:cs="Times New Roman"/>
        </w:rPr>
        <w:t xml:space="preserve"> CSF-OP: cerebrospinal fluid opening pressure,</w:t>
      </w:r>
      <w:r w:rsidRPr="00AA3B44">
        <w:rPr>
          <w:rFonts w:ascii="Times New Roman" w:hAnsi="Times New Roman" w:cs="Times New Roman"/>
        </w:rPr>
        <w:t xml:space="preserve"> </w:t>
      </w:r>
      <w:r w:rsidR="00C4632A" w:rsidRPr="00AA3B44">
        <w:rPr>
          <w:rFonts w:ascii="Times New Roman" w:hAnsi="Times New Roman" w:cs="Times New Roman"/>
        </w:rPr>
        <w:t xml:space="preserve">OCT: optical coherence tomography, </w:t>
      </w:r>
      <w:r w:rsidRPr="00AA3B44">
        <w:rPr>
          <w:rFonts w:ascii="Times New Roman" w:hAnsi="Times New Roman" w:cs="Times New Roman"/>
        </w:rPr>
        <w:t xml:space="preserve">pRNFL: peripapillary retinal nerve </w:t>
      </w:r>
      <w:r w:rsidR="00F0424B" w:rsidRPr="00AA3B44">
        <w:rPr>
          <w:rFonts w:ascii="Times New Roman" w:hAnsi="Times New Roman" w:cs="Times New Roman"/>
        </w:rPr>
        <w:t>fiber</w:t>
      </w:r>
      <w:r w:rsidRPr="00AA3B44">
        <w:rPr>
          <w:rFonts w:ascii="Times New Roman" w:hAnsi="Times New Roman" w:cs="Times New Roman"/>
        </w:rPr>
        <w:t xml:space="preserve"> layer, TSS: transverse sinus stenosis</w:t>
      </w:r>
    </w:p>
    <w:p w:rsidR="00F86E71" w:rsidRPr="008D6CC6" w:rsidRDefault="00F86E71" w:rsidP="00F86E71">
      <w:pPr>
        <w:jc w:val="center"/>
        <w:rPr>
          <w:rFonts w:ascii="Times New Roman" w:hAnsi="Times New Roman" w:cs="Times New Roman"/>
          <w:b/>
          <w:bCs/>
        </w:rPr>
      </w:pPr>
    </w:p>
    <w:sectPr w:rsidR="00F86E71" w:rsidRPr="008D6CC6" w:rsidSect="00F86E71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0AF1" w:rsidRDefault="00540AF1" w:rsidP="00213851">
      <w:pPr>
        <w:spacing w:after="0" w:line="240" w:lineRule="auto"/>
      </w:pPr>
      <w:r>
        <w:separator/>
      </w:r>
    </w:p>
  </w:endnote>
  <w:endnote w:type="continuationSeparator" w:id="0">
    <w:p w:rsidR="00540AF1" w:rsidRDefault="00540AF1" w:rsidP="0021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0AF1" w:rsidRDefault="00540AF1" w:rsidP="00213851">
      <w:pPr>
        <w:spacing w:after="0" w:line="240" w:lineRule="auto"/>
      </w:pPr>
      <w:r>
        <w:separator/>
      </w:r>
    </w:p>
  </w:footnote>
  <w:footnote w:type="continuationSeparator" w:id="0">
    <w:p w:rsidR="00540AF1" w:rsidRDefault="00540AF1" w:rsidP="002138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9F"/>
    <w:rsid w:val="00001C51"/>
    <w:rsid w:val="0004307E"/>
    <w:rsid w:val="00066432"/>
    <w:rsid w:val="000877D9"/>
    <w:rsid w:val="00150864"/>
    <w:rsid w:val="00196C0B"/>
    <w:rsid w:val="001F615C"/>
    <w:rsid w:val="00213851"/>
    <w:rsid w:val="00215DFE"/>
    <w:rsid w:val="002362EE"/>
    <w:rsid w:val="00252A85"/>
    <w:rsid w:val="002D01B9"/>
    <w:rsid w:val="0030286B"/>
    <w:rsid w:val="003A6754"/>
    <w:rsid w:val="003E0072"/>
    <w:rsid w:val="003E7CD7"/>
    <w:rsid w:val="003F0CEF"/>
    <w:rsid w:val="003F38E0"/>
    <w:rsid w:val="003F7066"/>
    <w:rsid w:val="004B6267"/>
    <w:rsid w:val="004C7813"/>
    <w:rsid w:val="004E643B"/>
    <w:rsid w:val="004E67D4"/>
    <w:rsid w:val="005036B0"/>
    <w:rsid w:val="00521857"/>
    <w:rsid w:val="00540AF1"/>
    <w:rsid w:val="00577226"/>
    <w:rsid w:val="005A5C56"/>
    <w:rsid w:val="005B5BB9"/>
    <w:rsid w:val="005B65F1"/>
    <w:rsid w:val="005E3D45"/>
    <w:rsid w:val="005F2828"/>
    <w:rsid w:val="00620953"/>
    <w:rsid w:val="00620F16"/>
    <w:rsid w:val="00620FCE"/>
    <w:rsid w:val="0064335C"/>
    <w:rsid w:val="00653EE7"/>
    <w:rsid w:val="00654208"/>
    <w:rsid w:val="00673DFF"/>
    <w:rsid w:val="006A4958"/>
    <w:rsid w:val="006E31E8"/>
    <w:rsid w:val="00714EBD"/>
    <w:rsid w:val="007319D8"/>
    <w:rsid w:val="0073219F"/>
    <w:rsid w:val="007C779E"/>
    <w:rsid w:val="00813E7E"/>
    <w:rsid w:val="00842389"/>
    <w:rsid w:val="008978F3"/>
    <w:rsid w:val="008A39D7"/>
    <w:rsid w:val="008C3B77"/>
    <w:rsid w:val="008D6CC6"/>
    <w:rsid w:val="009111C4"/>
    <w:rsid w:val="00932B51"/>
    <w:rsid w:val="009D2444"/>
    <w:rsid w:val="009D3E7C"/>
    <w:rsid w:val="009E4167"/>
    <w:rsid w:val="009E5ABF"/>
    <w:rsid w:val="00AA3B44"/>
    <w:rsid w:val="00AE5A8B"/>
    <w:rsid w:val="00AF619B"/>
    <w:rsid w:val="00B70E02"/>
    <w:rsid w:val="00BF02CA"/>
    <w:rsid w:val="00C4632A"/>
    <w:rsid w:val="00D31B3E"/>
    <w:rsid w:val="00D71391"/>
    <w:rsid w:val="00DC1E20"/>
    <w:rsid w:val="00DD33C8"/>
    <w:rsid w:val="00DF29D5"/>
    <w:rsid w:val="00E00803"/>
    <w:rsid w:val="00E54894"/>
    <w:rsid w:val="00EE625E"/>
    <w:rsid w:val="00F0424B"/>
    <w:rsid w:val="00F86E71"/>
    <w:rsid w:val="00FA7A90"/>
    <w:rsid w:val="00FC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484C"/>
  <w15:chartTrackingRefBased/>
  <w15:docId w15:val="{3A3FF985-77E1-F741-BDD4-B80F642F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19F"/>
    <w:pPr>
      <w:spacing w:after="120" w:line="360" w:lineRule="auto"/>
      <w:jc w:val="both"/>
    </w:pPr>
    <w:rPr>
      <w:rFonts w:ascii="Helvetica Neue" w:hAnsi="Helvetica Neu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3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851"/>
    <w:rPr>
      <w:rFonts w:ascii="Helvetica Neue" w:hAnsi="Helvetica Neue"/>
    </w:rPr>
  </w:style>
  <w:style w:type="paragraph" w:styleId="Footer">
    <w:name w:val="footer"/>
    <w:basedOn w:val="Normal"/>
    <w:link w:val="FooterChar"/>
    <w:uiPriority w:val="99"/>
    <w:unhideWhenUsed/>
    <w:rsid w:val="00213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851"/>
    <w:rPr>
      <w:rFonts w:ascii="Helvetica Neue" w:hAnsi="Helvetica Neu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CCC6F3-B633-5C4C-AB45-E5054C664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2026-06-27T13:03:00Z</dcterms:created>
  <dcterms:modified xsi:type="dcterms:W3CDTF">2026-09-15T10:03:00Z</dcterms:modified>
</cp:coreProperties>
</file>