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W w:w="8856" w:type="dxa"/>
        <w:tblLook w:val="04A0" w:firstRow="1" w:lastRow="0" w:firstColumn="1" w:lastColumn="0" w:noHBand="0" w:noVBand="1"/>
      </w:tblPr>
      <w:tblGrid>
        <w:gridCol w:w="4482"/>
        <w:gridCol w:w="1690"/>
        <w:gridCol w:w="1867"/>
        <w:gridCol w:w="818"/>
      </w:tblGrid>
      <w:tr>
        <w:trPr>
          <w:trHeight w:val="270" w:hRule="atLeast"/>
        </w:trPr>
        <w:tc>
          <w:tcPr>
            <w:tcW w:w="8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Table1. Characteristics subjects by the prevalence of hypertension.</w:t>
            </w: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Non -hypertension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ind w:firstLine="200" w:firstLineChars="100"/>
              <w:rPr>
                <w:rFonts w:ascii="Times New Roman" w:cs="Times New Roman" w:eastAsia="等线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Sex (n, %)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Men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1418(51.08)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1097(45.80)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Women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1358(48.92)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1298(54.20)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Race or ethnicity (n, %)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Mexican American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459(16.53)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442(18.46)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Other Hispanic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362(13.04)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326(13.61)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Non-Hispanic White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912(32.85)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803(33.53)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Non-Hispanic Black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670(24.14)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412(17.20)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Other Race-Including Multi-Racial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373(13.44)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412(17.20)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Educational attainment – Adults 20+ (n, %)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Less than 9th grade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399(14.37)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214(8.94)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9-11th grade (Includes 12th grade with no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333(12.00)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265(11.06)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diploma)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High school graduate/GED or equivalent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631(22.73)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502(20.96)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Some college or AA degree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815(29.36)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723(30.19)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   College graduate or above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598(21.54)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691(28.85)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7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Characteristics at baseline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320" w:hRule="atLeast"/>
        </w:trPr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Age (years)</w:t>
            </w: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57.42±15.50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40.77±15.44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/>
        <w:trPr>
          <w:trHeight w:val="320" w:hRule="atLeast"/>
        </w:trPr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Times New Roman" w:cs="Times New Roman" w:eastAsia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ge</w:t>
            </w:r>
            <w:r>
              <w:rPr>
                <w:rFonts w:ascii="Times New Roman" w:cs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groups</w:t>
            </w:r>
            <w:r>
              <w:rPr>
                <w:rFonts w:ascii="Times New Roman" w:cs="Times New Roman" w:eastAsia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, years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>
      <w:pPr>
        <w:pStyle w:val="style0"/>
        <w:rPr/>
      </w:pPr>
    </w:p>
    <w:tbl>
      <w:tblPr>
        <w:tblpPr w:leftFromText="180" w:rightFromText="180" w:topFromText="0" w:bottomFromText="0" w:vertAnchor="text" w:horzAnchor="margin" w:tblpXSpec="left" w:tblpY="40"/>
        <w:tblW w:w="9045" w:type="dxa"/>
        <w:tblLook w:val="04A0" w:firstRow="1" w:lastRow="0" w:firstColumn="1" w:lastColumn="0" w:noHBand="0" w:noVBand="1"/>
      </w:tblPr>
      <w:tblGrid>
        <w:gridCol w:w="2725"/>
        <w:gridCol w:w="2208"/>
        <w:gridCol w:w="2822"/>
        <w:gridCol w:w="1313"/>
      </w:tblGrid>
      <w:tr>
        <w:trPr>
          <w:trHeight w:val="268" w:hRule="atLeast"/>
        </w:trPr>
        <w:tc>
          <w:tcPr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tbl>
            <w:tblPr>
              <w:tblpPr w:leftFromText="180" w:rightFromText="180" w:topFromText="0" w:bottomFromText="0" w:vertAnchor="text" w:horzAnchor="margin" w:tblpXSpec="left" w:tblpY="40"/>
              <w:tblW w:w="9045" w:type="dxa"/>
              <w:tblLook w:val="04A0" w:firstRow="1" w:lastRow="0" w:firstColumn="1" w:lastColumn="0" w:noHBand="0" w:noVBand="1"/>
            </w:tblPr>
            <w:tblGrid>
              <w:gridCol w:w="3658"/>
              <w:gridCol w:w="2040"/>
              <w:gridCol w:w="2384"/>
              <w:gridCol w:w="963"/>
            </w:tblGrid>
            <w:tr>
              <w:trPr>
                <w:trHeight w:val="268" w:hRule="atLeast"/>
              </w:trPr>
              <w:tc>
                <w:tcPr>
                  <w:tcW w:w="9045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Table1. Continued.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20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Hypertension</w:t>
                  </w:r>
                </w:p>
              </w:tc>
              <w:tc>
                <w:tcPr>
                  <w:tcW w:w="23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Non-hypertension</w:t>
                  </w:r>
                </w:p>
              </w:tc>
              <w:tc>
                <w:tcPr>
                  <w:tcW w:w="96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>
                  <w:pPr>
                    <w:pStyle w:val="style0"/>
                    <w:widowControl/>
                    <w:spacing w:lineRule="auto" w:line="480"/>
                    <w:ind w:firstLine="200" w:firstLineChars="100"/>
                    <w:rPr>
                      <w:rFonts w:ascii="Times New Roman" w:cs="Times New Roman" w:eastAsia="等线" w:hAnsi="Times New Roman"/>
                      <w:i/>
                      <w:i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i/>
                      <w:iCs/>
                      <w:color w:val="000000"/>
                      <w:kern w:val="0"/>
                      <w:sz w:val="20"/>
                      <w:szCs w:val="20"/>
                    </w:rPr>
                    <w:t>P</w:t>
                  </w:r>
                </w:p>
              </w:tc>
            </w:tr>
            <w:tr>
              <w:tblPrEx/>
              <w:trPr>
                <w:trHeight w:val="31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ind w:firstLine="400" w:firstLineChars="200"/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color w:val="000000"/>
                      <w:kern w:val="0"/>
                      <w:sz w:val="20"/>
                      <w:szCs w:val="20"/>
                    </w:rPr>
                    <w:t>20-39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kern w:val="0"/>
                      <w:sz w:val="20"/>
                      <w:szCs w:val="20"/>
                    </w:rPr>
                    <w:t>421(15.17)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kern w:val="0"/>
                      <w:sz w:val="20"/>
                      <w:szCs w:val="20"/>
                    </w:rPr>
                    <w:t>1291(53.90)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ind w:firstLine="400" w:firstLineChars="200"/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color w:val="000000"/>
                      <w:kern w:val="0"/>
                      <w:sz w:val="20"/>
                      <w:szCs w:val="20"/>
                    </w:rPr>
                    <w:t>40-59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kern w:val="0"/>
                      <w:sz w:val="20"/>
                      <w:szCs w:val="20"/>
                    </w:rPr>
                    <w:t>983(35.41)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kern w:val="0"/>
                      <w:sz w:val="20"/>
                      <w:szCs w:val="20"/>
                    </w:rPr>
                    <w:t xml:space="preserve">754(31.48) 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ind w:firstLine="400" w:firstLineChars="20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color w:val="000000"/>
                      <w:kern w:val="0"/>
                      <w:sz w:val="20"/>
                      <w:szCs w:val="20"/>
                    </w:rPr>
                    <w:t>60-80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kern w:val="0"/>
                      <w:sz w:val="20"/>
                      <w:szCs w:val="20"/>
                    </w:rPr>
                    <w:t>1372(49.42)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hAnsi="Times New Roman"/>
                      <w:kern w:val="0"/>
                      <w:sz w:val="20"/>
                      <w:szCs w:val="20"/>
                    </w:rPr>
                    <w:t>350(14.61)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BMI (kg/m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2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30.93±7.23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27.98±6.46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BMI groups (kg/m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2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, n, %)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ind w:firstLine="400" w:firstLineChars="20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&lt;25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546(19.67)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862(35.99)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ind w:firstLine="400" w:firstLineChars="20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 xml:space="preserve"> 25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kern w:val="0"/>
                      <w:sz w:val="20"/>
                      <w:szCs w:val="20"/>
                      <w:lang w:val="en-GB"/>
                    </w:rPr>
                    <w:t>–</w:t>
                  </w: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29.9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886(31.92)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770(32.15)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ind w:firstLine="400" w:firstLineChars="20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  <w:lang w:val="en-GB"/>
                    </w:rPr>
                    <w:t>≥30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1344(48.41)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763(31.86)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 xml:space="preserve">SBP (mm 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Hg)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135.6±17.68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113.2±8.90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 xml:space="preserve">DBP (mm 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Hg)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73.06±13.13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66.28±7.94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Diabetes (n, %)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695(25.75)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181(7.66)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Dyslipidemia (n, %)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1049(37.79)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703(29.35)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AST (IU/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L)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b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24(20,29)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23(19,27)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ALT (IU/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L)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b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21(17,30)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20(16,28)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GGT (IU/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L)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b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22(16,33)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18(13,26)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TG (IU/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L)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b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1.13(0.79,1.71)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0.94(0.63,1.43)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FBG (mmol/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L)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b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5.50(5.16,5.88)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5.99(5.44,6.84)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&lt;0.001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LDLC (mmol/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L)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2.94±0.97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2.86±0.88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0.052</w:t>
                  </w:r>
                </w:p>
              </w:tc>
            </w:tr>
            <w:tr>
              <w:tblPrEx/>
              <w:trPr>
                <w:trHeight w:val="268" w:hRule="atLeast"/>
              </w:trPr>
              <w:tc>
                <w:tcPr>
                  <w:tcW w:w="365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HDLC (mmol/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L)</w:t>
                  </w:r>
                  <w:r>
                    <w:rPr>
                      <w:rFonts w:ascii="Times New Roman" w:cs="Times New Roman" w:eastAsia="等线" w:hAnsi="Times New Roman"/>
                      <w:b/>
                      <w:bCs/>
                      <w:color w:val="000000"/>
                      <w:kern w:val="0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20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1.38±0.47</w:t>
                  </w:r>
                </w:p>
              </w:tc>
              <w:tc>
                <w:tcPr>
                  <w:tcW w:w="238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1.42±0.44</w:t>
                  </w:r>
                </w:p>
              </w:tc>
              <w:tc>
                <w:tcPr>
                  <w:tcW w:w="96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pStyle w:val="style0"/>
                    <w:widowControl/>
                    <w:spacing w:lineRule="auto" w:line="480"/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Times New Roman" w:cs="Times New Roman" w:eastAsia="等线" w:hAnsi="Times New Roman"/>
                      <w:color w:val="000000"/>
                      <w:kern w:val="0"/>
                      <w:sz w:val="20"/>
                      <w:szCs w:val="20"/>
                    </w:rPr>
                    <w:t>0.002</w:t>
                  </w:r>
                </w:p>
              </w:tc>
            </w:tr>
          </w:tbl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Table1. Continued.</w:t>
            </w: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Non-hypertension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pStyle w:val="style0"/>
              <w:widowControl/>
              <w:spacing w:lineRule="auto" w:line="480"/>
              <w:ind w:firstLine="200" w:firstLineChars="100"/>
              <w:rPr>
                <w:rFonts w:ascii="Times New Roman" w:cs="Times New Roman" w:eastAsia="等线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>
        <w:tblPrEx/>
        <w:trPr>
          <w:trHeight w:val="31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TC (mmol/</w:t>
            </w: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L)</w:t>
            </w: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4.99±1.11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4.83±1.0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/>
        <w:trPr>
          <w:trHeight w:val="31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Smoking habit (n, 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/>
        <w:trPr>
          <w:trHeight w:val="31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Non-smoker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1470(52.95)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1517(63.34)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Quit smoking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772(27.81)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429(17.91)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Currently smoking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534(19.24)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449(18.75)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Drinking habit (n, 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Non-drinker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716(31.94)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625(29.23)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&lt;1 drinks/day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1206(53.79)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1289(60.29)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1-1.9 drinks/day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179(7.98)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155(7.25)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≥2 drinks/day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141(6.29)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69(3.23)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Physical activities (n, %)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No physical activity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503(21.03)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873(31.55)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aerobic activity &lt; 150 min/week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274(11.45)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419(15.14)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/>
        <w:trPr>
          <w:trHeight w:val="268" w:hRule="atLeast"/>
        </w:trPr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ind w:firstLine="400" w:firstLineChars="20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aerobic activity</w:t>
            </w: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150 min/week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1615(67.52)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1475(53.31)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style0"/>
              <w:widowControl/>
              <w:spacing w:lineRule="auto" w:line="480"/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cs="Times New Roman" w:eastAsia="等线" w:hAnsi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pStyle w:val="style0"/>
        <w:rPr>
          <w:rFonts w:ascii="Times New Roman" w:cs="Times New Roman" w:hAnsi="Times New Roman"/>
          <w:kern w:val="0"/>
          <w:sz w:val="20"/>
          <w:szCs w:val="20"/>
        </w:rPr>
      </w:pPr>
      <w:r>
        <w:rPr>
          <w:rFonts w:ascii="Times New Roman" w:cs="Times New Roman" w:hAnsi="Times New Roman"/>
          <w:b/>
          <w:bCs/>
          <w:color w:val="000000"/>
          <w:sz w:val="20"/>
          <w:szCs w:val="20"/>
          <w:shd w:val="clear" w:color="auto" w:fill="ffffff"/>
          <w:vertAlign w:val="superscript"/>
        </w:rPr>
        <w:t>a</w:t>
      </w:r>
      <w:r>
        <w:rPr>
          <w:rFonts w:ascii="Times New Roman" w:cs="Times New Roman" w:hAnsi="Times New Roman"/>
          <w:sz w:val="20"/>
          <w:szCs w:val="20"/>
          <w:vertAlign w:val="superscript"/>
        </w:rPr>
        <w:t xml:space="preserve"> </w:t>
      </w:r>
      <w:r>
        <w:rPr>
          <w:rFonts w:ascii="Times New Roman" w:cs="Times New Roman" w:hAnsi="Times New Roman"/>
          <w:kern w:val="0"/>
          <w:sz w:val="20"/>
          <w:szCs w:val="20"/>
        </w:rPr>
        <w:t xml:space="preserve">Data are mean ± standard deviation.    </w:t>
      </w:r>
    </w:p>
    <w:p>
      <w:pPr>
        <w:pStyle w:val="style0"/>
        <w:rPr>
          <w:rFonts w:ascii="Times New Roman" w:cs="Times New Roman" w:hAnsi="Times New Roman"/>
          <w:kern w:val="0"/>
          <w:szCs w:val="21"/>
        </w:rPr>
      </w:pPr>
      <w:r>
        <w:rPr>
          <w:rFonts w:ascii="Times New Roman" w:cs="Times New Roman" w:hAnsi="Times New Roman"/>
          <w:b/>
          <w:bCs/>
          <w:color w:val="000000"/>
          <w:szCs w:val="21"/>
          <w:shd w:val="clear" w:color="auto" w:fill="ffffff"/>
          <w:vertAlign w:val="superscript"/>
        </w:rPr>
        <w:t>b</w:t>
      </w:r>
      <w:r>
        <w:rPr>
          <w:rFonts w:ascii="Times New Roman" w:cs="Times New Roman" w:hAnsi="Times New Roman"/>
          <w:b/>
          <w:bCs/>
          <w:szCs w:val="21"/>
          <w:vertAlign w:val="superscript"/>
        </w:rPr>
        <w:t xml:space="preserve"> </w:t>
      </w:r>
      <w:r>
        <w:rPr>
          <w:rFonts w:ascii="Times New Roman" w:cs="Times New Roman" w:hAnsi="Times New Roman"/>
          <w:kern w:val="0"/>
          <w:szCs w:val="21"/>
        </w:rPr>
        <w:t>Data are median (25th and 75th percentiles).</w:t>
      </w:r>
    </w:p>
    <w:p>
      <w:pPr>
        <w:pStyle w:val="style0"/>
        <w:rPr>
          <w:rFonts w:ascii="Times New Roman" w:cs="Times New Roman" w:hAnsi="Times New Roman"/>
          <w:szCs w:val="21"/>
        </w:rPr>
      </w:pPr>
      <w:r>
        <w:rPr>
          <w:rFonts w:ascii="Times New Roman" w:cs="Times New Roman" w:hAnsi="Times New Roman"/>
          <w:szCs w:val="21"/>
        </w:rPr>
        <w:t>BMI, body mass index; SBP, systolic blood pressure; DBP, diastolic blood pressure; AST, aspartate aminotransferase; ALT, alanine aminotransferase; GGT, gamma- glutamyl transferase; TG,</w:t>
      </w:r>
      <w:r>
        <w:rPr>
          <w:rFonts w:ascii="Times New Roman" w:cs="Times New Roman" w:hAnsi="Times New Roman"/>
          <w:color w:val="333333"/>
          <w:szCs w:val="21"/>
          <w:shd w:val="clear" w:color="auto" w:fill="ffffff"/>
        </w:rPr>
        <w:t xml:space="preserve"> </w:t>
      </w:r>
      <w:r>
        <w:rPr>
          <w:rFonts w:ascii="Times New Roman" w:cs="Times New Roman" w:hAnsi="Times New Roman"/>
          <w:szCs w:val="21"/>
        </w:rPr>
        <w:t>triglyceride; FBG, fasting blood glucose; LDLC, low density lipoprotein cholesterol; HDLC, high density lipoprotein cholesterol; TC,</w:t>
      </w:r>
      <w:r>
        <w:rPr>
          <w:rFonts w:ascii="Times New Roman" w:cs="Times New Roman" w:hAnsi="Times New Roman"/>
          <w:color w:val="333333"/>
          <w:szCs w:val="21"/>
          <w:shd w:val="clear" w:color="auto" w:fill="ffffff"/>
        </w:rPr>
        <w:t xml:space="preserve"> </w:t>
      </w:r>
      <w:r>
        <w:rPr>
          <w:rFonts w:ascii="Times New Roman" w:cs="Times New Roman" w:hAnsi="Times New Roman"/>
          <w:szCs w:val="21"/>
        </w:rPr>
        <w:t>total cholesterol.</w:t>
      </w:r>
    </w:p>
    <w:p>
      <w:pPr>
        <w:pStyle w:val="style0"/>
        <w:rPr>
          <w:rFonts w:ascii="Times New Roman" w:cs="Times New Roman" w:hAnsi="Times New Roman" w:hint="eastAsia"/>
          <w:szCs w:val="21"/>
        </w:rPr>
      </w:pPr>
    </w:p>
    <w:sectPr>
      <w:pgSz w:w="11906" w:h="16838" w:orient="portrait"/>
      <w:pgMar w:top="1701" w:right="1418" w:bottom="170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7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Words>324</Words>
  <Pages>3</Pages>
  <Characters>2301</Characters>
  <Application>WPS Office</Application>
  <DocSecurity>0</DocSecurity>
  <Paragraphs>286</Paragraphs>
  <ScaleCrop>false</ScaleCrop>
  <LinksUpToDate>false</LinksUpToDate>
  <CharactersWithSpaces>2503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2020-06-17T13:37:00Z</dcterms:created>
  <dc:creator>2362622678@qq.com</dc:creator>
  <lastModifiedBy>VCE-AL00</lastModifiedBy>
  <dcterms:modified xsi:type="dcterms:W3CDTF">2020-10-17T16:19:27Z</dcterms:modified>
  <revision>11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