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83D7AC">
      <w:pPr>
        <w:pStyle w:val="3"/>
        <w:jc w:val="both"/>
        <w:rPr>
          <w:rFonts w:hint="default" w:ascii="Arial" w:hAnsi="Arial" w:cs="Arial"/>
          <w:color w:val="auto"/>
        </w:rPr>
      </w:pPr>
      <w:r>
        <w:rPr>
          <w:rFonts w:hint="default" w:ascii="Arial" w:hAnsi="Arial" w:cs="Arial"/>
          <w:color w:val="auto"/>
        </w:rPr>
        <w:t>Supplementary Information</w:t>
      </w:r>
    </w:p>
    <w:p w14:paraId="36233068">
      <w:pPr>
        <w:pStyle w:val="26"/>
        <w:jc w:val="center"/>
        <w:rPr>
          <w:rFonts w:hint="default" w:ascii="Arial" w:hAnsi="Arial" w:cs="Arial"/>
          <w:color w:val="auto"/>
        </w:rPr>
      </w:pPr>
      <w:r>
        <w:rPr>
          <w:rFonts w:hint="default" w:ascii="Arial" w:hAnsi="Arial" w:cs="Arial"/>
          <w:b/>
          <w:color w:val="auto"/>
          <w:sz w:val="24"/>
        </w:rPr>
        <w:t>Emotional distress predicts later problematic digital use in adolescents</w:t>
      </w:r>
    </w:p>
    <w:p w14:paraId="5EE5E35B">
      <w:pPr>
        <w:pStyle w:val="4"/>
        <w:jc w:val="both"/>
        <w:rPr>
          <w:rFonts w:hint="default" w:ascii="Arial" w:hAnsi="Arial" w:cs="Arial"/>
          <w:color w:val="auto"/>
        </w:rPr>
      </w:pPr>
      <w:r>
        <w:rPr>
          <w:rFonts w:hint="default" w:ascii="Arial" w:hAnsi="Arial" w:cs="Arial"/>
          <w:color w:val="auto"/>
        </w:rPr>
        <w:t>Contents</w:t>
      </w:r>
    </w:p>
    <w:p w14:paraId="7F123942">
      <w:pPr>
        <w:spacing w:after="40"/>
        <w:jc w:val="both"/>
        <w:rPr>
          <w:rFonts w:hint="default" w:ascii="Arial" w:hAnsi="Arial" w:cs="Arial"/>
          <w:color w:val="auto"/>
        </w:rPr>
      </w:pPr>
      <w:r>
        <w:rPr>
          <w:rFonts w:hint="default" w:ascii="Arial" w:hAnsi="Arial" w:cs="Arial"/>
          <w:color w:val="auto"/>
        </w:rPr>
        <w:t>1. Supplementary Notes</w:t>
      </w:r>
    </w:p>
    <w:p w14:paraId="792BA5FD">
      <w:pPr>
        <w:spacing w:after="40"/>
        <w:jc w:val="both"/>
        <w:rPr>
          <w:rFonts w:hint="default" w:ascii="Arial" w:hAnsi="Arial" w:cs="Arial"/>
          <w:color w:val="auto"/>
        </w:rPr>
      </w:pPr>
      <w:r>
        <w:rPr>
          <w:rFonts w:hint="default" w:ascii="Arial" w:hAnsi="Arial" w:cs="Arial"/>
          <w:color w:val="auto"/>
        </w:rPr>
        <w:t>2. Supplementary Tables (Tables S1–S18)</w:t>
      </w:r>
    </w:p>
    <w:p w14:paraId="1A8BD545">
      <w:pPr>
        <w:spacing w:after="40"/>
        <w:jc w:val="both"/>
        <w:rPr>
          <w:rFonts w:hint="default" w:ascii="Arial" w:hAnsi="Arial" w:cs="Arial"/>
          <w:color w:val="auto"/>
        </w:rPr>
      </w:pPr>
      <w:r>
        <w:rPr>
          <w:rFonts w:hint="default" w:ascii="Arial" w:hAnsi="Arial" w:cs="Arial"/>
          <w:color w:val="auto"/>
        </w:rPr>
        <w:t>3. Supplementary Figures (Figures S1–S20)</w:t>
      </w:r>
    </w:p>
    <w:p w14:paraId="144AB3AA">
      <w:pPr>
        <w:pStyle w:val="4"/>
        <w:jc w:val="both"/>
        <w:rPr>
          <w:rFonts w:hint="default" w:ascii="Arial" w:hAnsi="Arial" w:cs="Arial"/>
          <w:color w:val="auto"/>
        </w:rPr>
      </w:pPr>
      <w:r>
        <w:rPr>
          <w:rFonts w:hint="default" w:ascii="Arial" w:hAnsi="Arial" w:cs="Arial"/>
          <w:color w:val="auto"/>
        </w:rPr>
        <w:t>1. Supplementary Notes</w:t>
      </w:r>
    </w:p>
    <w:p w14:paraId="10DB2E78">
      <w:pPr>
        <w:pStyle w:val="5"/>
        <w:jc w:val="both"/>
        <w:rPr>
          <w:rFonts w:hint="default" w:ascii="Arial" w:hAnsi="Arial" w:cs="Arial"/>
          <w:color w:val="auto"/>
        </w:rPr>
      </w:pPr>
      <w:r>
        <w:rPr>
          <w:rFonts w:hint="default" w:ascii="Arial" w:hAnsi="Arial" w:cs="Arial"/>
          <w:color w:val="auto"/>
        </w:rPr>
        <w:t>N1. Domain-level strength and temporal directionality share an emotional peak</w:t>
      </w:r>
    </w:p>
    <w:p w14:paraId="43925D6D">
      <w:pPr>
        <w:jc w:val="both"/>
        <w:rPr>
          <w:rFonts w:hint="default" w:ascii="Arial" w:hAnsi="Arial" w:cs="Arial"/>
          <w:color w:val="auto"/>
        </w:rPr>
      </w:pPr>
      <w:r>
        <w:rPr>
          <w:rFonts w:hint="default" w:ascii="Arial" w:hAnsi="Arial" w:cs="Arial"/>
          <w:color w:val="auto"/>
        </w:rPr>
        <w:t>At the coarse six-domain level, baseline domain strength and longitudinal net directionality both ranked emotional distress first and physical activity last (descriptive Spearman rho = 0.71 across six domains; Table S14). The remaining domain ranks differed, and the item-level minimum</w:t>
      </w:r>
      <w:r>
        <w:rPr>
          <w:rFonts w:hint="eastAsia" w:eastAsia="宋体" w:cs="Arial"/>
          <w:color w:val="auto"/>
          <w:lang w:val="en-US" w:eastAsia="zh-CN"/>
        </w:rPr>
        <w:t xml:space="preserve"> </w:t>
      </w:r>
      <w:r>
        <w:rPr>
          <w:rFonts w:hint="default" w:ascii="Arial" w:hAnsi="Arial" w:cs="Arial"/>
          <w:color w:val="auto"/>
        </w:rPr>
        <w:t>dominating</w:t>
      </w:r>
      <w:r>
        <w:rPr>
          <w:rFonts w:hint="eastAsia" w:eastAsia="宋体" w:cs="Arial"/>
          <w:color w:val="auto"/>
          <w:lang w:val="en-US" w:eastAsia="zh-CN"/>
        </w:rPr>
        <w:t xml:space="preserve"> </w:t>
      </w:r>
      <w:r>
        <w:rPr>
          <w:rFonts w:hint="default" w:ascii="Arial" w:hAnsi="Arial" w:cs="Arial"/>
          <w:color w:val="auto"/>
        </w:rPr>
        <w:t>set</w:t>
      </w:r>
      <w:r>
        <w:rPr>
          <w:rFonts w:hint="eastAsia" w:eastAsia="宋体" w:cs="Arial"/>
          <w:color w:val="auto"/>
          <w:lang w:val="en-US" w:eastAsia="zh-CN"/>
        </w:rPr>
        <w:t xml:space="preserve"> (MDS)</w:t>
      </w:r>
      <w:r>
        <w:rPr>
          <w:rFonts w:hint="default" w:ascii="Arial" w:hAnsi="Arial" w:cs="Arial"/>
          <w:color w:val="auto"/>
        </w:rPr>
        <w:t xml:space="preserve"> analysis identified diet, SDQ and emotional items rather than a domain-level emotional core. The shared emotional peak therefore coexists with a separation between item-level structural coverage and longitudinal prediction.</w:t>
      </w:r>
    </w:p>
    <w:p w14:paraId="61170267">
      <w:pPr>
        <w:pStyle w:val="5"/>
        <w:jc w:val="both"/>
        <w:rPr>
          <w:rFonts w:hint="default" w:ascii="Arial" w:hAnsi="Arial" w:cs="Arial"/>
          <w:color w:val="auto"/>
        </w:rPr>
      </w:pPr>
      <w:r>
        <w:rPr>
          <w:rFonts w:hint="default" w:ascii="Arial" w:hAnsi="Arial" w:cs="Arial"/>
          <w:color w:val="auto"/>
        </w:rPr>
        <w:t>N2. Exploratory CLPN–DAG directional comparison</w:t>
      </w:r>
    </w:p>
    <w:p w14:paraId="4AC40129">
      <w:pPr>
        <w:jc w:val="both"/>
        <w:rPr>
          <w:rFonts w:hint="default" w:ascii="Arial" w:hAnsi="Arial" w:cs="Arial"/>
          <w:color w:val="auto"/>
        </w:rPr>
      </w:pPr>
      <w:r>
        <w:rPr>
          <w:rFonts w:hint="default" w:ascii="Arial" w:hAnsi="Arial" w:cs="Arial"/>
          <w:color w:val="auto"/>
        </w:rPr>
        <w:t>The longitudinal CLPN net directionality and the cross-sectional Bayesian DAG net out-degree were positively associated across six paired domains (Pearson r = 0.750, df = 4, two-sided P = 0.086; bootstrap 95% CI, −0.604 to 0.995; Spearman ρ = 0.618, two-sided P = 0.191; exact two-sided permutation P = 0.0778; Table S15). Leave-one-domain-out correlations remained positive (r = 0.603 to 0.892; Table S16), and DASS and ISI shared the highest Bayesian net out-degree (+2). DASS occupied the leading CLPN net source position. All DAG skeleton edges were reversible in the CPDAG, and both analyses used SEARCH data. The comparison is therefore exploratory, within-sample and non-causal.</w:t>
      </w:r>
    </w:p>
    <w:p w14:paraId="5C6D5045">
      <w:pPr>
        <w:pStyle w:val="5"/>
        <w:jc w:val="both"/>
        <w:rPr>
          <w:rFonts w:hint="default" w:ascii="Arial" w:hAnsi="Arial" w:cs="Arial"/>
          <w:color w:val="auto"/>
        </w:rPr>
      </w:pPr>
      <w:r>
        <w:rPr>
          <w:rFonts w:hint="default" w:ascii="Arial" w:hAnsi="Arial" w:cs="Arial"/>
          <w:color w:val="auto"/>
        </w:rPr>
        <w:t>N3. Estimator sensitivity of the structural-control solution</w:t>
      </w:r>
    </w:p>
    <w:p w14:paraId="68AD40C1">
      <w:pPr>
        <w:jc w:val="both"/>
        <w:rPr>
          <w:rFonts w:hint="default" w:ascii="Arial" w:hAnsi="Arial" w:cs="Arial"/>
          <w:color w:val="auto"/>
        </w:rPr>
      </w:pPr>
      <w:r>
        <w:rPr>
          <w:rFonts w:hint="default" w:ascii="Arial" w:hAnsi="Arial" w:cs="Arial"/>
          <w:color w:val="auto"/>
        </w:rPr>
        <w:t>Estimator analyses define the sensitivity of the item-level structural-control solution (Table S17, Figure S20). In the primary cross-validated graphical Lasso network (density = 0.518), exhaustive enumeration identified 10 minimum dominating sets of size three; DIET22, SDQ18 and DASS14 ranked first, second and third by control frequency (0.60, 0.50 and 0.40, respectively). Sparser EBICglasso networks (density = 0.246–0.284) expanded the MDS to five or six nodes and altered control-node membership, while the positive-edge network retained DIET22 as a leading control node. These analyses therefore define estimator sensitivity rather than demonstrating invariant control-node identity.</w:t>
      </w:r>
    </w:p>
    <w:p w14:paraId="599A1636">
      <w:pPr>
        <w:pStyle w:val="5"/>
        <w:jc w:val="both"/>
        <w:rPr>
          <w:rFonts w:hint="default" w:ascii="Arial" w:hAnsi="Arial" w:cs="Arial"/>
          <w:color w:val="auto"/>
        </w:rPr>
      </w:pPr>
      <w:r>
        <w:rPr>
          <w:rFonts w:hint="default" w:ascii="Arial" w:hAnsi="Arial" w:cs="Arial"/>
          <w:color w:val="auto"/>
        </w:rPr>
        <w:t>N4. Construct-level longitudinal validation in the UK Millennium Cohort Study</w:t>
      </w:r>
    </w:p>
    <w:p w14:paraId="0752F741">
      <w:pPr>
        <w:jc w:val="both"/>
        <w:rPr>
          <w:rFonts w:hint="default" w:ascii="Arial" w:hAnsi="Arial" w:cs="Arial"/>
          <w:color w:val="auto"/>
        </w:rPr>
      </w:pPr>
      <w:r>
        <w:rPr>
          <w:rFonts w:hint="default" w:ascii="Arial" w:hAnsi="Arial" w:cs="Arial"/>
          <w:color w:val="auto"/>
        </w:rPr>
        <w:t>Three findings define the construct-level MCS analysis (Table S7, Figure S14). First, social-media use occupied the strongest CLPN net sink position, and gaming also occupied a CLPN net sink position. Second, self-reported internalising distress occupied a CLPN net source position; its direct paths to later social-media use and gaming were negative. Third, hyperactivity/inattention occupied the leading CLPN net source position, and conduct problems also occupied a CLPN net source position. Both externalising domains showed positive paths to the two screen-related outcomes. MCS reproduced the CLPN net sink positions of screen-related behaviours and expanded the set of psychological domains occupying CLPN net source positions.</w:t>
      </w:r>
    </w:p>
    <w:p w14:paraId="14E41FBB">
      <w:pPr>
        <w:pStyle w:val="4"/>
        <w:jc w:val="both"/>
        <w:rPr>
          <w:rFonts w:hint="default" w:ascii="Arial" w:hAnsi="Arial" w:cs="Arial"/>
          <w:color w:val="auto"/>
        </w:rPr>
      </w:pPr>
      <w:r>
        <w:rPr>
          <w:rFonts w:hint="default" w:ascii="Arial" w:hAnsi="Arial" w:cs="Arial"/>
          <w:color w:val="auto"/>
        </w:rPr>
        <w:t>2. Supplementary Tables</w:t>
      </w:r>
    </w:p>
    <w:p w14:paraId="0EA1F55F">
      <w:pPr>
        <w:keepNext/>
        <w:spacing w:before="160" w:after="40"/>
        <w:jc w:val="left"/>
        <w:rPr>
          <w:rFonts w:hint="default" w:ascii="Arial" w:hAnsi="Arial" w:cs="Arial"/>
          <w:color w:val="auto"/>
          <w:sz w:val="22"/>
          <w:szCs w:val="22"/>
        </w:rPr>
      </w:pPr>
      <w:r>
        <w:rPr>
          <w:rFonts w:hint="default" w:ascii="Arial" w:hAnsi="Arial" w:cs="Arial"/>
          <w:color w:val="auto"/>
        </w:rPr>
        <w:t>Supplementary Table S1. Analytic samples</w:t>
      </w:r>
    </w:p>
    <w:tbl>
      <w:tblPr>
        <w:tblStyle w:val="32"/>
        <w:tblW w:w="5000" w:type="pct"/>
        <w:jc w:val="center"/>
        <w:tblLayout w:type="autofit"/>
        <w:tblCellMar>
          <w:top w:w="0" w:type="dxa"/>
          <w:left w:w="108" w:type="dxa"/>
          <w:bottom w:w="0" w:type="dxa"/>
          <w:right w:w="108" w:type="dxa"/>
        </w:tblCellMar>
      </w:tblPr>
      <w:tblGrid>
        <w:gridCol w:w="1594"/>
        <w:gridCol w:w="2109"/>
        <w:gridCol w:w="1246"/>
        <w:gridCol w:w="3060"/>
        <w:gridCol w:w="1511"/>
      </w:tblGrid>
      <w:tr w14:paraId="56F4C02F">
        <w:tblPrEx>
          <w:tblCellMar>
            <w:top w:w="0" w:type="dxa"/>
            <w:left w:w="108" w:type="dxa"/>
            <w:bottom w:w="0" w:type="dxa"/>
            <w:right w:w="108" w:type="dxa"/>
          </w:tblCellMar>
        </w:tblPrEx>
        <w:trPr>
          <w:cantSplit/>
          <w:trHeight w:val="0" w:hRule="atLeast"/>
          <w:tblHeader/>
          <w:jc w:val="center"/>
        </w:trPr>
        <w:tc>
          <w:tcPr>
            <w:tcW w:w="837" w:type="pct"/>
            <w:tcBorders>
              <w:top w:val="single" w:color="000000" w:themeColor="dark1" w:sz="12" w:space="0"/>
              <w:left w:val="nil"/>
              <w:bottom w:val="single" w:color="000000" w:themeColor="dark1" w:sz="6" w:space="0"/>
              <w:right w:val="nil"/>
            </w:tcBorders>
            <w:shd w:val="clear" w:color="auto" w:fill="FFFFFF"/>
            <w:noWrap w:val="0"/>
            <w:tcMar>
              <w:top w:w="40" w:type="dxa"/>
              <w:left w:w="80" w:type="dxa"/>
              <w:bottom w:w="40" w:type="dxa"/>
              <w:right w:w="80" w:type="dxa"/>
            </w:tcMar>
            <w:vAlign w:val="center"/>
          </w:tcPr>
          <w:p w14:paraId="764EE5F8">
            <w:pPr>
              <w:snapToGrid w:val="0"/>
              <w:spacing w:before="0" w:after="0" w:line="240" w:lineRule="auto"/>
              <w:ind w:left="0" w:leftChars="0" w:right="0" w:rightChars="0" w:firstLine="0" w:firstLineChars="0"/>
              <w:jc w:val="center"/>
              <w:rPr>
                <w:rFonts w:hint="default" w:ascii="Arial" w:hAnsi="Arial" w:eastAsia="ＭＳ 明朝" w:cs="Arial"/>
                <w:b/>
                <w:i w:val="0"/>
                <w:color w:val="auto"/>
                <w:sz w:val="18"/>
                <w:szCs w:val="18"/>
              </w:rPr>
            </w:pPr>
            <w:r>
              <w:rPr>
                <w:rFonts w:hint="default" w:ascii="Arial" w:hAnsi="Arial" w:eastAsia="ＭＳ 明朝" w:cs="Arial"/>
                <w:b/>
                <w:i w:val="0"/>
                <w:color w:val="auto"/>
                <w:sz w:val="18"/>
                <w:szCs w:val="18"/>
              </w:rPr>
              <w:t>Sample</w:t>
            </w:r>
          </w:p>
        </w:tc>
        <w:tc>
          <w:tcPr>
            <w:tcW w:w="1107" w:type="pct"/>
            <w:tcBorders>
              <w:top w:val="single" w:color="000000" w:themeColor="dark1" w:sz="12" w:space="0"/>
              <w:left w:val="nil"/>
              <w:bottom w:val="single" w:color="000000" w:themeColor="dark1" w:sz="6" w:space="0"/>
              <w:right w:val="nil"/>
            </w:tcBorders>
            <w:shd w:val="clear" w:color="auto" w:fill="FFFFFF"/>
            <w:noWrap w:val="0"/>
            <w:tcMar>
              <w:top w:w="40" w:type="dxa"/>
              <w:left w:w="80" w:type="dxa"/>
              <w:bottom w:w="40" w:type="dxa"/>
              <w:right w:w="80" w:type="dxa"/>
            </w:tcMar>
            <w:vAlign w:val="center"/>
          </w:tcPr>
          <w:p w14:paraId="4BD95E98">
            <w:pPr>
              <w:snapToGrid w:val="0"/>
              <w:spacing w:before="0" w:after="0" w:line="240" w:lineRule="auto"/>
              <w:ind w:left="0" w:leftChars="0" w:right="0" w:rightChars="0" w:firstLine="0" w:firstLineChars="0"/>
              <w:jc w:val="center"/>
              <w:rPr>
                <w:rFonts w:hint="default" w:ascii="Arial" w:hAnsi="Arial" w:eastAsia="ＭＳ 明朝" w:cs="Arial"/>
                <w:b/>
                <w:i w:val="0"/>
                <w:color w:val="auto"/>
                <w:sz w:val="18"/>
                <w:szCs w:val="18"/>
              </w:rPr>
            </w:pPr>
            <w:r>
              <w:rPr>
                <w:rFonts w:hint="default" w:ascii="Arial" w:hAnsi="Arial" w:eastAsia="ＭＳ 明朝" w:cs="Arial"/>
                <w:b/>
                <w:i w:val="0"/>
                <w:color w:val="auto"/>
                <w:sz w:val="18"/>
                <w:szCs w:val="18"/>
              </w:rPr>
              <w:t>Role</w:t>
            </w:r>
          </w:p>
        </w:tc>
        <w:tc>
          <w:tcPr>
            <w:tcW w:w="654" w:type="pct"/>
            <w:tcBorders>
              <w:top w:val="single" w:color="000000" w:themeColor="dark1" w:sz="12" w:space="0"/>
              <w:left w:val="nil"/>
              <w:bottom w:val="single" w:color="000000" w:themeColor="dark1" w:sz="6" w:space="0"/>
              <w:right w:val="nil"/>
            </w:tcBorders>
            <w:shd w:val="clear" w:color="auto" w:fill="FFFFFF"/>
            <w:noWrap w:val="0"/>
            <w:tcMar>
              <w:top w:w="40" w:type="dxa"/>
              <w:left w:w="80" w:type="dxa"/>
              <w:bottom w:w="40" w:type="dxa"/>
              <w:right w:w="80" w:type="dxa"/>
            </w:tcMar>
            <w:vAlign w:val="center"/>
          </w:tcPr>
          <w:p w14:paraId="6D0EBEAA">
            <w:pPr>
              <w:snapToGrid w:val="0"/>
              <w:spacing w:before="0" w:after="0" w:line="240" w:lineRule="auto"/>
              <w:ind w:left="0" w:leftChars="0" w:right="0" w:rightChars="0" w:firstLine="0" w:firstLineChars="0"/>
              <w:jc w:val="center"/>
              <w:rPr>
                <w:rFonts w:hint="default" w:ascii="Arial" w:hAnsi="Arial" w:eastAsia="ＭＳ 明朝" w:cs="Arial"/>
                <w:b/>
                <w:i w:val="0"/>
                <w:color w:val="auto"/>
                <w:sz w:val="18"/>
                <w:szCs w:val="18"/>
              </w:rPr>
            </w:pPr>
            <w:r>
              <w:rPr>
                <w:rFonts w:hint="default" w:ascii="Arial" w:hAnsi="Arial" w:eastAsia="ＭＳ 明朝" w:cs="Arial"/>
                <w:b/>
                <w:i w:val="0"/>
                <w:color w:val="auto"/>
                <w:sz w:val="18"/>
                <w:szCs w:val="18"/>
              </w:rPr>
              <w:t>N</w:t>
            </w:r>
          </w:p>
        </w:tc>
        <w:tc>
          <w:tcPr>
            <w:tcW w:w="1606" w:type="pct"/>
            <w:tcBorders>
              <w:top w:val="single" w:color="000000" w:themeColor="dark1" w:sz="12" w:space="0"/>
              <w:left w:val="nil"/>
              <w:bottom w:val="single" w:color="000000" w:themeColor="dark1" w:sz="6" w:space="0"/>
              <w:right w:val="nil"/>
            </w:tcBorders>
            <w:shd w:val="clear" w:color="auto" w:fill="FFFFFF"/>
            <w:noWrap w:val="0"/>
            <w:tcMar>
              <w:top w:w="40" w:type="dxa"/>
              <w:left w:w="80" w:type="dxa"/>
              <w:bottom w:w="40" w:type="dxa"/>
              <w:right w:w="80" w:type="dxa"/>
            </w:tcMar>
            <w:vAlign w:val="center"/>
          </w:tcPr>
          <w:p w14:paraId="69B56A9A">
            <w:pPr>
              <w:snapToGrid w:val="0"/>
              <w:spacing w:before="0" w:after="0" w:line="240" w:lineRule="auto"/>
              <w:ind w:left="0" w:leftChars="0" w:right="0" w:rightChars="0" w:firstLine="0" w:firstLineChars="0"/>
              <w:jc w:val="center"/>
              <w:rPr>
                <w:rFonts w:hint="default" w:ascii="Arial" w:hAnsi="Arial" w:eastAsia="ＭＳ 明朝" w:cs="Arial"/>
                <w:b/>
                <w:i w:val="0"/>
                <w:color w:val="auto"/>
                <w:sz w:val="18"/>
                <w:szCs w:val="18"/>
              </w:rPr>
            </w:pPr>
            <w:r>
              <w:rPr>
                <w:rFonts w:hint="default" w:ascii="Arial" w:hAnsi="Arial" w:eastAsia="ＭＳ 明朝" w:cs="Arial"/>
                <w:b/>
                <w:i w:val="0"/>
                <w:color w:val="auto"/>
                <w:sz w:val="18"/>
                <w:szCs w:val="18"/>
              </w:rPr>
              <w:t>Composition</w:t>
            </w:r>
          </w:p>
        </w:tc>
        <w:tc>
          <w:tcPr>
            <w:tcW w:w="793" w:type="pct"/>
            <w:tcBorders>
              <w:top w:val="single" w:color="000000" w:themeColor="dark1" w:sz="12" w:space="0"/>
              <w:left w:val="nil"/>
              <w:bottom w:val="single" w:color="000000" w:themeColor="dark1" w:sz="6" w:space="0"/>
              <w:right w:val="nil"/>
            </w:tcBorders>
            <w:shd w:val="clear" w:color="auto" w:fill="FFFFFF"/>
            <w:noWrap w:val="0"/>
            <w:tcMar>
              <w:top w:w="40" w:type="dxa"/>
              <w:left w:w="80" w:type="dxa"/>
              <w:bottom w:w="40" w:type="dxa"/>
              <w:right w:w="80" w:type="dxa"/>
            </w:tcMar>
            <w:vAlign w:val="center"/>
          </w:tcPr>
          <w:p w14:paraId="6FC796E5">
            <w:pPr>
              <w:snapToGrid w:val="0"/>
              <w:spacing w:before="0" w:after="0" w:line="240" w:lineRule="auto"/>
              <w:ind w:left="0" w:leftChars="0" w:right="0" w:rightChars="0" w:firstLine="0" w:firstLineChars="0"/>
              <w:jc w:val="center"/>
              <w:rPr>
                <w:rFonts w:hint="default" w:ascii="Arial" w:hAnsi="Arial" w:eastAsia="ＭＳ 明朝" w:cs="Arial"/>
                <w:b/>
                <w:i w:val="0"/>
                <w:color w:val="auto"/>
                <w:sz w:val="18"/>
                <w:szCs w:val="18"/>
              </w:rPr>
            </w:pPr>
            <w:r>
              <w:rPr>
                <w:rFonts w:hint="default" w:ascii="Arial" w:hAnsi="Arial" w:eastAsia="ＭＳ 明朝" w:cs="Arial"/>
                <w:b/>
                <w:i w:val="0"/>
                <w:color w:val="auto"/>
                <w:sz w:val="18"/>
                <w:szCs w:val="18"/>
              </w:rPr>
              <w:t>Network nodes</w:t>
            </w:r>
          </w:p>
        </w:tc>
      </w:tr>
      <w:tr w14:paraId="3441F9D4">
        <w:tblPrEx>
          <w:tblCellMar>
            <w:top w:w="0" w:type="dxa"/>
            <w:left w:w="108" w:type="dxa"/>
            <w:bottom w:w="0" w:type="dxa"/>
            <w:right w:w="108" w:type="dxa"/>
          </w:tblCellMar>
        </w:tblPrEx>
        <w:trPr>
          <w:cantSplit/>
          <w:trHeight w:val="0" w:hRule="atLeast"/>
          <w:jc w:val="center"/>
        </w:trPr>
        <w:tc>
          <w:tcPr>
            <w:tcW w:w="837" w:type="pct"/>
            <w:tcBorders>
              <w:top w:val="single" w:color="000000" w:themeColor="dark1" w:sz="6" w:space="0"/>
              <w:left w:val="nil"/>
              <w:bottom w:val="nil"/>
              <w:right w:val="nil"/>
            </w:tcBorders>
            <w:shd w:val="clear" w:color="auto" w:fill="FFFFFF"/>
            <w:noWrap w:val="0"/>
            <w:tcMar>
              <w:top w:w="40" w:type="dxa"/>
              <w:left w:w="80" w:type="dxa"/>
              <w:bottom w:w="40" w:type="dxa"/>
              <w:right w:w="80" w:type="dxa"/>
            </w:tcMar>
            <w:vAlign w:val="center"/>
          </w:tcPr>
          <w:p w14:paraId="067DA19F">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Baseline (Wave 1)</w:t>
            </w:r>
          </w:p>
        </w:tc>
        <w:tc>
          <w:tcPr>
            <w:tcW w:w="1107" w:type="pct"/>
            <w:tcBorders>
              <w:top w:val="single" w:color="000000" w:themeColor="dark1" w:sz="6" w:space="0"/>
              <w:left w:val="nil"/>
              <w:bottom w:val="nil"/>
              <w:right w:val="nil"/>
            </w:tcBorders>
            <w:shd w:val="clear" w:color="auto" w:fill="FFFFFF"/>
            <w:noWrap w:val="0"/>
            <w:tcMar>
              <w:top w:w="40" w:type="dxa"/>
              <w:left w:w="80" w:type="dxa"/>
              <w:bottom w:w="40" w:type="dxa"/>
              <w:right w:w="80" w:type="dxa"/>
            </w:tcMar>
            <w:vAlign w:val="center"/>
          </w:tcPr>
          <w:p w14:paraId="1CADFC5F">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Full cross-sectional network</w:t>
            </w:r>
          </w:p>
        </w:tc>
        <w:tc>
          <w:tcPr>
            <w:tcW w:w="654" w:type="pct"/>
            <w:tcBorders>
              <w:top w:val="single" w:color="000000" w:themeColor="dark1" w:sz="6" w:space="0"/>
              <w:left w:val="nil"/>
              <w:bottom w:val="nil"/>
              <w:right w:val="nil"/>
            </w:tcBorders>
            <w:shd w:val="clear" w:color="auto" w:fill="FFFFFF"/>
            <w:noWrap w:val="0"/>
            <w:tcMar>
              <w:top w:w="40" w:type="dxa"/>
              <w:left w:w="80" w:type="dxa"/>
              <w:bottom w:w="40" w:type="dxa"/>
              <w:right w:w="80" w:type="dxa"/>
            </w:tcMar>
            <w:vAlign w:val="center"/>
          </w:tcPr>
          <w:p w14:paraId="59B79769">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10,356</w:t>
            </w:r>
          </w:p>
        </w:tc>
        <w:tc>
          <w:tcPr>
            <w:tcW w:w="1606" w:type="pct"/>
            <w:tcBorders>
              <w:top w:val="single" w:color="000000" w:themeColor="dark1" w:sz="6" w:space="0"/>
              <w:left w:val="nil"/>
              <w:bottom w:val="nil"/>
              <w:right w:val="nil"/>
            </w:tcBorders>
            <w:shd w:val="clear" w:color="auto" w:fill="FFFFFF"/>
            <w:noWrap w:val="0"/>
            <w:tcMar>
              <w:top w:w="40" w:type="dxa"/>
              <w:left w:w="80" w:type="dxa"/>
              <w:bottom w:w="40" w:type="dxa"/>
              <w:right w:w="80" w:type="dxa"/>
            </w:tcMar>
            <w:vAlign w:val="center"/>
          </w:tcPr>
          <w:p w14:paraId="73387B3F">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52.2% male; mean age 13.96 (SD 2.42)</w:t>
            </w:r>
          </w:p>
        </w:tc>
        <w:tc>
          <w:tcPr>
            <w:tcW w:w="793" w:type="pct"/>
            <w:tcBorders>
              <w:top w:val="single" w:color="000000" w:themeColor="dark1" w:sz="6" w:space="0"/>
              <w:left w:val="nil"/>
              <w:bottom w:val="nil"/>
              <w:right w:val="nil"/>
            </w:tcBorders>
            <w:shd w:val="clear" w:color="auto" w:fill="FFFFFF"/>
            <w:noWrap w:val="0"/>
            <w:tcMar>
              <w:top w:w="40" w:type="dxa"/>
              <w:left w:w="80" w:type="dxa"/>
              <w:bottom w:w="40" w:type="dxa"/>
              <w:right w:w="80" w:type="dxa"/>
            </w:tcMar>
            <w:vAlign w:val="center"/>
          </w:tcPr>
          <w:p w14:paraId="58DD1380">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104 items / 6 domains</w:t>
            </w:r>
          </w:p>
        </w:tc>
      </w:tr>
      <w:tr w14:paraId="54462D5D">
        <w:tblPrEx>
          <w:tblCellMar>
            <w:top w:w="0" w:type="dxa"/>
            <w:left w:w="108" w:type="dxa"/>
            <w:bottom w:w="0" w:type="dxa"/>
            <w:right w:w="108" w:type="dxa"/>
          </w:tblCellMar>
        </w:tblPrEx>
        <w:trPr>
          <w:cantSplit/>
          <w:trHeight w:val="0" w:hRule="atLeast"/>
          <w:jc w:val="center"/>
        </w:trPr>
        <w:tc>
          <w:tcPr>
            <w:tcW w:w="837" w:type="pct"/>
            <w:tcBorders>
              <w:top w:val="nil"/>
              <w:left w:val="nil"/>
              <w:bottom w:val="nil"/>
              <w:right w:val="nil"/>
            </w:tcBorders>
            <w:shd w:val="clear" w:color="auto" w:fill="FFFFFF"/>
            <w:noWrap w:val="0"/>
            <w:tcMar>
              <w:top w:w="40" w:type="dxa"/>
              <w:left w:w="80" w:type="dxa"/>
              <w:bottom w:w="40" w:type="dxa"/>
              <w:right w:w="80" w:type="dxa"/>
            </w:tcMar>
            <w:vAlign w:val="center"/>
          </w:tcPr>
          <w:p w14:paraId="621A1C2C">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Longitudinal matched</w:t>
            </w:r>
          </w:p>
        </w:tc>
        <w:tc>
          <w:tcPr>
            <w:tcW w:w="1107" w:type="pct"/>
            <w:tcBorders>
              <w:top w:val="nil"/>
              <w:left w:val="nil"/>
              <w:bottom w:val="nil"/>
              <w:right w:val="nil"/>
            </w:tcBorders>
            <w:shd w:val="clear" w:color="auto" w:fill="FFFFFF"/>
            <w:noWrap w:val="0"/>
            <w:tcMar>
              <w:top w:w="40" w:type="dxa"/>
              <w:left w:w="80" w:type="dxa"/>
              <w:bottom w:w="40" w:type="dxa"/>
              <w:right w:w="80" w:type="dxa"/>
            </w:tcMar>
            <w:vAlign w:val="center"/>
          </w:tcPr>
          <w:p w14:paraId="1EB79BE1">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Wave 1 ↔ Wave 3 (~1 yr), CLPN</w:t>
            </w:r>
          </w:p>
        </w:tc>
        <w:tc>
          <w:tcPr>
            <w:tcW w:w="654" w:type="pct"/>
            <w:tcBorders>
              <w:top w:val="nil"/>
              <w:left w:val="nil"/>
              <w:bottom w:val="nil"/>
              <w:right w:val="nil"/>
            </w:tcBorders>
            <w:shd w:val="clear" w:color="auto" w:fill="FFFFFF"/>
            <w:noWrap w:val="0"/>
            <w:tcMar>
              <w:top w:w="40" w:type="dxa"/>
              <w:left w:w="80" w:type="dxa"/>
              <w:bottom w:w="40" w:type="dxa"/>
              <w:right w:w="80" w:type="dxa"/>
            </w:tcMar>
            <w:vAlign w:val="center"/>
          </w:tcPr>
          <w:p w14:paraId="04E3BCB1">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6,092</w:t>
            </w:r>
          </w:p>
        </w:tc>
        <w:tc>
          <w:tcPr>
            <w:tcW w:w="1606" w:type="pct"/>
            <w:tcBorders>
              <w:top w:val="nil"/>
              <w:left w:val="nil"/>
              <w:bottom w:val="nil"/>
              <w:right w:val="nil"/>
            </w:tcBorders>
            <w:shd w:val="clear" w:color="auto" w:fill="FFFFFF"/>
            <w:noWrap w:val="0"/>
            <w:tcMar>
              <w:top w:w="40" w:type="dxa"/>
              <w:left w:w="80" w:type="dxa"/>
              <w:bottom w:w="40" w:type="dxa"/>
              <w:right w:w="80" w:type="dxa"/>
            </w:tcMar>
            <w:vAlign w:val="center"/>
          </w:tcPr>
          <w:p w14:paraId="2FCA7D63">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matched on de-identified hash key</w:t>
            </w:r>
          </w:p>
        </w:tc>
        <w:tc>
          <w:tcPr>
            <w:tcW w:w="793" w:type="pct"/>
            <w:tcBorders>
              <w:top w:val="nil"/>
              <w:left w:val="nil"/>
              <w:bottom w:val="nil"/>
              <w:right w:val="nil"/>
            </w:tcBorders>
            <w:shd w:val="clear" w:color="auto" w:fill="FFFFFF"/>
            <w:noWrap w:val="0"/>
            <w:tcMar>
              <w:top w:w="40" w:type="dxa"/>
              <w:left w:w="80" w:type="dxa"/>
              <w:bottom w:w="40" w:type="dxa"/>
              <w:right w:w="80" w:type="dxa"/>
            </w:tcMar>
            <w:vAlign w:val="center"/>
          </w:tcPr>
          <w:p w14:paraId="06390374">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6 domain scores</w:t>
            </w:r>
          </w:p>
        </w:tc>
      </w:tr>
      <w:tr w14:paraId="4FD34538">
        <w:tblPrEx>
          <w:tblCellMar>
            <w:top w:w="0" w:type="dxa"/>
            <w:left w:w="108" w:type="dxa"/>
            <w:bottom w:w="0" w:type="dxa"/>
            <w:right w:w="108" w:type="dxa"/>
          </w:tblCellMar>
        </w:tblPrEx>
        <w:trPr>
          <w:cantSplit/>
          <w:trHeight w:val="0" w:hRule="atLeast"/>
          <w:jc w:val="center"/>
        </w:trPr>
        <w:tc>
          <w:tcPr>
            <w:tcW w:w="837" w:type="pct"/>
            <w:tcBorders>
              <w:top w:val="nil"/>
              <w:left w:val="nil"/>
              <w:bottom w:val="nil"/>
              <w:right w:val="nil"/>
            </w:tcBorders>
            <w:shd w:val="clear" w:color="auto" w:fill="FFFFFF"/>
            <w:noWrap w:val="0"/>
            <w:tcMar>
              <w:top w:w="40" w:type="dxa"/>
              <w:left w:w="80" w:type="dxa"/>
              <w:bottom w:w="40" w:type="dxa"/>
              <w:right w:w="80" w:type="dxa"/>
            </w:tcMar>
            <w:vAlign w:val="center"/>
          </w:tcPr>
          <w:p w14:paraId="3B51D1BF">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GMP/MHQ young adults</w:t>
            </w:r>
          </w:p>
        </w:tc>
        <w:tc>
          <w:tcPr>
            <w:tcW w:w="1107" w:type="pct"/>
            <w:tcBorders>
              <w:top w:val="nil"/>
              <w:left w:val="nil"/>
              <w:bottom w:val="nil"/>
              <w:right w:val="nil"/>
            </w:tcBorders>
            <w:shd w:val="clear" w:color="auto" w:fill="FFFFFF"/>
            <w:noWrap w:val="0"/>
            <w:tcMar>
              <w:top w:w="40" w:type="dxa"/>
              <w:left w:w="80" w:type="dxa"/>
              <w:bottom w:w="40" w:type="dxa"/>
              <w:right w:w="80" w:type="dxa"/>
            </w:tcMar>
            <w:vAlign w:val="center"/>
          </w:tcPr>
          <w:p w14:paraId="29F16639">
            <w:pPr>
              <w:spacing w:before="0" w:after="0" w:line="240" w:lineRule="auto"/>
              <w:jc w:val="center"/>
              <w:rPr>
                <w:rFonts w:hint="default" w:ascii="Arial" w:hAnsi="Arial" w:cs="Arial"/>
                <w:color w:val="auto"/>
                <w:sz w:val="18"/>
                <w:szCs w:val="18"/>
              </w:rPr>
            </w:pPr>
            <w:r>
              <w:rPr>
                <w:rFonts w:hint="default" w:ascii="Arial" w:hAnsi="Arial" w:cs="Arial"/>
                <w:color w:val="auto"/>
                <w:sz w:val="18"/>
                <w:szCs w:val="18"/>
              </w:rPr>
              <w:t>Cross-sectional construct-level triangulation</w:t>
            </w:r>
          </w:p>
        </w:tc>
        <w:tc>
          <w:tcPr>
            <w:tcW w:w="654" w:type="pct"/>
            <w:tcBorders>
              <w:top w:val="nil"/>
              <w:left w:val="nil"/>
              <w:bottom w:val="nil"/>
              <w:right w:val="nil"/>
            </w:tcBorders>
            <w:shd w:val="clear" w:color="auto" w:fill="FFFFFF"/>
            <w:noWrap w:val="0"/>
            <w:tcMar>
              <w:top w:w="40" w:type="dxa"/>
              <w:left w:w="80" w:type="dxa"/>
              <w:bottom w:w="40" w:type="dxa"/>
              <w:right w:w="80" w:type="dxa"/>
            </w:tcMar>
            <w:vAlign w:val="center"/>
          </w:tcPr>
          <w:p w14:paraId="1D9CACB7">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147,506</w:t>
            </w:r>
          </w:p>
        </w:tc>
        <w:tc>
          <w:tcPr>
            <w:tcW w:w="1606" w:type="pct"/>
            <w:tcBorders>
              <w:top w:val="nil"/>
              <w:left w:val="nil"/>
              <w:bottom w:val="nil"/>
              <w:right w:val="nil"/>
            </w:tcBorders>
            <w:shd w:val="clear" w:color="auto" w:fill="FFFFFF"/>
            <w:noWrap w:val="0"/>
            <w:tcMar>
              <w:top w:w="40" w:type="dxa"/>
              <w:left w:w="80" w:type="dxa"/>
              <w:bottom w:w="40" w:type="dxa"/>
              <w:right w:w="80" w:type="dxa"/>
            </w:tcMar>
            <w:vAlign w:val="center"/>
          </w:tcPr>
          <w:p w14:paraId="1E9AB762">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18–24 y; pooled multinational sample</w:t>
            </w:r>
          </w:p>
        </w:tc>
        <w:tc>
          <w:tcPr>
            <w:tcW w:w="793" w:type="pct"/>
            <w:tcBorders>
              <w:top w:val="nil"/>
              <w:left w:val="nil"/>
              <w:bottom w:val="nil"/>
              <w:right w:val="nil"/>
            </w:tcBorders>
            <w:shd w:val="clear" w:color="auto" w:fill="FFFFFF"/>
            <w:noWrap w:val="0"/>
            <w:tcMar>
              <w:top w:w="40" w:type="dxa"/>
              <w:left w:w="80" w:type="dxa"/>
              <w:bottom w:w="40" w:type="dxa"/>
              <w:right w:w="80" w:type="dxa"/>
            </w:tcMar>
            <w:vAlign w:val="center"/>
          </w:tcPr>
          <w:p w14:paraId="3079E858">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6 mapped domains</w:t>
            </w:r>
          </w:p>
        </w:tc>
      </w:tr>
      <w:tr w14:paraId="5C276BB7">
        <w:tblPrEx>
          <w:tblCellMar>
            <w:top w:w="0" w:type="dxa"/>
            <w:left w:w="108" w:type="dxa"/>
            <w:bottom w:w="0" w:type="dxa"/>
            <w:right w:w="108" w:type="dxa"/>
          </w:tblCellMar>
        </w:tblPrEx>
        <w:trPr>
          <w:cantSplit/>
          <w:trHeight w:val="0" w:hRule="atLeast"/>
          <w:jc w:val="center"/>
        </w:trPr>
        <w:tc>
          <w:tcPr>
            <w:tcW w:w="837" w:type="pct"/>
            <w:tcBorders>
              <w:top w:val="nil"/>
              <w:left w:val="nil"/>
              <w:bottom w:val="single" w:color="000000" w:themeColor="dark1" w:sz="12" w:space="0"/>
              <w:right w:val="nil"/>
            </w:tcBorders>
            <w:shd w:val="clear" w:color="auto" w:fill="FFFFFF"/>
            <w:noWrap w:val="0"/>
            <w:tcMar>
              <w:top w:w="40" w:type="dxa"/>
              <w:left w:w="80" w:type="dxa"/>
              <w:bottom w:w="40" w:type="dxa"/>
              <w:right w:w="80" w:type="dxa"/>
            </w:tcMar>
            <w:vAlign w:val="center"/>
          </w:tcPr>
          <w:p w14:paraId="77135998">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MCS (UK) matched</w:t>
            </w:r>
          </w:p>
        </w:tc>
        <w:tc>
          <w:tcPr>
            <w:tcW w:w="1107" w:type="pct"/>
            <w:tcBorders>
              <w:top w:val="nil"/>
              <w:left w:val="nil"/>
              <w:bottom w:val="single" w:color="000000" w:themeColor="dark1" w:sz="12" w:space="0"/>
              <w:right w:val="nil"/>
            </w:tcBorders>
            <w:shd w:val="clear" w:color="auto" w:fill="FFFFFF"/>
            <w:noWrap w:val="0"/>
            <w:tcMar>
              <w:top w:w="40" w:type="dxa"/>
              <w:left w:w="80" w:type="dxa"/>
              <w:bottom w:w="40" w:type="dxa"/>
              <w:right w:w="80" w:type="dxa"/>
            </w:tcMar>
            <w:vAlign w:val="center"/>
          </w:tcPr>
          <w:p w14:paraId="643666DB">
            <w:pPr>
              <w:spacing w:before="0" w:after="0" w:line="240" w:lineRule="auto"/>
              <w:jc w:val="center"/>
              <w:rPr>
                <w:rFonts w:hint="default" w:ascii="Arial" w:hAnsi="Arial" w:cs="Arial"/>
                <w:color w:val="auto"/>
                <w:sz w:val="18"/>
                <w:szCs w:val="18"/>
              </w:rPr>
            </w:pPr>
            <w:r>
              <w:rPr>
                <w:rFonts w:hint="default" w:ascii="Arial" w:hAnsi="Arial" w:cs="Arial"/>
                <w:color w:val="auto"/>
                <w:sz w:val="18"/>
                <w:szCs w:val="18"/>
              </w:rPr>
              <w:t>External longitudinal analysis</w:t>
            </w:r>
          </w:p>
        </w:tc>
        <w:tc>
          <w:tcPr>
            <w:tcW w:w="654" w:type="pct"/>
            <w:tcBorders>
              <w:top w:val="nil"/>
              <w:left w:val="nil"/>
              <w:bottom w:val="single" w:color="000000" w:themeColor="dark1" w:sz="12" w:space="0"/>
              <w:right w:val="nil"/>
            </w:tcBorders>
            <w:shd w:val="clear" w:color="auto" w:fill="FFFFFF"/>
            <w:noWrap w:val="0"/>
            <w:tcMar>
              <w:top w:w="40" w:type="dxa"/>
              <w:left w:w="80" w:type="dxa"/>
              <w:bottom w:w="40" w:type="dxa"/>
              <w:right w:w="80" w:type="dxa"/>
            </w:tcMar>
            <w:vAlign w:val="center"/>
          </w:tcPr>
          <w:p w14:paraId="74BFEAA6">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9,520 (CLPN 7,838)</w:t>
            </w:r>
          </w:p>
        </w:tc>
        <w:tc>
          <w:tcPr>
            <w:tcW w:w="1606" w:type="pct"/>
            <w:tcBorders>
              <w:top w:val="nil"/>
              <w:left w:val="nil"/>
              <w:bottom w:val="single" w:color="000000" w:themeColor="dark1" w:sz="12" w:space="0"/>
              <w:right w:val="nil"/>
            </w:tcBorders>
            <w:shd w:val="clear" w:color="auto" w:fill="FFFFFF"/>
            <w:noWrap w:val="0"/>
            <w:tcMar>
              <w:top w:w="40" w:type="dxa"/>
              <w:left w:w="80" w:type="dxa"/>
              <w:bottom w:w="40" w:type="dxa"/>
              <w:right w:w="80" w:type="dxa"/>
            </w:tcMar>
            <w:vAlign w:val="center"/>
          </w:tcPr>
          <w:p w14:paraId="0199EB94">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age 14 → 17; UK Millennium Cohort Study (SN 8156/8682)</w:t>
            </w:r>
          </w:p>
        </w:tc>
        <w:tc>
          <w:tcPr>
            <w:tcW w:w="793" w:type="pct"/>
            <w:tcBorders>
              <w:top w:val="nil"/>
              <w:left w:val="nil"/>
              <w:bottom w:val="single" w:color="000000" w:themeColor="dark1" w:sz="12" w:space="0"/>
              <w:right w:val="nil"/>
            </w:tcBorders>
            <w:shd w:val="clear" w:color="auto" w:fill="FFFFFF"/>
            <w:noWrap w:val="0"/>
            <w:tcMar>
              <w:top w:w="40" w:type="dxa"/>
              <w:left w:w="80" w:type="dxa"/>
              <w:bottom w:w="40" w:type="dxa"/>
              <w:right w:w="80" w:type="dxa"/>
            </w:tcMar>
            <w:vAlign w:val="center"/>
          </w:tcPr>
          <w:p w14:paraId="08EF3741">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6 comparable constructs</w:t>
            </w:r>
          </w:p>
        </w:tc>
      </w:tr>
    </w:tbl>
    <w:p w14:paraId="098D5316">
      <w:pPr>
        <w:spacing w:before="160" w:after="40"/>
        <w:jc w:val="left"/>
        <w:rPr>
          <w:rFonts w:hint="default" w:ascii="Arial" w:hAnsi="Arial" w:cs="Arial"/>
          <w:b/>
          <w:color w:val="auto"/>
          <w:sz w:val="22"/>
          <w:szCs w:val="22"/>
        </w:rPr>
      </w:pPr>
    </w:p>
    <w:p w14:paraId="3E1790AA">
      <w:pPr>
        <w:keepNext/>
        <w:spacing w:before="160" w:after="40"/>
        <w:jc w:val="left"/>
        <w:rPr>
          <w:rFonts w:hint="default" w:ascii="Arial" w:hAnsi="Arial" w:cs="Arial"/>
          <w:b/>
          <w:color w:val="auto"/>
          <w:sz w:val="22"/>
          <w:szCs w:val="22"/>
        </w:rPr>
      </w:pPr>
      <w:r>
        <w:rPr>
          <w:rFonts w:hint="default" w:ascii="Arial" w:hAnsi="Arial" w:cs="Arial"/>
          <w:color w:val="auto"/>
        </w:rPr>
        <w:t>Supplementary Table S2. Measurement instruments and item structure (baseline cohort)</w:t>
      </w:r>
    </w:p>
    <w:tbl>
      <w:tblPr>
        <w:tblStyle w:val="32"/>
        <w:tblW w:w="0" w:type="auto"/>
        <w:jc w:val="center"/>
        <w:tblLayout w:type="fixed"/>
        <w:tblCellMar>
          <w:top w:w="0" w:type="dxa"/>
          <w:left w:w="108" w:type="dxa"/>
          <w:bottom w:w="0" w:type="dxa"/>
          <w:right w:w="108" w:type="dxa"/>
        </w:tblCellMar>
      </w:tblPr>
      <w:tblGrid>
        <w:gridCol w:w="1719"/>
        <w:gridCol w:w="2194"/>
        <w:gridCol w:w="1188"/>
        <w:gridCol w:w="1139"/>
        <w:gridCol w:w="1560"/>
        <w:gridCol w:w="1560"/>
      </w:tblGrid>
      <w:tr w14:paraId="38B965F5">
        <w:tblPrEx>
          <w:tblCellMar>
            <w:top w:w="0" w:type="dxa"/>
            <w:left w:w="108" w:type="dxa"/>
            <w:bottom w:w="0" w:type="dxa"/>
            <w:right w:w="108" w:type="dxa"/>
          </w:tblCellMar>
        </w:tblPrEx>
        <w:trPr>
          <w:cantSplit/>
          <w:tblHeader/>
          <w:jc w:val="center"/>
        </w:trPr>
        <w:tc>
          <w:tcPr>
            <w:tcW w:w="1719"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tcPr>
          <w:p w14:paraId="2915AD30">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3"/>
                <w:szCs w:val="18"/>
              </w:rPr>
              <w:t>Domain</w:t>
            </w:r>
          </w:p>
        </w:tc>
        <w:tc>
          <w:tcPr>
            <w:tcW w:w="2194"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tcPr>
          <w:p w14:paraId="3FA1E5B3">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3"/>
                <w:szCs w:val="18"/>
              </w:rPr>
              <w:t>Instrument</w:t>
            </w:r>
          </w:p>
        </w:tc>
        <w:tc>
          <w:tcPr>
            <w:tcW w:w="1188"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tcPr>
          <w:p w14:paraId="40F5E702">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3"/>
                <w:szCs w:val="18"/>
              </w:rPr>
              <w:t>Items used</w:t>
            </w:r>
          </w:p>
        </w:tc>
        <w:tc>
          <w:tcPr>
            <w:tcW w:w="1139"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tcPr>
          <w:p w14:paraId="34AC0F8B">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3"/>
                <w:szCs w:val="18"/>
              </w:rPr>
              <w:t>Response scale</w:t>
            </w:r>
          </w:p>
        </w:tc>
        <w:tc>
          <w:tcPr>
            <w:tcW w:w="156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tcPr>
          <w:p w14:paraId="47DD1CD7">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3"/>
                <w:szCs w:val="18"/>
              </w:rPr>
              <w:t>Reliability (α)</w:t>
            </w:r>
          </w:p>
        </w:tc>
        <w:tc>
          <w:tcPr>
            <w:tcW w:w="156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tcPr>
          <w:p w14:paraId="08A839AD">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3"/>
                <w:szCs w:val="18"/>
              </w:rPr>
              <w:t>Role in network</w:t>
            </w:r>
          </w:p>
        </w:tc>
      </w:tr>
      <w:tr w14:paraId="3E90BF25">
        <w:tblPrEx>
          <w:tblCellMar>
            <w:top w:w="0" w:type="dxa"/>
            <w:left w:w="108" w:type="dxa"/>
            <w:bottom w:w="0" w:type="dxa"/>
            <w:right w:w="108" w:type="dxa"/>
          </w:tblCellMar>
        </w:tblPrEx>
        <w:trPr>
          <w:cantSplit/>
          <w:trHeight w:val="90" w:hRule="atLeast"/>
          <w:jc w:val="center"/>
        </w:trPr>
        <w:tc>
          <w:tcPr>
            <w:tcW w:w="1719"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3B89461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Problematic internet/digital-media use</w:t>
            </w:r>
          </w:p>
        </w:tc>
        <w:tc>
          <w:tcPr>
            <w:tcW w:w="2194"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1C53A5C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Chen Internet Addiction Scale, revised (CIAS-R)</w:t>
            </w:r>
          </w:p>
        </w:tc>
        <w:tc>
          <w:tcPr>
            <w:tcW w:w="1188"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500B4B3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26</w:t>
            </w:r>
          </w:p>
        </w:tc>
        <w:tc>
          <w:tcPr>
            <w:tcW w:w="1139"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5C52206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1–4</w:t>
            </w:r>
          </w:p>
        </w:tc>
        <w:tc>
          <w:tcPr>
            <w:tcW w:w="156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1873433B">
            <w:r>
              <w:t>0.971</w:t>
            </w:r>
          </w:p>
        </w:tc>
        <w:tc>
          <w:tcPr>
            <w:tcW w:w="156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7F5D6FA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26 nodes</w:t>
            </w:r>
          </w:p>
        </w:tc>
      </w:tr>
      <w:tr w14:paraId="03A67F7F">
        <w:tblPrEx>
          <w:tblCellMar>
            <w:top w:w="0" w:type="dxa"/>
            <w:left w:w="108" w:type="dxa"/>
            <w:bottom w:w="0" w:type="dxa"/>
            <w:right w:w="108" w:type="dxa"/>
          </w:tblCellMar>
        </w:tblPrEx>
        <w:trPr>
          <w:cantSplit/>
          <w:jc w:val="center"/>
        </w:trPr>
        <w:tc>
          <w:tcPr>
            <w:tcW w:w="1719" w:type="dxa"/>
            <w:tcBorders>
              <w:top w:val="nil"/>
              <w:left w:val="nil"/>
              <w:bottom w:val="nil"/>
              <w:right w:val="nil"/>
            </w:tcBorders>
            <w:shd w:val="clear" w:color="auto" w:fill="FFFFFF"/>
            <w:tcMar>
              <w:top w:w="40" w:type="dxa"/>
              <w:left w:w="80" w:type="dxa"/>
              <w:bottom w:w="40" w:type="dxa"/>
              <w:right w:w="80" w:type="dxa"/>
            </w:tcMar>
            <w:vAlign w:val="center"/>
          </w:tcPr>
          <w:p w14:paraId="5201BCB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Emotional distress</w:t>
            </w:r>
          </w:p>
        </w:tc>
        <w:tc>
          <w:tcPr>
            <w:tcW w:w="2194" w:type="dxa"/>
            <w:tcBorders>
              <w:top w:val="nil"/>
              <w:left w:val="nil"/>
              <w:bottom w:val="nil"/>
              <w:right w:val="nil"/>
            </w:tcBorders>
            <w:shd w:val="clear" w:color="auto" w:fill="FFFFFF"/>
            <w:tcMar>
              <w:top w:w="40" w:type="dxa"/>
              <w:left w:w="80" w:type="dxa"/>
              <w:bottom w:w="40" w:type="dxa"/>
              <w:right w:w="80" w:type="dxa"/>
            </w:tcMar>
            <w:vAlign w:val="center"/>
          </w:tcPr>
          <w:p w14:paraId="27B297B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Depression Anxiety Stress Scales (DASS-21)</w:t>
            </w:r>
          </w:p>
        </w:tc>
        <w:tc>
          <w:tcPr>
            <w:tcW w:w="1188" w:type="dxa"/>
            <w:tcBorders>
              <w:top w:val="nil"/>
              <w:left w:val="nil"/>
              <w:bottom w:val="nil"/>
              <w:right w:val="nil"/>
            </w:tcBorders>
            <w:shd w:val="clear" w:color="auto" w:fill="FFFFFF"/>
            <w:tcMar>
              <w:top w:w="40" w:type="dxa"/>
              <w:left w:w="80" w:type="dxa"/>
              <w:bottom w:w="40" w:type="dxa"/>
              <w:right w:w="80" w:type="dxa"/>
            </w:tcMar>
            <w:vAlign w:val="center"/>
          </w:tcPr>
          <w:p w14:paraId="0974423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21</w:t>
            </w:r>
          </w:p>
        </w:tc>
        <w:tc>
          <w:tcPr>
            <w:tcW w:w="1139" w:type="dxa"/>
            <w:tcBorders>
              <w:top w:val="nil"/>
              <w:left w:val="nil"/>
              <w:bottom w:val="nil"/>
              <w:right w:val="nil"/>
            </w:tcBorders>
            <w:shd w:val="clear" w:color="auto" w:fill="FFFFFF"/>
            <w:tcMar>
              <w:top w:w="40" w:type="dxa"/>
              <w:left w:w="80" w:type="dxa"/>
              <w:bottom w:w="40" w:type="dxa"/>
              <w:right w:w="80" w:type="dxa"/>
            </w:tcMar>
            <w:vAlign w:val="center"/>
          </w:tcPr>
          <w:p w14:paraId="4C1E25C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0–3</w:t>
            </w:r>
          </w:p>
        </w:tc>
        <w:tc>
          <w:tcPr>
            <w:tcW w:w="1560" w:type="dxa"/>
            <w:tcBorders>
              <w:top w:val="nil"/>
              <w:left w:val="nil"/>
              <w:bottom w:val="nil"/>
              <w:right w:val="nil"/>
            </w:tcBorders>
            <w:shd w:val="clear" w:color="auto" w:fill="FFFFFF"/>
            <w:tcMar>
              <w:top w:w="40" w:type="dxa"/>
              <w:left w:w="80" w:type="dxa"/>
              <w:bottom w:w="40" w:type="dxa"/>
              <w:right w:w="80" w:type="dxa"/>
            </w:tcMar>
            <w:vAlign w:val="center"/>
          </w:tcPr>
          <w:p w14:paraId="4121355E">
            <w:r>
              <w:t>0.941</w:t>
            </w:r>
          </w:p>
        </w:tc>
        <w:tc>
          <w:tcPr>
            <w:tcW w:w="1560" w:type="dxa"/>
            <w:tcBorders>
              <w:top w:val="nil"/>
              <w:left w:val="nil"/>
              <w:bottom w:val="nil"/>
              <w:right w:val="nil"/>
            </w:tcBorders>
            <w:shd w:val="clear" w:color="auto" w:fill="FFFFFF"/>
            <w:tcMar>
              <w:top w:w="40" w:type="dxa"/>
              <w:left w:w="80" w:type="dxa"/>
              <w:bottom w:w="40" w:type="dxa"/>
              <w:right w:w="80" w:type="dxa"/>
            </w:tcMar>
            <w:vAlign w:val="center"/>
          </w:tcPr>
          <w:p w14:paraId="7383001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21 nodes</w:t>
            </w:r>
          </w:p>
        </w:tc>
      </w:tr>
      <w:tr w14:paraId="51F83D48">
        <w:tblPrEx>
          <w:tblCellMar>
            <w:top w:w="0" w:type="dxa"/>
            <w:left w:w="108" w:type="dxa"/>
            <w:bottom w:w="0" w:type="dxa"/>
            <w:right w:w="108" w:type="dxa"/>
          </w:tblCellMar>
        </w:tblPrEx>
        <w:trPr>
          <w:cantSplit/>
          <w:jc w:val="center"/>
        </w:trPr>
        <w:tc>
          <w:tcPr>
            <w:tcW w:w="1719" w:type="dxa"/>
            <w:tcBorders>
              <w:top w:val="nil"/>
              <w:left w:val="nil"/>
              <w:bottom w:val="nil"/>
              <w:right w:val="nil"/>
            </w:tcBorders>
            <w:shd w:val="clear" w:color="auto" w:fill="FFFFFF"/>
            <w:tcMar>
              <w:top w:w="40" w:type="dxa"/>
              <w:left w:w="80" w:type="dxa"/>
              <w:bottom w:w="40" w:type="dxa"/>
              <w:right w:w="80" w:type="dxa"/>
            </w:tcMar>
            <w:vAlign w:val="center"/>
          </w:tcPr>
          <w:p w14:paraId="23C92113">
            <w:pPr>
              <w:spacing w:before="0" w:after="0" w:line="240" w:lineRule="auto"/>
              <w:jc w:val="center"/>
              <w:rPr>
                <w:rFonts w:hint="default" w:ascii="Arial" w:hAnsi="Arial" w:cs="Arial"/>
                <w:color w:val="auto"/>
                <w:sz w:val="18"/>
                <w:szCs w:val="18"/>
              </w:rPr>
            </w:pPr>
            <w:r>
              <w:rPr>
                <w:rFonts w:hint="default" w:ascii="Arial" w:hAnsi="Arial" w:cs="Arial"/>
                <w:color w:val="auto"/>
                <w:sz w:val="18"/>
                <w:szCs w:val="18"/>
              </w:rPr>
              <w:t>Broad SDQ difficulties</w:t>
            </w:r>
          </w:p>
        </w:tc>
        <w:tc>
          <w:tcPr>
            <w:tcW w:w="2194" w:type="dxa"/>
            <w:tcBorders>
              <w:top w:val="nil"/>
              <w:left w:val="nil"/>
              <w:bottom w:val="nil"/>
              <w:right w:val="nil"/>
            </w:tcBorders>
            <w:shd w:val="clear" w:color="auto" w:fill="FFFFFF"/>
            <w:tcMar>
              <w:top w:w="40" w:type="dxa"/>
              <w:left w:w="80" w:type="dxa"/>
              <w:bottom w:w="40" w:type="dxa"/>
              <w:right w:w="80" w:type="dxa"/>
            </w:tcMar>
            <w:vAlign w:val="center"/>
          </w:tcPr>
          <w:p w14:paraId="334F1CB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Strengths and Difficulties Questionnaire (SDQ)</w:t>
            </w:r>
          </w:p>
        </w:tc>
        <w:tc>
          <w:tcPr>
            <w:tcW w:w="1188" w:type="dxa"/>
            <w:tcBorders>
              <w:top w:val="nil"/>
              <w:left w:val="nil"/>
              <w:bottom w:val="nil"/>
              <w:right w:val="nil"/>
            </w:tcBorders>
            <w:shd w:val="clear" w:color="auto" w:fill="FFFFFF"/>
            <w:tcMar>
              <w:top w:w="40" w:type="dxa"/>
              <w:left w:w="80" w:type="dxa"/>
              <w:bottom w:w="40" w:type="dxa"/>
              <w:right w:w="80" w:type="dxa"/>
            </w:tcMar>
            <w:vAlign w:val="center"/>
          </w:tcPr>
          <w:p w14:paraId="7A7B55DE">
            <w:pPr>
              <w:spacing w:before="0" w:after="0" w:line="240" w:lineRule="auto"/>
              <w:jc w:val="center"/>
              <w:rPr>
                <w:rFonts w:hint="default" w:ascii="Arial" w:hAnsi="Arial" w:cs="Arial"/>
                <w:color w:val="auto"/>
                <w:sz w:val="18"/>
                <w:szCs w:val="18"/>
              </w:rPr>
            </w:pPr>
            <w:r>
              <w:rPr>
                <w:rFonts w:hint="default" w:ascii="Arial" w:hAnsi="Arial" w:cs="Arial"/>
                <w:color w:val="auto"/>
                <w:sz w:val="18"/>
                <w:szCs w:val="18"/>
              </w:rPr>
              <w:t>25 core items</w:t>
            </w:r>
          </w:p>
        </w:tc>
        <w:tc>
          <w:tcPr>
            <w:tcW w:w="1139" w:type="dxa"/>
            <w:tcBorders>
              <w:top w:val="nil"/>
              <w:left w:val="nil"/>
              <w:bottom w:val="nil"/>
              <w:right w:val="nil"/>
            </w:tcBorders>
            <w:shd w:val="clear" w:color="auto" w:fill="FFFFFF"/>
            <w:tcMar>
              <w:top w:w="40" w:type="dxa"/>
              <w:left w:w="80" w:type="dxa"/>
              <w:bottom w:w="40" w:type="dxa"/>
              <w:right w:w="80" w:type="dxa"/>
            </w:tcMar>
            <w:vAlign w:val="center"/>
          </w:tcPr>
          <w:p w14:paraId="01A38DA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w:t>
            </w:r>
          </w:p>
        </w:tc>
        <w:tc>
          <w:tcPr>
            <w:tcW w:w="1560" w:type="dxa"/>
            <w:tcBorders>
              <w:top w:val="nil"/>
              <w:left w:val="nil"/>
              <w:bottom w:val="nil"/>
              <w:right w:val="nil"/>
            </w:tcBorders>
            <w:shd w:val="clear" w:color="auto" w:fill="FFFFFF"/>
            <w:tcMar>
              <w:top w:w="40" w:type="dxa"/>
              <w:left w:w="80" w:type="dxa"/>
              <w:bottom w:w="40" w:type="dxa"/>
              <w:right w:w="80" w:type="dxa"/>
            </w:tcMar>
            <w:vAlign w:val="center"/>
          </w:tcPr>
          <w:p w14:paraId="5F7A103A">
            <w:r>
              <w:t>0.697</w:t>
            </w:r>
          </w:p>
        </w:tc>
        <w:tc>
          <w:tcPr>
            <w:tcW w:w="1560" w:type="dxa"/>
            <w:tcBorders>
              <w:top w:val="nil"/>
              <w:left w:val="nil"/>
              <w:bottom w:val="nil"/>
              <w:right w:val="nil"/>
            </w:tcBorders>
            <w:shd w:val="clear" w:color="auto" w:fill="FFFFFF"/>
            <w:tcMar>
              <w:top w:w="40" w:type="dxa"/>
              <w:left w:w="80" w:type="dxa"/>
              <w:bottom w:w="40" w:type="dxa"/>
              <w:right w:w="80" w:type="dxa"/>
            </w:tcMar>
            <w:vAlign w:val="center"/>
          </w:tcPr>
          <w:p w14:paraId="6FCADC8A">
            <w:pPr>
              <w:spacing w:before="0" w:after="0" w:line="240" w:lineRule="auto"/>
              <w:jc w:val="center"/>
              <w:rPr>
                <w:rFonts w:hint="default" w:ascii="Arial" w:hAnsi="Arial" w:cs="Arial"/>
                <w:color w:val="auto"/>
                <w:sz w:val="18"/>
                <w:szCs w:val="18"/>
              </w:rPr>
            </w:pPr>
            <w:r>
              <w:rPr>
                <w:rFonts w:hint="default" w:ascii="Arial" w:hAnsi="Arial" w:cs="Arial"/>
                <w:color w:val="auto"/>
                <w:sz w:val="18"/>
                <w:szCs w:val="18"/>
              </w:rPr>
              <w:t>25 nodes</w:t>
            </w:r>
          </w:p>
        </w:tc>
      </w:tr>
      <w:tr w14:paraId="0E8BE017">
        <w:tblPrEx>
          <w:tblCellMar>
            <w:top w:w="0" w:type="dxa"/>
            <w:left w:w="108" w:type="dxa"/>
            <w:bottom w:w="0" w:type="dxa"/>
            <w:right w:w="108" w:type="dxa"/>
          </w:tblCellMar>
        </w:tblPrEx>
        <w:trPr>
          <w:cantSplit/>
          <w:jc w:val="center"/>
        </w:trPr>
        <w:tc>
          <w:tcPr>
            <w:tcW w:w="1719" w:type="dxa"/>
            <w:tcBorders>
              <w:top w:val="nil"/>
              <w:left w:val="nil"/>
              <w:bottom w:val="nil"/>
              <w:right w:val="nil"/>
            </w:tcBorders>
            <w:shd w:val="clear" w:color="auto" w:fill="FFFFFF"/>
            <w:tcMar>
              <w:top w:w="40" w:type="dxa"/>
              <w:left w:w="80" w:type="dxa"/>
              <w:bottom w:w="40" w:type="dxa"/>
              <w:right w:w="80" w:type="dxa"/>
            </w:tcMar>
            <w:vAlign w:val="center"/>
          </w:tcPr>
          <w:p w14:paraId="3B53D93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Insomnia</w:t>
            </w:r>
          </w:p>
        </w:tc>
        <w:tc>
          <w:tcPr>
            <w:tcW w:w="2194" w:type="dxa"/>
            <w:tcBorders>
              <w:top w:val="nil"/>
              <w:left w:val="nil"/>
              <w:bottom w:val="nil"/>
              <w:right w:val="nil"/>
            </w:tcBorders>
            <w:shd w:val="clear" w:color="auto" w:fill="FFFFFF"/>
            <w:tcMar>
              <w:top w:w="40" w:type="dxa"/>
              <w:left w:w="80" w:type="dxa"/>
              <w:bottom w:w="40" w:type="dxa"/>
              <w:right w:w="80" w:type="dxa"/>
            </w:tcMar>
            <w:vAlign w:val="center"/>
          </w:tcPr>
          <w:p w14:paraId="1AC0AF3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Insomnia Severity Index (ISI)</w:t>
            </w:r>
          </w:p>
        </w:tc>
        <w:tc>
          <w:tcPr>
            <w:tcW w:w="1188" w:type="dxa"/>
            <w:tcBorders>
              <w:top w:val="nil"/>
              <w:left w:val="nil"/>
              <w:bottom w:val="nil"/>
              <w:right w:val="nil"/>
            </w:tcBorders>
            <w:shd w:val="clear" w:color="auto" w:fill="FFFFFF"/>
            <w:tcMar>
              <w:top w:w="40" w:type="dxa"/>
              <w:left w:w="80" w:type="dxa"/>
              <w:bottom w:w="40" w:type="dxa"/>
              <w:right w:w="80" w:type="dxa"/>
            </w:tcMar>
            <w:vAlign w:val="center"/>
          </w:tcPr>
          <w:p w14:paraId="6D0F304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7</w:t>
            </w:r>
          </w:p>
        </w:tc>
        <w:tc>
          <w:tcPr>
            <w:tcW w:w="1139" w:type="dxa"/>
            <w:tcBorders>
              <w:top w:val="nil"/>
              <w:left w:val="nil"/>
              <w:bottom w:val="nil"/>
              <w:right w:val="nil"/>
            </w:tcBorders>
            <w:shd w:val="clear" w:color="auto" w:fill="FFFFFF"/>
            <w:tcMar>
              <w:top w:w="40" w:type="dxa"/>
              <w:left w:w="80" w:type="dxa"/>
              <w:bottom w:w="40" w:type="dxa"/>
              <w:right w:w="80" w:type="dxa"/>
            </w:tcMar>
            <w:vAlign w:val="center"/>
          </w:tcPr>
          <w:p w14:paraId="7ABB85A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w:t>
            </w:r>
          </w:p>
        </w:tc>
        <w:tc>
          <w:tcPr>
            <w:tcW w:w="1560" w:type="dxa"/>
            <w:tcBorders>
              <w:top w:val="nil"/>
              <w:left w:val="nil"/>
              <w:bottom w:val="nil"/>
              <w:right w:val="nil"/>
            </w:tcBorders>
            <w:shd w:val="clear" w:color="auto" w:fill="FFFFFF"/>
            <w:tcMar>
              <w:top w:w="40" w:type="dxa"/>
              <w:left w:w="80" w:type="dxa"/>
              <w:bottom w:w="40" w:type="dxa"/>
              <w:right w:w="80" w:type="dxa"/>
            </w:tcMar>
            <w:vAlign w:val="center"/>
          </w:tcPr>
          <w:p w14:paraId="4EBE4904">
            <w:r>
              <w:t>0.888</w:t>
            </w:r>
          </w:p>
        </w:tc>
        <w:tc>
          <w:tcPr>
            <w:tcW w:w="1560" w:type="dxa"/>
            <w:tcBorders>
              <w:top w:val="nil"/>
              <w:left w:val="nil"/>
              <w:bottom w:val="nil"/>
              <w:right w:val="nil"/>
            </w:tcBorders>
            <w:shd w:val="clear" w:color="auto" w:fill="FFFFFF"/>
            <w:tcMar>
              <w:top w:w="40" w:type="dxa"/>
              <w:left w:w="80" w:type="dxa"/>
              <w:bottom w:w="40" w:type="dxa"/>
              <w:right w:w="80" w:type="dxa"/>
            </w:tcMar>
            <w:vAlign w:val="center"/>
          </w:tcPr>
          <w:p w14:paraId="01ED7AC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7 nodes</w:t>
            </w:r>
          </w:p>
        </w:tc>
      </w:tr>
      <w:tr w14:paraId="00ECE250">
        <w:tblPrEx>
          <w:tblCellMar>
            <w:top w:w="0" w:type="dxa"/>
            <w:left w:w="108" w:type="dxa"/>
            <w:bottom w:w="0" w:type="dxa"/>
            <w:right w:w="108" w:type="dxa"/>
          </w:tblCellMar>
        </w:tblPrEx>
        <w:trPr>
          <w:cantSplit/>
          <w:jc w:val="center"/>
        </w:trPr>
        <w:tc>
          <w:tcPr>
            <w:tcW w:w="1719" w:type="dxa"/>
            <w:tcBorders>
              <w:top w:val="nil"/>
              <w:left w:val="nil"/>
              <w:bottom w:val="nil"/>
              <w:right w:val="nil"/>
            </w:tcBorders>
            <w:shd w:val="clear" w:color="auto" w:fill="FFFFFF"/>
            <w:tcMar>
              <w:top w:w="40" w:type="dxa"/>
              <w:left w:w="80" w:type="dxa"/>
              <w:bottom w:w="40" w:type="dxa"/>
              <w:right w:w="80" w:type="dxa"/>
            </w:tcMar>
            <w:vAlign w:val="center"/>
          </w:tcPr>
          <w:p w14:paraId="272083E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Disordered eating</w:t>
            </w:r>
          </w:p>
        </w:tc>
        <w:tc>
          <w:tcPr>
            <w:tcW w:w="2194" w:type="dxa"/>
            <w:tcBorders>
              <w:top w:val="nil"/>
              <w:left w:val="nil"/>
              <w:bottom w:val="nil"/>
              <w:right w:val="nil"/>
            </w:tcBorders>
            <w:shd w:val="clear" w:color="auto" w:fill="FFFFFF"/>
            <w:tcMar>
              <w:top w:w="40" w:type="dxa"/>
              <w:left w:w="80" w:type="dxa"/>
              <w:bottom w:w="40" w:type="dxa"/>
              <w:right w:w="80" w:type="dxa"/>
            </w:tcMar>
            <w:vAlign w:val="center"/>
          </w:tcPr>
          <w:p w14:paraId="2570686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Eating-behaviour questionnaire (DIET)</w:t>
            </w:r>
          </w:p>
        </w:tc>
        <w:tc>
          <w:tcPr>
            <w:tcW w:w="1188" w:type="dxa"/>
            <w:tcBorders>
              <w:top w:val="nil"/>
              <w:left w:val="nil"/>
              <w:bottom w:val="nil"/>
              <w:right w:val="nil"/>
            </w:tcBorders>
            <w:shd w:val="clear" w:color="auto" w:fill="FFFFFF"/>
            <w:tcMar>
              <w:top w:w="40" w:type="dxa"/>
              <w:left w:w="80" w:type="dxa"/>
              <w:bottom w:w="40" w:type="dxa"/>
              <w:right w:w="80" w:type="dxa"/>
            </w:tcMar>
            <w:vAlign w:val="center"/>
          </w:tcPr>
          <w:p w14:paraId="6462994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21 (item 3 excluded)</w:t>
            </w:r>
          </w:p>
        </w:tc>
        <w:tc>
          <w:tcPr>
            <w:tcW w:w="1139" w:type="dxa"/>
            <w:tcBorders>
              <w:top w:val="nil"/>
              <w:left w:val="nil"/>
              <w:bottom w:val="nil"/>
              <w:right w:val="nil"/>
            </w:tcBorders>
            <w:shd w:val="clear" w:color="auto" w:fill="FFFFFF"/>
            <w:tcMar>
              <w:top w:w="40" w:type="dxa"/>
              <w:left w:w="80" w:type="dxa"/>
              <w:bottom w:w="40" w:type="dxa"/>
              <w:right w:w="80" w:type="dxa"/>
            </w:tcMar>
            <w:vAlign w:val="center"/>
          </w:tcPr>
          <w:p w14:paraId="359E17E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mixed</w:t>
            </w:r>
          </w:p>
        </w:tc>
        <w:tc>
          <w:tcPr>
            <w:tcW w:w="1560" w:type="dxa"/>
            <w:tcBorders>
              <w:top w:val="nil"/>
              <w:left w:val="nil"/>
              <w:bottom w:val="nil"/>
              <w:right w:val="nil"/>
            </w:tcBorders>
            <w:shd w:val="clear" w:color="auto" w:fill="FFFFFF"/>
            <w:tcMar>
              <w:top w:w="40" w:type="dxa"/>
              <w:left w:w="80" w:type="dxa"/>
              <w:bottom w:w="40" w:type="dxa"/>
              <w:right w:w="80" w:type="dxa"/>
            </w:tcMar>
            <w:vAlign w:val="center"/>
          </w:tcPr>
          <w:p w14:paraId="6CA87BC8">
            <w:r>
              <w:t>0.544</w:t>
            </w:r>
          </w:p>
        </w:tc>
        <w:tc>
          <w:tcPr>
            <w:tcW w:w="1560" w:type="dxa"/>
            <w:tcBorders>
              <w:top w:val="nil"/>
              <w:left w:val="nil"/>
              <w:bottom w:val="nil"/>
              <w:right w:val="nil"/>
            </w:tcBorders>
            <w:shd w:val="clear" w:color="auto" w:fill="FFFFFF"/>
            <w:tcMar>
              <w:top w:w="40" w:type="dxa"/>
              <w:left w:w="80" w:type="dxa"/>
              <w:bottom w:w="40" w:type="dxa"/>
              <w:right w:w="80" w:type="dxa"/>
            </w:tcMar>
            <w:vAlign w:val="center"/>
          </w:tcPr>
          <w:p w14:paraId="1D05C1E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21 nodes</w:t>
            </w:r>
          </w:p>
        </w:tc>
      </w:tr>
      <w:tr w14:paraId="15B7A9FA">
        <w:tblPrEx>
          <w:tblCellMar>
            <w:top w:w="0" w:type="dxa"/>
            <w:left w:w="108" w:type="dxa"/>
            <w:bottom w:w="0" w:type="dxa"/>
            <w:right w:w="108" w:type="dxa"/>
          </w:tblCellMar>
        </w:tblPrEx>
        <w:trPr>
          <w:cantSplit/>
          <w:jc w:val="center"/>
        </w:trPr>
        <w:tc>
          <w:tcPr>
            <w:tcW w:w="1719" w:type="dxa"/>
            <w:tcBorders>
              <w:top w:val="nil"/>
              <w:left w:val="nil"/>
              <w:bottom w:val="nil"/>
              <w:right w:val="nil"/>
            </w:tcBorders>
            <w:shd w:val="clear" w:color="auto" w:fill="FFFFFF"/>
            <w:tcMar>
              <w:top w:w="40" w:type="dxa"/>
              <w:left w:w="80" w:type="dxa"/>
              <w:bottom w:w="40" w:type="dxa"/>
              <w:right w:w="80" w:type="dxa"/>
            </w:tcMar>
            <w:vAlign w:val="center"/>
          </w:tcPr>
          <w:p w14:paraId="1AB2C24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Physical activity</w:t>
            </w:r>
          </w:p>
        </w:tc>
        <w:tc>
          <w:tcPr>
            <w:tcW w:w="2194" w:type="dxa"/>
            <w:tcBorders>
              <w:top w:val="nil"/>
              <w:left w:val="nil"/>
              <w:bottom w:val="nil"/>
              <w:right w:val="nil"/>
            </w:tcBorders>
            <w:shd w:val="clear" w:color="auto" w:fill="FFFFFF"/>
            <w:tcMar>
              <w:top w:w="40" w:type="dxa"/>
              <w:left w:w="80" w:type="dxa"/>
              <w:bottom w:w="40" w:type="dxa"/>
              <w:right w:w="80" w:type="dxa"/>
            </w:tcMar>
            <w:vAlign w:val="center"/>
          </w:tcPr>
          <w:p w14:paraId="56D4B00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Activity questionnaire (ACT)</w:t>
            </w:r>
          </w:p>
        </w:tc>
        <w:tc>
          <w:tcPr>
            <w:tcW w:w="1188" w:type="dxa"/>
            <w:tcBorders>
              <w:top w:val="nil"/>
              <w:left w:val="nil"/>
              <w:bottom w:val="nil"/>
              <w:right w:val="nil"/>
            </w:tcBorders>
            <w:shd w:val="clear" w:color="auto" w:fill="FFFFFF"/>
            <w:tcMar>
              <w:top w:w="40" w:type="dxa"/>
              <w:left w:w="80" w:type="dxa"/>
              <w:bottom w:w="40" w:type="dxa"/>
              <w:right w:w="80" w:type="dxa"/>
            </w:tcMar>
            <w:vAlign w:val="center"/>
          </w:tcPr>
          <w:p w14:paraId="387200C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4 (items 5–6 excluded)</w:t>
            </w:r>
          </w:p>
        </w:tc>
        <w:tc>
          <w:tcPr>
            <w:tcW w:w="1139" w:type="dxa"/>
            <w:tcBorders>
              <w:top w:val="nil"/>
              <w:left w:val="nil"/>
              <w:bottom w:val="nil"/>
              <w:right w:val="nil"/>
            </w:tcBorders>
            <w:shd w:val="clear" w:color="auto" w:fill="FFFFFF"/>
            <w:tcMar>
              <w:top w:w="40" w:type="dxa"/>
              <w:left w:w="80" w:type="dxa"/>
              <w:bottom w:w="40" w:type="dxa"/>
              <w:right w:w="80" w:type="dxa"/>
            </w:tcMar>
            <w:vAlign w:val="center"/>
          </w:tcPr>
          <w:p w14:paraId="0893C62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ordinal</w:t>
            </w:r>
          </w:p>
        </w:tc>
        <w:tc>
          <w:tcPr>
            <w:tcW w:w="1560" w:type="dxa"/>
            <w:tcBorders>
              <w:top w:val="nil"/>
              <w:left w:val="nil"/>
              <w:bottom w:val="nil"/>
              <w:right w:val="nil"/>
            </w:tcBorders>
            <w:shd w:val="clear" w:color="auto" w:fill="FFFFFF"/>
            <w:tcMar>
              <w:top w:w="40" w:type="dxa"/>
              <w:left w:w="80" w:type="dxa"/>
              <w:bottom w:w="40" w:type="dxa"/>
              <w:right w:w="80" w:type="dxa"/>
            </w:tcMar>
            <w:vAlign w:val="center"/>
          </w:tcPr>
          <w:p w14:paraId="46C4B44B">
            <w:r>
              <w:t>0.622</w:t>
            </w:r>
          </w:p>
        </w:tc>
        <w:tc>
          <w:tcPr>
            <w:tcW w:w="1560" w:type="dxa"/>
            <w:tcBorders>
              <w:top w:val="nil"/>
              <w:left w:val="nil"/>
              <w:bottom w:val="nil"/>
              <w:right w:val="nil"/>
            </w:tcBorders>
            <w:shd w:val="clear" w:color="auto" w:fill="FFFFFF"/>
            <w:tcMar>
              <w:top w:w="40" w:type="dxa"/>
              <w:left w:w="80" w:type="dxa"/>
              <w:bottom w:w="40" w:type="dxa"/>
              <w:right w:w="80" w:type="dxa"/>
            </w:tcMar>
            <w:vAlign w:val="center"/>
          </w:tcPr>
          <w:p w14:paraId="6ADF5B1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4 nodes</w:t>
            </w:r>
          </w:p>
        </w:tc>
      </w:tr>
      <w:tr w14:paraId="0BB4E317">
        <w:tblPrEx>
          <w:tblCellMar>
            <w:top w:w="0" w:type="dxa"/>
            <w:left w:w="108" w:type="dxa"/>
            <w:bottom w:w="0" w:type="dxa"/>
            <w:right w:w="108" w:type="dxa"/>
          </w:tblCellMar>
        </w:tblPrEx>
        <w:trPr>
          <w:cantSplit/>
          <w:jc w:val="center"/>
        </w:trPr>
        <w:tc>
          <w:tcPr>
            <w:tcW w:w="1719"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42009D1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Total</w:t>
            </w:r>
          </w:p>
        </w:tc>
        <w:tc>
          <w:tcPr>
            <w:tcW w:w="2194"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2C97107D">
            <w:pPr>
              <w:spacing w:before="0" w:after="0" w:line="240" w:lineRule="auto"/>
              <w:jc w:val="center"/>
              <w:rPr>
                <w:rFonts w:hint="default" w:ascii="Arial" w:hAnsi="Arial" w:cs="Arial"/>
                <w:b w:val="0"/>
                <w:i w:val="0"/>
                <w:color w:val="auto"/>
                <w:sz w:val="18"/>
                <w:szCs w:val="18"/>
              </w:rPr>
            </w:pPr>
          </w:p>
        </w:tc>
        <w:tc>
          <w:tcPr>
            <w:tcW w:w="1188"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3A60476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104</w:t>
            </w:r>
          </w:p>
        </w:tc>
        <w:tc>
          <w:tcPr>
            <w:tcW w:w="1139"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1AA10D65">
            <w:pPr>
              <w:spacing w:before="0" w:after="0" w:line="240" w:lineRule="auto"/>
              <w:jc w:val="center"/>
              <w:rPr>
                <w:rFonts w:hint="default" w:ascii="Arial" w:hAnsi="Arial" w:cs="Arial"/>
                <w:b w:val="0"/>
                <w:i w:val="0"/>
                <w:color w:val="auto"/>
                <w:sz w:val="18"/>
                <w:szCs w:val="18"/>
              </w:rPr>
            </w:pPr>
          </w:p>
        </w:tc>
        <w:tc>
          <w:tcPr>
            <w:tcW w:w="156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2F8BABA4">
            <w:pPr>
              <w:spacing w:before="0" w:after="0" w:line="240" w:lineRule="auto"/>
              <w:jc w:val="center"/>
              <w:rPr>
                <w:rFonts w:hint="default" w:ascii="Arial" w:hAnsi="Arial" w:cs="Arial"/>
                <w:b w:val="0"/>
                <w:i w:val="0"/>
                <w:color w:val="auto"/>
                <w:sz w:val="18"/>
                <w:szCs w:val="18"/>
              </w:rPr>
            </w:pPr>
          </w:p>
        </w:tc>
        <w:tc>
          <w:tcPr>
            <w:tcW w:w="156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1C44852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104 nodes</w:t>
            </w:r>
          </w:p>
        </w:tc>
      </w:tr>
    </w:tbl>
    <w:p w14:paraId="4F91C1C9">
      <w:pPr>
        <w:jc w:val="both"/>
        <w:rPr>
          <w:rFonts w:hint="default" w:ascii="Arial" w:hAnsi="Arial" w:cs="Arial"/>
          <w:i/>
          <w:color w:val="auto"/>
          <w:sz w:val="18"/>
        </w:rPr>
      </w:pPr>
      <w:r>
        <w:rPr>
          <w:rFonts w:hint="default" w:ascii="Arial" w:hAnsi="Arial" w:cs="Arial"/>
          <w:i/>
          <w:color w:val="auto"/>
          <w:sz w:val="18"/>
        </w:rPr>
        <w:t>The six SDQ impact-supplement items (items 26-31) were excluded because they assess duration, distress and functional impact of overall difficulties rather than individual symptoms. The broad-difficulties domain was represented by a study-specific composite of all 25 core SDQ items. Items 7, 11, 14, 21 and 25 were reverse-scored, while prosocial items 1, 4, 9, 17 and 20 retained their original direction. The composite is not equivalent to the standard 20-item SDQ total difficulties score, and higher values do not uniformly indicate greater difficulties. The nonparanormal transform was applied to all items before network estimation. Sample Cronbach's alpha values were calculated from baseline item scores (N = 10,356). DIET and ACT showed limited internal consistency, and SDQ was borderline; interpret these domains accordingly.</w:t>
      </w:r>
    </w:p>
    <w:p w14:paraId="15784B02">
      <w:pPr>
        <w:jc w:val="both"/>
        <w:rPr>
          <w:rFonts w:hint="default" w:ascii="Arial" w:hAnsi="Arial" w:cs="Arial"/>
          <w:i/>
          <w:color w:val="auto"/>
          <w:sz w:val="18"/>
        </w:rPr>
      </w:pPr>
    </w:p>
    <w:p w14:paraId="10B86444">
      <w:pPr>
        <w:keepNext/>
        <w:spacing w:before="160" w:after="40"/>
        <w:jc w:val="left"/>
        <w:rPr>
          <w:rFonts w:hint="default" w:ascii="Arial" w:hAnsi="Arial" w:cs="Arial"/>
          <w:color w:val="auto"/>
        </w:rPr>
      </w:pPr>
      <w:r>
        <w:rPr>
          <w:rFonts w:hint="default" w:ascii="Arial" w:hAnsi="Arial" w:cs="Arial"/>
          <w:color w:val="auto"/>
        </w:rPr>
        <w:t>Supplementary Table S3. Baseline network and control metrics (N = 10,356)</w:t>
      </w:r>
    </w:p>
    <w:tbl>
      <w:tblPr>
        <w:tblStyle w:val="32"/>
        <w:tblW w:w="4998" w:type="pct"/>
        <w:jc w:val="center"/>
        <w:tblLayout w:type="autofit"/>
        <w:tblCellMar>
          <w:top w:w="0" w:type="dxa"/>
          <w:left w:w="108" w:type="dxa"/>
          <w:bottom w:w="0" w:type="dxa"/>
          <w:right w:w="108" w:type="dxa"/>
        </w:tblCellMar>
      </w:tblPr>
      <w:tblGrid>
        <w:gridCol w:w="3192"/>
        <w:gridCol w:w="1447"/>
        <w:gridCol w:w="4877"/>
      </w:tblGrid>
      <w:tr w14:paraId="16A14955">
        <w:tblPrEx>
          <w:tblCellMar>
            <w:top w:w="0" w:type="dxa"/>
            <w:left w:w="108" w:type="dxa"/>
            <w:bottom w:w="0" w:type="dxa"/>
            <w:right w:w="108" w:type="dxa"/>
          </w:tblCellMar>
        </w:tblPrEx>
        <w:trPr>
          <w:cantSplit/>
          <w:trHeight w:val="0" w:hRule="atLeast"/>
          <w:tblHeader/>
          <w:jc w:val="center"/>
        </w:trPr>
        <w:tc>
          <w:tcPr>
            <w:tcW w:w="1677" w:type="pct"/>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0CEB2E24">
            <w:pPr>
              <w:snapToGrid w:val="0"/>
              <w:spacing w:before="0" w:after="0" w:line="240" w:lineRule="auto"/>
              <w:ind w:left="0" w:leftChars="0" w:right="0" w:rightChars="0" w:firstLine="0" w:firstLineChars="0"/>
              <w:jc w:val="center"/>
              <w:rPr>
                <w:rFonts w:hint="default" w:ascii="Arial" w:hAnsi="Arial" w:eastAsia="ＭＳ 明朝" w:cs="Arial"/>
                <w:b/>
                <w:i w:val="0"/>
                <w:color w:val="auto"/>
                <w:sz w:val="18"/>
                <w:szCs w:val="18"/>
              </w:rPr>
            </w:pPr>
            <w:r>
              <w:rPr>
                <w:rFonts w:hint="default" w:ascii="Arial" w:hAnsi="Arial" w:eastAsia="ＭＳ 明朝" w:cs="Arial"/>
                <w:b/>
                <w:i w:val="0"/>
                <w:color w:val="auto"/>
                <w:sz w:val="18"/>
                <w:szCs w:val="18"/>
              </w:rPr>
              <w:t>Metric</w:t>
            </w:r>
          </w:p>
        </w:tc>
        <w:tc>
          <w:tcPr>
            <w:tcW w:w="760" w:type="pct"/>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3555DFB7">
            <w:pPr>
              <w:snapToGrid w:val="0"/>
              <w:spacing w:before="0" w:after="0" w:line="240" w:lineRule="auto"/>
              <w:ind w:left="0" w:leftChars="0" w:right="0" w:rightChars="0" w:firstLine="0" w:firstLineChars="0"/>
              <w:jc w:val="center"/>
              <w:rPr>
                <w:rFonts w:hint="default" w:ascii="Arial" w:hAnsi="Arial" w:eastAsia="ＭＳ 明朝" w:cs="Arial"/>
                <w:b/>
                <w:i w:val="0"/>
                <w:color w:val="auto"/>
                <w:sz w:val="18"/>
                <w:szCs w:val="18"/>
              </w:rPr>
            </w:pPr>
            <w:r>
              <w:rPr>
                <w:rFonts w:hint="default" w:ascii="Arial" w:hAnsi="Arial" w:eastAsia="ＭＳ 明朝" w:cs="Arial"/>
                <w:b/>
                <w:i w:val="0"/>
                <w:color w:val="auto"/>
                <w:sz w:val="18"/>
                <w:szCs w:val="18"/>
              </w:rPr>
              <w:t>Value</w:t>
            </w:r>
          </w:p>
        </w:tc>
        <w:tc>
          <w:tcPr>
            <w:tcW w:w="2562" w:type="pct"/>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3A7431A5">
            <w:pPr>
              <w:snapToGrid w:val="0"/>
              <w:spacing w:before="0" w:after="0" w:line="240" w:lineRule="auto"/>
              <w:ind w:left="0" w:leftChars="0" w:right="0" w:rightChars="0" w:firstLine="0" w:firstLineChars="0"/>
              <w:jc w:val="center"/>
              <w:rPr>
                <w:rFonts w:hint="default" w:ascii="Arial" w:hAnsi="Arial" w:eastAsia="ＭＳ 明朝" w:cs="Arial"/>
                <w:b/>
                <w:i w:val="0"/>
                <w:color w:val="auto"/>
                <w:sz w:val="18"/>
                <w:szCs w:val="18"/>
              </w:rPr>
            </w:pPr>
            <w:r>
              <w:rPr>
                <w:rFonts w:hint="default" w:ascii="Arial" w:hAnsi="Arial" w:eastAsia="ＭＳ 明朝" w:cs="Arial"/>
                <w:b/>
                <w:i w:val="0"/>
                <w:color w:val="auto"/>
                <w:sz w:val="18"/>
                <w:szCs w:val="18"/>
              </w:rPr>
              <w:t>Interpretation</w:t>
            </w:r>
          </w:p>
        </w:tc>
      </w:tr>
      <w:tr w14:paraId="2A5D777C">
        <w:tblPrEx>
          <w:tblCellMar>
            <w:top w:w="0" w:type="dxa"/>
            <w:left w:w="108" w:type="dxa"/>
            <w:bottom w:w="0" w:type="dxa"/>
            <w:right w:w="108" w:type="dxa"/>
          </w:tblCellMar>
        </w:tblPrEx>
        <w:trPr>
          <w:cantSplit/>
          <w:trHeight w:val="0" w:hRule="atLeast"/>
          <w:jc w:val="center"/>
        </w:trPr>
        <w:tc>
          <w:tcPr>
            <w:tcW w:w="1677" w:type="pct"/>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4486F2CF">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Nodes / Edges</w:t>
            </w:r>
          </w:p>
        </w:tc>
        <w:tc>
          <w:tcPr>
            <w:tcW w:w="760" w:type="pct"/>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081DBA22">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104 / 2,777</w:t>
            </w:r>
          </w:p>
        </w:tc>
        <w:tc>
          <w:tcPr>
            <w:tcW w:w="2562" w:type="pct"/>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777A500A">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Full six-domain symptom network</w:t>
            </w:r>
          </w:p>
        </w:tc>
      </w:tr>
      <w:tr w14:paraId="67246B7C">
        <w:tblPrEx>
          <w:tblCellMar>
            <w:top w:w="0" w:type="dxa"/>
            <w:left w:w="108" w:type="dxa"/>
            <w:bottom w:w="0" w:type="dxa"/>
            <w:right w:w="108" w:type="dxa"/>
          </w:tblCellMar>
        </w:tblPrEx>
        <w:trPr>
          <w:cantSplit/>
          <w:trHeight w:val="0" w:hRule="atLeast"/>
          <w:jc w:val="center"/>
        </w:trPr>
        <w:tc>
          <w:tcPr>
            <w:tcW w:w="1677" w:type="pct"/>
            <w:tcBorders>
              <w:top w:val="nil"/>
              <w:left w:val="nil"/>
              <w:bottom w:val="nil"/>
              <w:right w:val="nil"/>
            </w:tcBorders>
            <w:shd w:val="clear" w:color="auto" w:fill="FFFFFF"/>
            <w:tcMar>
              <w:top w:w="40" w:type="dxa"/>
              <w:left w:w="80" w:type="dxa"/>
              <w:bottom w:w="40" w:type="dxa"/>
              <w:right w:w="80" w:type="dxa"/>
            </w:tcMar>
            <w:vAlign w:val="center"/>
          </w:tcPr>
          <w:p w14:paraId="5EBDA072">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Density</w:t>
            </w:r>
          </w:p>
        </w:tc>
        <w:tc>
          <w:tcPr>
            <w:tcW w:w="760" w:type="pct"/>
            <w:tcBorders>
              <w:top w:val="nil"/>
              <w:left w:val="nil"/>
              <w:bottom w:val="nil"/>
              <w:right w:val="nil"/>
            </w:tcBorders>
            <w:shd w:val="clear" w:color="auto" w:fill="FFFFFF"/>
            <w:tcMar>
              <w:top w:w="40" w:type="dxa"/>
              <w:left w:w="80" w:type="dxa"/>
              <w:bottom w:w="40" w:type="dxa"/>
              <w:right w:w="80" w:type="dxa"/>
            </w:tcMar>
            <w:vAlign w:val="center"/>
          </w:tcPr>
          <w:p w14:paraId="2BC10B6F">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0.518</w:t>
            </w:r>
          </w:p>
        </w:tc>
        <w:tc>
          <w:tcPr>
            <w:tcW w:w="2562" w:type="pct"/>
            <w:tcBorders>
              <w:top w:val="nil"/>
              <w:left w:val="nil"/>
              <w:bottom w:val="nil"/>
              <w:right w:val="nil"/>
            </w:tcBorders>
            <w:shd w:val="clear" w:color="auto" w:fill="FFFFFF"/>
            <w:tcMar>
              <w:top w:w="40" w:type="dxa"/>
              <w:left w:w="80" w:type="dxa"/>
              <w:bottom w:w="40" w:type="dxa"/>
              <w:right w:w="80" w:type="dxa"/>
            </w:tcMar>
            <w:vAlign w:val="center"/>
          </w:tcPr>
          <w:p w14:paraId="27E068E2">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Densely interconnected</w:t>
            </w:r>
          </w:p>
        </w:tc>
      </w:tr>
      <w:tr w14:paraId="01B50DB8">
        <w:tblPrEx>
          <w:tblCellMar>
            <w:top w:w="0" w:type="dxa"/>
            <w:left w:w="108" w:type="dxa"/>
            <w:bottom w:w="0" w:type="dxa"/>
            <w:right w:w="108" w:type="dxa"/>
          </w:tblCellMar>
        </w:tblPrEx>
        <w:trPr>
          <w:cantSplit/>
          <w:trHeight w:val="0" w:hRule="atLeast"/>
          <w:jc w:val="center"/>
        </w:trPr>
        <w:tc>
          <w:tcPr>
            <w:tcW w:w="1677" w:type="pct"/>
            <w:tcBorders>
              <w:top w:val="nil"/>
              <w:left w:val="nil"/>
              <w:bottom w:val="nil"/>
              <w:right w:val="nil"/>
            </w:tcBorders>
            <w:shd w:val="clear" w:color="auto" w:fill="FFFFFF"/>
            <w:tcMar>
              <w:top w:w="40" w:type="dxa"/>
              <w:left w:w="80" w:type="dxa"/>
              <w:bottom w:w="40" w:type="dxa"/>
              <w:right w:w="80" w:type="dxa"/>
            </w:tcMar>
            <w:vAlign w:val="center"/>
          </w:tcPr>
          <w:p w14:paraId="7B3C5586">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Diameter / Mean shortest path</w:t>
            </w:r>
          </w:p>
        </w:tc>
        <w:tc>
          <w:tcPr>
            <w:tcW w:w="760" w:type="pct"/>
            <w:tcBorders>
              <w:top w:val="nil"/>
              <w:left w:val="nil"/>
              <w:bottom w:val="nil"/>
              <w:right w:val="nil"/>
            </w:tcBorders>
            <w:shd w:val="clear" w:color="auto" w:fill="FFFFFF"/>
            <w:tcMar>
              <w:top w:w="40" w:type="dxa"/>
              <w:left w:w="80" w:type="dxa"/>
              <w:bottom w:w="40" w:type="dxa"/>
              <w:right w:w="80" w:type="dxa"/>
            </w:tcMar>
            <w:vAlign w:val="center"/>
          </w:tcPr>
          <w:p w14:paraId="54AA01F2">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2 / 1.482</w:t>
            </w:r>
          </w:p>
        </w:tc>
        <w:tc>
          <w:tcPr>
            <w:tcW w:w="2562" w:type="pct"/>
            <w:tcBorders>
              <w:top w:val="nil"/>
              <w:left w:val="nil"/>
              <w:bottom w:val="nil"/>
              <w:right w:val="nil"/>
            </w:tcBorders>
            <w:shd w:val="clear" w:color="auto" w:fill="FFFFFF"/>
            <w:tcMar>
              <w:top w:w="40" w:type="dxa"/>
              <w:left w:w="80" w:type="dxa"/>
              <w:bottom w:w="40" w:type="dxa"/>
              <w:right w:w="80" w:type="dxa"/>
            </w:tcMar>
            <w:vAlign w:val="center"/>
          </w:tcPr>
          <w:p w14:paraId="19197BF4">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Short graph distances</w:t>
            </w:r>
          </w:p>
        </w:tc>
      </w:tr>
      <w:tr w14:paraId="4A1CFC7B">
        <w:tblPrEx>
          <w:tblCellMar>
            <w:top w:w="0" w:type="dxa"/>
            <w:left w:w="108" w:type="dxa"/>
            <w:bottom w:w="0" w:type="dxa"/>
            <w:right w:w="108" w:type="dxa"/>
          </w:tblCellMar>
        </w:tblPrEx>
        <w:trPr>
          <w:cantSplit/>
          <w:trHeight w:val="0" w:hRule="atLeast"/>
          <w:jc w:val="center"/>
        </w:trPr>
        <w:tc>
          <w:tcPr>
            <w:tcW w:w="1677" w:type="pct"/>
            <w:tcBorders>
              <w:top w:val="nil"/>
              <w:left w:val="nil"/>
              <w:bottom w:val="nil"/>
              <w:right w:val="nil"/>
            </w:tcBorders>
            <w:shd w:val="clear" w:color="auto" w:fill="FFFFFF"/>
            <w:tcMar>
              <w:top w:w="40" w:type="dxa"/>
              <w:left w:w="80" w:type="dxa"/>
              <w:bottom w:w="40" w:type="dxa"/>
              <w:right w:w="80" w:type="dxa"/>
            </w:tcMar>
            <w:vAlign w:val="center"/>
          </w:tcPr>
          <w:p w14:paraId="19DC09AA">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Clustering / Modularity</w:t>
            </w:r>
          </w:p>
        </w:tc>
        <w:tc>
          <w:tcPr>
            <w:tcW w:w="760" w:type="pct"/>
            <w:tcBorders>
              <w:top w:val="nil"/>
              <w:left w:val="nil"/>
              <w:bottom w:val="nil"/>
              <w:right w:val="nil"/>
            </w:tcBorders>
            <w:shd w:val="clear" w:color="auto" w:fill="FFFFFF"/>
            <w:tcMar>
              <w:top w:w="40" w:type="dxa"/>
              <w:left w:w="80" w:type="dxa"/>
              <w:bottom w:w="40" w:type="dxa"/>
              <w:right w:w="80" w:type="dxa"/>
            </w:tcMar>
            <w:vAlign w:val="center"/>
          </w:tcPr>
          <w:p w14:paraId="296B6C9E">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0.559 / 0.443</w:t>
            </w:r>
          </w:p>
        </w:tc>
        <w:tc>
          <w:tcPr>
            <w:tcW w:w="2562" w:type="pct"/>
            <w:tcBorders>
              <w:top w:val="nil"/>
              <w:left w:val="nil"/>
              <w:bottom w:val="nil"/>
              <w:right w:val="nil"/>
            </w:tcBorders>
            <w:shd w:val="clear" w:color="auto" w:fill="FFFFFF"/>
            <w:tcMar>
              <w:top w:w="40" w:type="dxa"/>
              <w:left w:w="80" w:type="dxa"/>
              <w:bottom w:w="40" w:type="dxa"/>
              <w:right w:w="80" w:type="dxa"/>
            </w:tcMar>
            <w:vAlign w:val="center"/>
          </w:tcPr>
          <w:p w14:paraId="1932BA2D">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High local clustering; clear module structure</w:t>
            </w:r>
          </w:p>
        </w:tc>
      </w:tr>
      <w:tr w14:paraId="70DBE0CC">
        <w:tblPrEx>
          <w:tblCellMar>
            <w:top w:w="0" w:type="dxa"/>
            <w:left w:w="108" w:type="dxa"/>
            <w:bottom w:w="0" w:type="dxa"/>
            <w:right w:w="108" w:type="dxa"/>
          </w:tblCellMar>
        </w:tblPrEx>
        <w:trPr>
          <w:cantSplit/>
          <w:trHeight w:val="0" w:hRule="atLeast"/>
          <w:jc w:val="center"/>
        </w:trPr>
        <w:tc>
          <w:tcPr>
            <w:tcW w:w="1677" w:type="pct"/>
            <w:tcBorders>
              <w:top w:val="nil"/>
              <w:left w:val="nil"/>
              <w:bottom w:val="nil"/>
              <w:right w:val="nil"/>
            </w:tcBorders>
            <w:shd w:val="clear" w:color="auto" w:fill="FFFFFF"/>
            <w:tcMar>
              <w:top w:w="40" w:type="dxa"/>
              <w:left w:w="80" w:type="dxa"/>
              <w:bottom w:w="40" w:type="dxa"/>
              <w:right w:w="80" w:type="dxa"/>
            </w:tcMar>
            <w:vAlign w:val="center"/>
          </w:tcPr>
          <w:p w14:paraId="550ED3FF">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Global efficiency / strength</w:t>
            </w:r>
          </w:p>
        </w:tc>
        <w:tc>
          <w:tcPr>
            <w:tcW w:w="760" w:type="pct"/>
            <w:tcBorders>
              <w:top w:val="nil"/>
              <w:left w:val="nil"/>
              <w:bottom w:val="nil"/>
              <w:right w:val="nil"/>
            </w:tcBorders>
            <w:shd w:val="clear" w:color="auto" w:fill="FFFFFF"/>
            <w:tcMar>
              <w:top w:w="40" w:type="dxa"/>
              <w:left w:w="80" w:type="dxa"/>
              <w:bottom w:w="40" w:type="dxa"/>
              <w:right w:w="80" w:type="dxa"/>
            </w:tcMar>
            <w:vAlign w:val="center"/>
          </w:tcPr>
          <w:p w14:paraId="34E7CB42">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0.759 / 0.607</w:t>
            </w:r>
          </w:p>
        </w:tc>
        <w:tc>
          <w:tcPr>
            <w:tcW w:w="2562" w:type="pct"/>
            <w:tcBorders>
              <w:top w:val="nil"/>
              <w:left w:val="nil"/>
              <w:bottom w:val="nil"/>
              <w:right w:val="nil"/>
            </w:tcBorders>
            <w:shd w:val="clear" w:color="auto" w:fill="FFFFFF"/>
            <w:tcMar>
              <w:top w:w="40" w:type="dxa"/>
              <w:left w:w="80" w:type="dxa"/>
              <w:bottom w:w="40" w:type="dxa"/>
              <w:right w:w="80" w:type="dxa"/>
            </w:tcMar>
            <w:vAlign w:val="center"/>
          </w:tcPr>
          <w:p w14:paraId="3B6D72DA">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Efficient global information transfer</w:t>
            </w:r>
          </w:p>
        </w:tc>
      </w:tr>
      <w:tr w14:paraId="134F3BF0">
        <w:tblPrEx>
          <w:tblCellMar>
            <w:top w:w="0" w:type="dxa"/>
            <w:left w:w="108" w:type="dxa"/>
            <w:bottom w:w="0" w:type="dxa"/>
            <w:right w:w="108" w:type="dxa"/>
          </w:tblCellMar>
        </w:tblPrEx>
        <w:trPr>
          <w:cantSplit/>
          <w:trHeight w:val="0" w:hRule="atLeast"/>
          <w:jc w:val="center"/>
        </w:trPr>
        <w:tc>
          <w:tcPr>
            <w:tcW w:w="1677" w:type="pct"/>
            <w:tcBorders>
              <w:top w:val="nil"/>
              <w:left w:val="nil"/>
              <w:bottom w:val="nil"/>
              <w:right w:val="nil"/>
            </w:tcBorders>
            <w:shd w:val="clear" w:color="auto" w:fill="FFFFFF"/>
            <w:tcMar>
              <w:top w:w="40" w:type="dxa"/>
              <w:left w:w="80" w:type="dxa"/>
              <w:bottom w:w="40" w:type="dxa"/>
              <w:right w:w="80" w:type="dxa"/>
            </w:tcMar>
            <w:vAlign w:val="center"/>
          </w:tcPr>
          <w:p w14:paraId="3E4BD684">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Global average controllability</w:t>
            </w:r>
          </w:p>
        </w:tc>
        <w:tc>
          <w:tcPr>
            <w:tcW w:w="760" w:type="pct"/>
            <w:tcBorders>
              <w:top w:val="nil"/>
              <w:left w:val="nil"/>
              <w:bottom w:val="nil"/>
              <w:right w:val="nil"/>
            </w:tcBorders>
            <w:shd w:val="clear" w:color="auto" w:fill="FFFFFF"/>
            <w:tcMar>
              <w:top w:w="40" w:type="dxa"/>
              <w:left w:w="80" w:type="dxa"/>
              <w:bottom w:w="40" w:type="dxa"/>
              <w:right w:w="80" w:type="dxa"/>
            </w:tcMar>
            <w:vAlign w:val="center"/>
          </w:tcPr>
          <w:p w14:paraId="7E7148B6">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1.555</w:t>
            </w:r>
          </w:p>
        </w:tc>
        <w:tc>
          <w:tcPr>
            <w:tcW w:w="2562" w:type="pct"/>
            <w:tcBorders>
              <w:top w:val="nil"/>
              <w:left w:val="nil"/>
              <w:bottom w:val="nil"/>
              <w:right w:val="nil"/>
            </w:tcBorders>
            <w:shd w:val="clear" w:color="auto" w:fill="FFFFFF"/>
            <w:tcMar>
              <w:top w:w="40" w:type="dxa"/>
              <w:left w:w="80" w:type="dxa"/>
              <w:bottom w:w="40" w:type="dxa"/>
              <w:right w:w="80" w:type="dxa"/>
            </w:tcMar>
            <w:vAlign w:val="center"/>
          </w:tcPr>
          <w:p w14:paraId="5AFF6840">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Ease of steering towards easy-to-reach states</w:t>
            </w:r>
          </w:p>
        </w:tc>
      </w:tr>
      <w:tr w14:paraId="163A2380">
        <w:tblPrEx>
          <w:tblCellMar>
            <w:top w:w="0" w:type="dxa"/>
            <w:left w:w="108" w:type="dxa"/>
            <w:bottom w:w="0" w:type="dxa"/>
            <w:right w:w="108" w:type="dxa"/>
          </w:tblCellMar>
        </w:tblPrEx>
        <w:trPr>
          <w:cantSplit/>
          <w:trHeight w:val="0" w:hRule="atLeast"/>
          <w:jc w:val="center"/>
        </w:trPr>
        <w:tc>
          <w:tcPr>
            <w:tcW w:w="1677" w:type="pct"/>
            <w:tcBorders>
              <w:top w:val="nil"/>
              <w:left w:val="nil"/>
              <w:bottom w:val="nil"/>
              <w:right w:val="nil"/>
            </w:tcBorders>
            <w:shd w:val="clear" w:color="auto" w:fill="FFFFFF"/>
            <w:tcMar>
              <w:top w:w="40" w:type="dxa"/>
              <w:left w:w="80" w:type="dxa"/>
              <w:bottom w:w="40" w:type="dxa"/>
              <w:right w:w="80" w:type="dxa"/>
            </w:tcMar>
            <w:vAlign w:val="center"/>
          </w:tcPr>
          <w:p w14:paraId="61BB341C">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Global modal controllability</w:t>
            </w:r>
          </w:p>
        </w:tc>
        <w:tc>
          <w:tcPr>
            <w:tcW w:w="760" w:type="pct"/>
            <w:tcBorders>
              <w:top w:val="nil"/>
              <w:left w:val="nil"/>
              <w:bottom w:val="nil"/>
              <w:right w:val="nil"/>
            </w:tcBorders>
            <w:shd w:val="clear" w:color="auto" w:fill="FFFFFF"/>
            <w:tcMar>
              <w:top w:w="40" w:type="dxa"/>
              <w:left w:w="80" w:type="dxa"/>
              <w:bottom w:w="40" w:type="dxa"/>
              <w:right w:w="80" w:type="dxa"/>
            </w:tcMar>
            <w:vAlign w:val="center"/>
          </w:tcPr>
          <w:p w14:paraId="65CB12C7">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0.929</w:t>
            </w:r>
          </w:p>
        </w:tc>
        <w:tc>
          <w:tcPr>
            <w:tcW w:w="2562" w:type="pct"/>
            <w:tcBorders>
              <w:top w:val="nil"/>
              <w:left w:val="nil"/>
              <w:bottom w:val="nil"/>
              <w:right w:val="nil"/>
            </w:tcBorders>
            <w:shd w:val="clear" w:color="auto" w:fill="FFFFFF"/>
            <w:tcMar>
              <w:top w:w="40" w:type="dxa"/>
              <w:left w:w="80" w:type="dxa"/>
              <w:bottom w:w="40" w:type="dxa"/>
              <w:right w:w="80" w:type="dxa"/>
            </w:tcMar>
            <w:vAlign w:val="center"/>
          </w:tcPr>
          <w:p w14:paraId="3A9C38C1">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Ability to steer towards hard-to-reach states</w:t>
            </w:r>
          </w:p>
        </w:tc>
      </w:tr>
      <w:tr w14:paraId="2AD23035">
        <w:tblPrEx>
          <w:tblCellMar>
            <w:top w:w="0" w:type="dxa"/>
            <w:left w:w="108" w:type="dxa"/>
            <w:bottom w:w="0" w:type="dxa"/>
            <w:right w:w="108" w:type="dxa"/>
          </w:tblCellMar>
        </w:tblPrEx>
        <w:trPr>
          <w:cantSplit/>
          <w:trHeight w:val="0" w:hRule="atLeast"/>
          <w:jc w:val="center"/>
        </w:trPr>
        <w:tc>
          <w:tcPr>
            <w:tcW w:w="1677" w:type="pct"/>
            <w:tcBorders>
              <w:top w:val="nil"/>
              <w:left w:val="nil"/>
              <w:bottom w:val="nil"/>
              <w:right w:val="nil"/>
            </w:tcBorders>
            <w:shd w:val="clear" w:color="auto" w:fill="FFFFFF"/>
            <w:tcMar>
              <w:top w:w="40" w:type="dxa"/>
              <w:left w:w="80" w:type="dxa"/>
              <w:bottom w:w="40" w:type="dxa"/>
              <w:right w:w="80" w:type="dxa"/>
            </w:tcMar>
            <w:vAlign w:val="center"/>
          </w:tcPr>
          <w:p w14:paraId="4F70A1BE">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MDS size / equivalent solutions</w:t>
            </w:r>
          </w:p>
        </w:tc>
        <w:tc>
          <w:tcPr>
            <w:tcW w:w="760" w:type="pct"/>
            <w:tcBorders>
              <w:top w:val="nil"/>
              <w:left w:val="nil"/>
              <w:bottom w:val="nil"/>
              <w:right w:val="nil"/>
            </w:tcBorders>
            <w:shd w:val="clear" w:color="auto" w:fill="FFFFFF"/>
            <w:tcMar>
              <w:top w:w="40" w:type="dxa"/>
              <w:left w:w="80" w:type="dxa"/>
              <w:bottom w:w="40" w:type="dxa"/>
              <w:right w:w="80" w:type="dxa"/>
            </w:tcMar>
            <w:vAlign w:val="center"/>
          </w:tcPr>
          <w:p w14:paraId="2EF9D15D">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3 / 10</w:t>
            </w:r>
          </w:p>
        </w:tc>
        <w:tc>
          <w:tcPr>
            <w:tcW w:w="2562" w:type="pct"/>
            <w:tcBorders>
              <w:top w:val="nil"/>
              <w:left w:val="nil"/>
              <w:bottom w:val="nil"/>
              <w:right w:val="nil"/>
            </w:tcBorders>
            <w:shd w:val="clear" w:color="auto" w:fill="FFFFFF"/>
            <w:tcMar>
              <w:top w:w="40" w:type="dxa"/>
              <w:left w:w="80" w:type="dxa"/>
              <w:bottom w:w="40" w:type="dxa"/>
              <w:right w:w="80" w:type="dxa"/>
            </w:tcMar>
            <w:vAlign w:val="center"/>
          </w:tcPr>
          <w:p w14:paraId="40E1A05F">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Three-node MDS solutions; 10 equivalent solutions</w:t>
            </w:r>
          </w:p>
        </w:tc>
      </w:tr>
      <w:tr w14:paraId="728BE7EA">
        <w:tblPrEx>
          <w:tblCellMar>
            <w:top w:w="0" w:type="dxa"/>
            <w:left w:w="108" w:type="dxa"/>
            <w:bottom w:w="0" w:type="dxa"/>
            <w:right w:w="108" w:type="dxa"/>
          </w:tblCellMar>
        </w:tblPrEx>
        <w:trPr>
          <w:cantSplit/>
          <w:trHeight w:val="0" w:hRule="atLeast"/>
          <w:jc w:val="center"/>
        </w:trPr>
        <w:tc>
          <w:tcPr>
            <w:tcW w:w="1677" w:type="pct"/>
            <w:tcBorders>
              <w:top w:val="nil"/>
              <w:left w:val="nil"/>
              <w:bottom w:val="nil"/>
              <w:right w:val="nil"/>
            </w:tcBorders>
            <w:shd w:val="clear" w:color="auto" w:fill="FFFFFF"/>
            <w:tcMar>
              <w:top w:w="40" w:type="dxa"/>
              <w:left w:w="80" w:type="dxa"/>
              <w:bottom w:w="40" w:type="dxa"/>
              <w:right w:w="80" w:type="dxa"/>
            </w:tcMar>
            <w:vAlign w:val="center"/>
          </w:tcPr>
          <w:p w14:paraId="5C9036F8">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DIET22 control frequency (CF)</w:t>
            </w:r>
          </w:p>
        </w:tc>
        <w:tc>
          <w:tcPr>
            <w:tcW w:w="760" w:type="pct"/>
            <w:tcBorders>
              <w:top w:val="nil"/>
              <w:left w:val="nil"/>
              <w:bottom w:val="nil"/>
              <w:right w:val="nil"/>
            </w:tcBorders>
            <w:shd w:val="clear" w:color="auto" w:fill="FFFFFF"/>
            <w:tcMar>
              <w:top w:w="40" w:type="dxa"/>
              <w:left w:w="80" w:type="dxa"/>
              <w:bottom w:w="40" w:type="dxa"/>
              <w:right w:w="80" w:type="dxa"/>
            </w:tcMar>
            <w:vAlign w:val="center"/>
          </w:tcPr>
          <w:p w14:paraId="2399C081">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0.60</w:t>
            </w:r>
          </w:p>
        </w:tc>
        <w:tc>
          <w:tcPr>
            <w:tcW w:w="2562" w:type="pct"/>
            <w:tcBorders>
              <w:top w:val="nil"/>
              <w:left w:val="nil"/>
              <w:bottom w:val="nil"/>
              <w:right w:val="nil"/>
            </w:tcBorders>
            <w:shd w:val="clear" w:color="auto" w:fill="FFFFFF"/>
            <w:tcMar>
              <w:top w:w="40" w:type="dxa"/>
              <w:left w:w="80" w:type="dxa"/>
              <w:bottom w:w="40" w:type="dxa"/>
              <w:right w:w="80" w:type="dxa"/>
            </w:tcMar>
            <w:vAlign w:val="center"/>
          </w:tcPr>
          <w:p w14:paraId="5C7AEABB">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“worried by others about eating too much”</w:t>
            </w:r>
          </w:p>
        </w:tc>
      </w:tr>
      <w:tr w14:paraId="37A6277A">
        <w:tblPrEx>
          <w:tblCellMar>
            <w:top w:w="0" w:type="dxa"/>
            <w:left w:w="108" w:type="dxa"/>
            <w:bottom w:w="0" w:type="dxa"/>
            <w:right w:w="108" w:type="dxa"/>
          </w:tblCellMar>
        </w:tblPrEx>
        <w:trPr>
          <w:cantSplit/>
          <w:trHeight w:val="0" w:hRule="atLeast"/>
          <w:jc w:val="center"/>
        </w:trPr>
        <w:tc>
          <w:tcPr>
            <w:tcW w:w="1677" w:type="pct"/>
            <w:tcBorders>
              <w:top w:val="nil"/>
              <w:left w:val="nil"/>
              <w:bottom w:val="nil"/>
              <w:right w:val="nil"/>
            </w:tcBorders>
            <w:shd w:val="clear" w:color="auto" w:fill="FFFFFF"/>
            <w:tcMar>
              <w:top w:w="40" w:type="dxa"/>
              <w:left w:w="80" w:type="dxa"/>
              <w:bottom w:w="40" w:type="dxa"/>
              <w:right w:w="80" w:type="dxa"/>
            </w:tcMar>
            <w:vAlign w:val="center"/>
          </w:tcPr>
          <w:p w14:paraId="7C4CEFFE">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SDQ18 control frequency (CF)</w:t>
            </w:r>
          </w:p>
        </w:tc>
        <w:tc>
          <w:tcPr>
            <w:tcW w:w="760" w:type="pct"/>
            <w:tcBorders>
              <w:top w:val="nil"/>
              <w:left w:val="nil"/>
              <w:bottom w:val="nil"/>
              <w:right w:val="nil"/>
            </w:tcBorders>
            <w:shd w:val="clear" w:color="auto" w:fill="FFFFFF"/>
            <w:tcMar>
              <w:top w:w="40" w:type="dxa"/>
              <w:left w:w="80" w:type="dxa"/>
              <w:bottom w:w="40" w:type="dxa"/>
              <w:right w:w="80" w:type="dxa"/>
            </w:tcMar>
            <w:vAlign w:val="center"/>
          </w:tcPr>
          <w:p w14:paraId="2E9FEA5F">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0.50</w:t>
            </w:r>
          </w:p>
        </w:tc>
        <w:tc>
          <w:tcPr>
            <w:tcW w:w="2562" w:type="pct"/>
            <w:tcBorders>
              <w:top w:val="nil"/>
              <w:left w:val="nil"/>
              <w:bottom w:val="nil"/>
              <w:right w:val="nil"/>
            </w:tcBorders>
            <w:shd w:val="clear" w:color="auto" w:fill="FFFFFF"/>
            <w:tcMar>
              <w:top w:w="40" w:type="dxa"/>
              <w:left w:w="80" w:type="dxa"/>
              <w:bottom w:w="40" w:type="dxa"/>
              <w:right w:w="80" w:type="dxa"/>
            </w:tcMar>
            <w:vAlign w:val="center"/>
          </w:tcPr>
          <w:p w14:paraId="47EF052B">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“often lies or cheats”</w:t>
            </w:r>
          </w:p>
        </w:tc>
      </w:tr>
      <w:tr w14:paraId="0C80B048">
        <w:tblPrEx>
          <w:tblCellMar>
            <w:top w:w="0" w:type="dxa"/>
            <w:left w:w="108" w:type="dxa"/>
            <w:bottom w:w="0" w:type="dxa"/>
            <w:right w:w="108" w:type="dxa"/>
          </w:tblCellMar>
        </w:tblPrEx>
        <w:trPr>
          <w:cantSplit/>
          <w:trHeight w:val="0" w:hRule="atLeast"/>
          <w:jc w:val="center"/>
        </w:trPr>
        <w:tc>
          <w:tcPr>
            <w:tcW w:w="1677" w:type="pct"/>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7C453986">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DASS14 control frequency (CF)</w:t>
            </w:r>
          </w:p>
        </w:tc>
        <w:tc>
          <w:tcPr>
            <w:tcW w:w="760" w:type="pct"/>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06BCD174">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0.40</w:t>
            </w:r>
          </w:p>
        </w:tc>
        <w:tc>
          <w:tcPr>
            <w:tcW w:w="2562" w:type="pct"/>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14BC07B7">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“intolerant of anything keeping me from my task”</w:t>
            </w:r>
          </w:p>
        </w:tc>
      </w:tr>
    </w:tbl>
    <w:p w14:paraId="11EDFAD7">
      <w:pPr>
        <w:jc w:val="both"/>
        <w:rPr>
          <w:rFonts w:hint="default" w:ascii="Arial" w:hAnsi="Arial" w:cs="Arial"/>
          <w:i/>
          <w:color w:val="auto"/>
          <w:sz w:val="18"/>
        </w:rPr>
      </w:pPr>
      <w:r>
        <w:rPr>
          <w:rFonts w:hint="default" w:ascii="Arial" w:hAnsi="Arial" w:cs="Arial"/>
          <w:i/>
          <w:color w:val="auto"/>
          <w:sz w:val="18"/>
        </w:rPr>
        <w:t>None of the three leading structural-control nodes ranked among the highest-strength nodes, confirming that structural control is distinct from node centrality.</w:t>
      </w:r>
      <w:bookmarkStart w:id="0" w:name="_GoBack"/>
      <w:bookmarkEnd w:id="0"/>
    </w:p>
    <w:p w14:paraId="4C86EA91">
      <w:pPr>
        <w:jc w:val="both"/>
        <w:rPr>
          <w:rFonts w:hint="default" w:ascii="Arial" w:hAnsi="Arial" w:cs="Arial"/>
          <w:i/>
          <w:color w:val="auto"/>
          <w:sz w:val="18"/>
        </w:rPr>
      </w:pPr>
    </w:p>
    <w:p w14:paraId="685938C8">
      <w:pPr>
        <w:keepNext/>
        <w:spacing w:before="160" w:after="40"/>
        <w:jc w:val="left"/>
        <w:rPr>
          <w:rFonts w:hint="default" w:ascii="Arial" w:hAnsi="Arial" w:cs="Arial"/>
          <w:b/>
          <w:color w:val="auto"/>
          <w:sz w:val="22"/>
          <w:szCs w:val="22"/>
        </w:rPr>
      </w:pPr>
      <w:r>
        <w:rPr>
          <w:rFonts w:hint="default" w:ascii="Arial" w:hAnsi="Arial" w:cs="Arial"/>
          <w:color w:val="auto"/>
        </w:rPr>
        <w:t>Supplementary Table S4. Directional profile of the SEARCH cohort (CLPN and Bayesian DAG)</w:t>
      </w:r>
    </w:p>
    <w:tbl>
      <w:tblPr>
        <w:tblStyle w:val="32"/>
        <w:tblW w:w="0" w:type="auto"/>
        <w:jc w:val="center"/>
        <w:tblLayout w:type="fixed"/>
        <w:tblCellMar>
          <w:top w:w="0" w:type="dxa"/>
          <w:left w:w="108" w:type="dxa"/>
          <w:bottom w:w="0" w:type="dxa"/>
          <w:right w:w="108" w:type="dxa"/>
        </w:tblCellMar>
      </w:tblPr>
      <w:tblGrid>
        <w:gridCol w:w="1872"/>
        <w:gridCol w:w="1872"/>
        <w:gridCol w:w="1872"/>
        <w:gridCol w:w="1872"/>
        <w:gridCol w:w="1872"/>
      </w:tblGrid>
      <w:tr w14:paraId="3DAFFC0F">
        <w:tblPrEx>
          <w:tblCellMar>
            <w:top w:w="0" w:type="dxa"/>
            <w:left w:w="108" w:type="dxa"/>
            <w:bottom w:w="0" w:type="dxa"/>
            <w:right w:w="108" w:type="dxa"/>
          </w:tblCellMar>
        </w:tblPrEx>
        <w:trPr>
          <w:cantSplit/>
          <w:tblHeader/>
          <w:jc w:val="center"/>
        </w:trPr>
        <w:tc>
          <w:tcPr>
            <w:tcW w:w="1872"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41E42EEB">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Domain</w:t>
            </w:r>
          </w:p>
        </w:tc>
        <w:tc>
          <w:tcPr>
            <w:tcW w:w="1872"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69E8B42D">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CLPN net directionality</w:t>
            </w:r>
          </w:p>
        </w:tc>
        <w:tc>
          <w:tcPr>
            <w:tcW w:w="1872"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1F551524">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95% CI</w:t>
            </w:r>
          </w:p>
        </w:tc>
        <w:tc>
          <w:tcPr>
            <w:tcW w:w="1872"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1E18C40C">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Temporal role</w:t>
            </w:r>
          </w:p>
        </w:tc>
        <w:tc>
          <w:tcPr>
            <w:tcW w:w="1872"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3725BC27">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Bayesian DAG net</w:t>
            </w:r>
          </w:p>
        </w:tc>
      </w:tr>
      <w:tr w14:paraId="3F52F26D">
        <w:tblPrEx>
          <w:tblCellMar>
            <w:top w:w="0" w:type="dxa"/>
            <w:left w:w="108" w:type="dxa"/>
            <w:bottom w:w="0" w:type="dxa"/>
            <w:right w:w="108" w:type="dxa"/>
          </w:tblCellMar>
        </w:tblPrEx>
        <w:trPr>
          <w:cantSplit/>
          <w:jc w:val="center"/>
        </w:trPr>
        <w:tc>
          <w:tcPr>
            <w:tcW w:w="1872"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2365A7C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DASS</w:t>
            </w:r>
          </w:p>
        </w:tc>
        <w:tc>
          <w:tcPr>
            <w:tcW w:w="1872"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0DE1B54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+0.249</w:t>
            </w:r>
          </w:p>
        </w:tc>
        <w:tc>
          <w:tcPr>
            <w:tcW w:w="1872"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26F49C5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[0.086, 0.418]</w:t>
            </w:r>
          </w:p>
        </w:tc>
        <w:tc>
          <w:tcPr>
            <w:tcW w:w="1872"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111F9CB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source</w:t>
            </w:r>
          </w:p>
        </w:tc>
        <w:tc>
          <w:tcPr>
            <w:tcW w:w="1872"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04CCC94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w:t>
            </w:r>
          </w:p>
        </w:tc>
      </w:tr>
      <w:tr w14:paraId="336BA0CB">
        <w:tblPrEx>
          <w:tblCellMar>
            <w:top w:w="0" w:type="dxa"/>
            <w:left w:w="108" w:type="dxa"/>
            <w:bottom w:w="0" w:type="dxa"/>
            <w:right w:w="108" w:type="dxa"/>
          </w:tblCellMar>
        </w:tblPrEx>
        <w:trPr>
          <w:cantSplit/>
          <w:jc w:val="center"/>
        </w:trPr>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6C2B119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ISI</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4B4DDCF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+0.061</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0521C75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[−0.091, 0.217]</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7BEA355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ns</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630E374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w:t>
            </w:r>
          </w:p>
        </w:tc>
      </w:tr>
      <w:tr w14:paraId="7AF1C2DA">
        <w:tblPrEx>
          <w:tblCellMar>
            <w:top w:w="0" w:type="dxa"/>
            <w:left w:w="108" w:type="dxa"/>
            <w:bottom w:w="0" w:type="dxa"/>
            <w:right w:w="108" w:type="dxa"/>
          </w:tblCellMar>
        </w:tblPrEx>
        <w:trPr>
          <w:cantSplit/>
          <w:jc w:val="center"/>
        </w:trPr>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43046B3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CIAS</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1B91937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−0.061</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3AD3137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[−0.161, 0.051]</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4E9DE6B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ns</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1AA9B0D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w:t>
            </w:r>
          </w:p>
        </w:tc>
      </w:tr>
      <w:tr w14:paraId="5AF64F32">
        <w:tblPrEx>
          <w:tblCellMar>
            <w:top w:w="0" w:type="dxa"/>
            <w:left w:w="108" w:type="dxa"/>
            <w:bottom w:w="0" w:type="dxa"/>
            <w:right w:w="108" w:type="dxa"/>
          </w:tblCellMar>
        </w:tblPrEx>
        <w:trPr>
          <w:cantSplit/>
          <w:jc w:val="center"/>
        </w:trPr>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27CD1F7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DIET</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033D75F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−0.014</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67E28A9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[−0.137, 0.108]</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78EBE69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ns</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0CF981D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w:t>
            </w:r>
          </w:p>
        </w:tc>
      </w:tr>
      <w:tr w14:paraId="22FEB494">
        <w:tblPrEx>
          <w:tblCellMar>
            <w:top w:w="0" w:type="dxa"/>
            <w:left w:w="108" w:type="dxa"/>
            <w:bottom w:w="0" w:type="dxa"/>
            <w:right w:w="108" w:type="dxa"/>
          </w:tblCellMar>
        </w:tblPrEx>
        <w:trPr>
          <w:cantSplit/>
          <w:jc w:val="center"/>
        </w:trPr>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36491F4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SDQ</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2E42F3F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−0.090</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5997060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[−0.189, −0.003]</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11CF219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sink</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5247AE8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w:t>
            </w:r>
          </w:p>
        </w:tc>
      </w:tr>
      <w:tr w14:paraId="0E6C226D">
        <w:tblPrEx>
          <w:tblCellMar>
            <w:top w:w="0" w:type="dxa"/>
            <w:left w:w="108" w:type="dxa"/>
            <w:bottom w:w="0" w:type="dxa"/>
            <w:right w:w="108" w:type="dxa"/>
          </w:tblCellMar>
        </w:tblPrEx>
        <w:trPr>
          <w:cantSplit/>
          <w:jc w:val="center"/>
        </w:trPr>
        <w:tc>
          <w:tcPr>
            <w:tcW w:w="1872"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2062553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ACT</w:t>
            </w:r>
          </w:p>
        </w:tc>
        <w:tc>
          <w:tcPr>
            <w:tcW w:w="1872"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776B71A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−0.145</w:t>
            </w:r>
          </w:p>
        </w:tc>
        <w:tc>
          <w:tcPr>
            <w:tcW w:w="1872"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6FF3CB4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[−0.218, −0.060]</w:t>
            </w:r>
          </w:p>
        </w:tc>
        <w:tc>
          <w:tcPr>
            <w:tcW w:w="1872"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76C9C0F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sink</w:t>
            </w:r>
          </w:p>
        </w:tc>
        <w:tc>
          <w:tcPr>
            <w:tcW w:w="1872"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34FDF9F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w:t>
            </w:r>
          </w:p>
        </w:tc>
      </w:tr>
    </w:tbl>
    <w:p w14:paraId="470CC159">
      <w:pPr>
        <w:jc w:val="both"/>
        <w:rPr>
          <w:rFonts w:hint="default" w:ascii="Arial" w:hAnsi="Arial" w:cs="Arial"/>
          <w:i/>
          <w:color w:val="auto"/>
          <w:sz w:val="18"/>
        </w:rPr>
      </w:pPr>
      <w:r>
        <w:rPr>
          <w:rFonts w:hint="default" w:ascii="Arial" w:hAnsi="Arial" w:cs="Arial"/>
          <w:i/>
          <w:color w:val="auto"/>
          <w:sz w:val="18"/>
        </w:rPr>
        <w:t xml:space="preserve">DASS lies on the </w:t>
      </w:r>
      <w:r>
        <w:rPr>
          <w:rFonts w:hint="eastAsia" w:eastAsia="宋体" w:cs="Arial"/>
          <w:i/>
          <w:color w:val="auto"/>
          <w:sz w:val="18"/>
          <w:lang w:eastAsia="zh-CN"/>
        </w:rPr>
        <w:t>net source positions</w:t>
      </w:r>
      <w:r>
        <w:rPr>
          <w:rFonts w:hint="default" w:ascii="Arial" w:hAnsi="Arial" w:cs="Arial"/>
          <w:i/>
          <w:color w:val="auto"/>
          <w:sz w:val="18"/>
        </w:rPr>
        <w:t xml:space="preserve"> in both the longitudinal CLPN and the exploratory baseline Bayesian graph. Across six paired domains, the method-level association was positive but imprecisely estimated (Pearson r = 0.750, df = 4, two-sided P = 0.086; bootstrap 95% CI, −0.604 to 0.995).</w:t>
      </w:r>
    </w:p>
    <w:p w14:paraId="2BBBD166">
      <w:pPr>
        <w:jc w:val="both"/>
        <w:rPr>
          <w:rFonts w:hint="default" w:ascii="Arial" w:hAnsi="Arial" w:cs="Arial"/>
          <w:i/>
          <w:color w:val="auto"/>
          <w:sz w:val="18"/>
        </w:rPr>
      </w:pPr>
    </w:p>
    <w:p w14:paraId="1A0AFAEE">
      <w:pPr>
        <w:jc w:val="both"/>
        <w:rPr>
          <w:rFonts w:hint="default" w:ascii="Arial" w:hAnsi="Arial" w:cs="Arial"/>
          <w:b/>
          <w:color w:val="auto"/>
          <w:sz w:val="22"/>
          <w:szCs w:val="22"/>
        </w:rPr>
      </w:pPr>
      <w:r>
        <w:rPr>
          <w:rFonts w:hint="default" w:ascii="Arial" w:hAnsi="Arial" w:cs="Arial"/>
          <w:color w:val="auto"/>
        </w:rPr>
        <w:t>Supplementary Table S5. Full cross-lagged coefficient matrix, SEARCH cohort (N = 6,092)</w:t>
      </w:r>
    </w:p>
    <w:tbl>
      <w:tblPr>
        <w:tblStyle w:val="32"/>
        <w:tblW w:w="0" w:type="auto"/>
        <w:jc w:val="center"/>
        <w:tblLayout w:type="fixed"/>
        <w:tblCellMar>
          <w:top w:w="0" w:type="dxa"/>
          <w:left w:w="108" w:type="dxa"/>
          <w:bottom w:w="0" w:type="dxa"/>
          <w:right w:w="108" w:type="dxa"/>
        </w:tblCellMar>
      </w:tblPr>
      <w:tblGrid>
        <w:gridCol w:w="1337"/>
        <w:gridCol w:w="1337"/>
        <w:gridCol w:w="1337"/>
        <w:gridCol w:w="1337"/>
        <w:gridCol w:w="1337"/>
        <w:gridCol w:w="1337"/>
        <w:gridCol w:w="1337"/>
      </w:tblGrid>
      <w:tr w14:paraId="355E1EA1">
        <w:tblPrEx>
          <w:tblCellMar>
            <w:top w:w="0" w:type="dxa"/>
            <w:left w:w="108" w:type="dxa"/>
            <w:bottom w:w="0" w:type="dxa"/>
            <w:right w:w="108" w:type="dxa"/>
          </w:tblCellMar>
        </w:tblPrEx>
        <w:trPr>
          <w:cantSplit/>
          <w:tblHeader/>
          <w:jc w:val="center"/>
        </w:trPr>
        <w:tc>
          <w:tcPr>
            <w:tcW w:w="1337"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tcPr>
          <w:p w14:paraId="32492F7D">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W1 ↓ / W3 →</w:t>
            </w:r>
          </w:p>
        </w:tc>
        <w:tc>
          <w:tcPr>
            <w:tcW w:w="1337"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tcPr>
          <w:p w14:paraId="3CAF9CA3">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CIAS→</w:t>
            </w:r>
          </w:p>
        </w:tc>
        <w:tc>
          <w:tcPr>
            <w:tcW w:w="1337"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tcPr>
          <w:p w14:paraId="3818E4F8">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DASS→</w:t>
            </w:r>
          </w:p>
        </w:tc>
        <w:tc>
          <w:tcPr>
            <w:tcW w:w="1337"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tcPr>
          <w:p w14:paraId="2E14CA13">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SDQ→</w:t>
            </w:r>
          </w:p>
        </w:tc>
        <w:tc>
          <w:tcPr>
            <w:tcW w:w="1337"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tcPr>
          <w:p w14:paraId="6E98F56B">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DIET→</w:t>
            </w:r>
          </w:p>
        </w:tc>
        <w:tc>
          <w:tcPr>
            <w:tcW w:w="1337"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tcPr>
          <w:p w14:paraId="7D0C04C0">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ISI→</w:t>
            </w:r>
          </w:p>
        </w:tc>
        <w:tc>
          <w:tcPr>
            <w:tcW w:w="1337"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tcPr>
          <w:p w14:paraId="511F35C1">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ACT→</w:t>
            </w:r>
          </w:p>
        </w:tc>
      </w:tr>
      <w:tr w14:paraId="143758CB">
        <w:tblPrEx>
          <w:tblCellMar>
            <w:top w:w="0" w:type="dxa"/>
            <w:left w:w="108" w:type="dxa"/>
            <w:bottom w:w="0" w:type="dxa"/>
            <w:right w:w="108" w:type="dxa"/>
          </w:tblCellMar>
        </w:tblPrEx>
        <w:trPr>
          <w:cantSplit/>
          <w:jc w:val="center"/>
        </w:trPr>
        <w:tc>
          <w:tcPr>
            <w:tcW w:w="1337"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76C9E77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CIAS</w:t>
            </w:r>
          </w:p>
        </w:tc>
        <w:tc>
          <w:tcPr>
            <w:tcW w:w="1337"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3AC0DBE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0.440</w:t>
            </w:r>
          </w:p>
        </w:tc>
        <w:tc>
          <w:tcPr>
            <w:tcW w:w="1337"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13C0FE8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0.079</w:t>
            </w:r>
          </w:p>
        </w:tc>
        <w:tc>
          <w:tcPr>
            <w:tcW w:w="1337"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6DF0E05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-0.011</w:t>
            </w:r>
          </w:p>
        </w:tc>
        <w:tc>
          <w:tcPr>
            <w:tcW w:w="1337"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4CDC953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0.082</w:t>
            </w:r>
          </w:p>
        </w:tc>
        <w:tc>
          <w:tcPr>
            <w:tcW w:w="1337"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4555772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0.081</w:t>
            </w:r>
          </w:p>
        </w:tc>
        <w:tc>
          <w:tcPr>
            <w:tcW w:w="1337"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7AC9365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-0.050</w:t>
            </w:r>
          </w:p>
        </w:tc>
      </w:tr>
      <w:tr w14:paraId="3E27E101">
        <w:tblPrEx>
          <w:tblCellMar>
            <w:top w:w="0" w:type="dxa"/>
            <w:left w:w="108" w:type="dxa"/>
            <w:bottom w:w="0" w:type="dxa"/>
            <w:right w:w="108" w:type="dxa"/>
          </w:tblCellMar>
        </w:tblPrEx>
        <w:trPr>
          <w:cantSplit/>
          <w:jc w:val="center"/>
        </w:trPr>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2A56107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DASS</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42C3030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0.160</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4E57A37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0.423</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1327057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0.120</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5B097C0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0.108</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15E7CB3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0.151</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786B0EE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-0.056</w:t>
            </w:r>
          </w:p>
        </w:tc>
      </w:tr>
      <w:tr w14:paraId="6CC2BC30">
        <w:tblPrEx>
          <w:tblCellMar>
            <w:top w:w="0" w:type="dxa"/>
            <w:left w:w="108" w:type="dxa"/>
            <w:bottom w:w="0" w:type="dxa"/>
            <w:right w:w="108" w:type="dxa"/>
          </w:tblCellMar>
        </w:tblPrEx>
        <w:trPr>
          <w:cantSplit/>
          <w:jc w:val="center"/>
        </w:trPr>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1AEFAD7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SDQ</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77DEA0B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-0.029</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32C8A1A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0.050</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55EEC31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0.314</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43BFE68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0.016</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33FBD5A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0.004</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5F41721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0.062</w:t>
            </w:r>
          </w:p>
        </w:tc>
      </w:tr>
      <w:tr w14:paraId="20A359B3">
        <w:tblPrEx>
          <w:tblCellMar>
            <w:top w:w="0" w:type="dxa"/>
            <w:left w:w="108" w:type="dxa"/>
            <w:bottom w:w="0" w:type="dxa"/>
            <w:right w:w="108" w:type="dxa"/>
          </w:tblCellMar>
        </w:tblPrEx>
        <w:trPr>
          <w:cantSplit/>
          <w:jc w:val="center"/>
        </w:trPr>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05BA637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DIET</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5A879B6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0.073</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1F60EAC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0.059</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641C790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0.047</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335C41C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0.218</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75557F7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0.061</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6C08975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0.052</w:t>
            </w:r>
          </w:p>
        </w:tc>
      </w:tr>
      <w:tr w14:paraId="4A4E0B62">
        <w:tblPrEx>
          <w:tblCellMar>
            <w:top w:w="0" w:type="dxa"/>
            <w:left w:w="108" w:type="dxa"/>
            <w:bottom w:w="0" w:type="dxa"/>
            <w:right w:w="108" w:type="dxa"/>
          </w:tblCellMar>
        </w:tblPrEx>
        <w:trPr>
          <w:cantSplit/>
          <w:jc w:val="center"/>
        </w:trPr>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35B4E13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ISI</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77302BB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0.060</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0E0991D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0.150</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202D1C9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0.070</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7DAF39E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0.074</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464E2E3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0.402</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404FA3D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-0.018</w:t>
            </w:r>
          </w:p>
        </w:tc>
      </w:tr>
      <w:tr w14:paraId="7E0139FB">
        <w:tblPrEx>
          <w:tblCellMar>
            <w:top w:w="0" w:type="dxa"/>
            <w:left w:w="108" w:type="dxa"/>
            <w:bottom w:w="0" w:type="dxa"/>
            <w:right w:w="108" w:type="dxa"/>
          </w:tblCellMar>
        </w:tblPrEx>
        <w:trPr>
          <w:cantSplit/>
          <w:jc w:val="center"/>
        </w:trPr>
        <w:tc>
          <w:tcPr>
            <w:tcW w:w="1337"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2F178DF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ACT</w:t>
            </w:r>
          </w:p>
        </w:tc>
        <w:tc>
          <w:tcPr>
            <w:tcW w:w="1337"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35AEDF2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-0.041</w:t>
            </w:r>
          </w:p>
        </w:tc>
        <w:tc>
          <w:tcPr>
            <w:tcW w:w="1337"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10B3B68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-0.010</w:t>
            </w:r>
          </w:p>
        </w:tc>
        <w:tc>
          <w:tcPr>
            <w:tcW w:w="1337"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596D5CD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-0.002</w:t>
            </w:r>
          </w:p>
        </w:tc>
        <w:tc>
          <w:tcPr>
            <w:tcW w:w="1337"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538E6B4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0.027</w:t>
            </w:r>
          </w:p>
        </w:tc>
        <w:tc>
          <w:tcPr>
            <w:tcW w:w="1337"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19B598B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0.014</w:t>
            </w:r>
          </w:p>
        </w:tc>
        <w:tc>
          <w:tcPr>
            <w:tcW w:w="1337"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66AFB6B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0.293</w:t>
            </w:r>
          </w:p>
        </w:tc>
      </w:tr>
    </w:tbl>
    <w:p w14:paraId="5DC3271B">
      <w:pPr>
        <w:jc w:val="both"/>
        <w:rPr>
          <w:rFonts w:hint="default" w:ascii="Arial" w:hAnsi="Arial" w:cs="Arial"/>
          <w:color w:val="auto"/>
        </w:rPr>
      </w:pPr>
      <w:r>
        <w:rPr>
          <w:rFonts w:hint="default" w:ascii="Arial" w:hAnsi="Arial" w:cs="Arial"/>
          <w:i/>
          <w:color w:val="auto"/>
          <w:sz w:val="18"/>
        </w:rPr>
        <w:t>Rows are Wave-1 predictors; columns are Wave-3 outcomes. Diagonal entries are autoregressions; coefficients are standardised (HC3 robust).</w:t>
      </w:r>
    </w:p>
    <w:p w14:paraId="29FACD8D">
      <w:pPr>
        <w:spacing w:before="160" w:after="40"/>
        <w:jc w:val="left"/>
        <w:rPr>
          <w:rFonts w:hint="default" w:ascii="Arial" w:hAnsi="Arial" w:cs="Arial"/>
          <w:b/>
          <w:color w:val="auto"/>
          <w:sz w:val="22"/>
          <w:szCs w:val="22"/>
        </w:rPr>
      </w:pPr>
    </w:p>
    <w:p w14:paraId="22C01E83">
      <w:pPr>
        <w:keepNext/>
        <w:spacing w:before="160" w:after="40"/>
        <w:jc w:val="left"/>
        <w:rPr>
          <w:rFonts w:hint="default" w:ascii="Arial" w:hAnsi="Arial" w:cs="Arial"/>
          <w:b/>
          <w:color w:val="auto"/>
          <w:sz w:val="22"/>
          <w:szCs w:val="22"/>
        </w:rPr>
      </w:pPr>
      <w:r>
        <w:rPr>
          <w:rFonts w:hint="default" w:ascii="Arial" w:hAnsi="Arial" w:cs="Arial"/>
          <w:color w:val="auto"/>
        </w:rPr>
        <w:t>Supplementary Table S6. Full cross-lagged coefficient matrix, Millennium Cohort Study (N = 7,838)</w:t>
      </w:r>
    </w:p>
    <w:tbl>
      <w:tblPr>
        <w:tblStyle w:val="32"/>
        <w:tblW w:w="0" w:type="auto"/>
        <w:jc w:val="center"/>
        <w:tblLayout w:type="fixed"/>
        <w:tblCellMar>
          <w:top w:w="0" w:type="dxa"/>
          <w:left w:w="108" w:type="dxa"/>
          <w:bottom w:w="0" w:type="dxa"/>
          <w:right w:w="108" w:type="dxa"/>
        </w:tblCellMar>
      </w:tblPr>
      <w:tblGrid>
        <w:gridCol w:w="1652"/>
        <w:gridCol w:w="1278"/>
        <w:gridCol w:w="1081"/>
        <w:gridCol w:w="1337"/>
        <w:gridCol w:w="1337"/>
        <w:gridCol w:w="1337"/>
        <w:gridCol w:w="1337"/>
      </w:tblGrid>
      <w:tr w14:paraId="55B95D7F">
        <w:tblPrEx>
          <w:tblCellMar>
            <w:top w:w="0" w:type="dxa"/>
            <w:left w:w="108" w:type="dxa"/>
            <w:bottom w:w="0" w:type="dxa"/>
            <w:right w:w="108" w:type="dxa"/>
          </w:tblCellMar>
        </w:tblPrEx>
        <w:trPr>
          <w:cantSplit/>
          <w:tblHeader/>
          <w:jc w:val="center"/>
        </w:trPr>
        <w:tc>
          <w:tcPr>
            <w:tcW w:w="1652"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3F5F4A0D">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Age14 ↓ / Age17 →</w:t>
            </w:r>
          </w:p>
        </w:tc>
        <w:tc>
          <w:tcPr>
            <w:tcW w:w="1278"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45A8B2FC">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Internalising</w:t>
            </w:r>
          </w:p>
        </w:tc>
        <w:tc>
          <w:tcPr>
            <w:tcW w:w="1081"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73E7345A">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Conduct</w:t>
            </w:r>
          </w:p>
        </w:tc>
        <w:tc>
          <w:tcPr>
            <w:tcW w:w="1337"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07D0537D">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Hyperactivity</w:t>
            </w:r>
          </w:p>
        </w:tc>
        <w:tc>
          <w:tcPr>
            <w:tcW w:w="1337"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5E1FA060">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Peer</w:t>
            </w:r>
          </w:p>
        </w:tc>
        <w:tc>
          <w:tcPr>
            <w:tcW w:w="1337"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7E586507">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SocialMedia</w:t>
            </w:r>
          </w:p>
        </w:tc>
        <w:tc>
          <w:tcPr>
            <w:tcW w:w="1337"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2028BBCD">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Gaming</w:t>
            </w:r>
          </w:p>
        </w:tc>
      </w:tr>
      <w:tr w14:paraId="042E6440">
        <w:tblPrEx>
          <w:tblCellMar>
            <w:top w:w="0" w:type="dxa"/>
            <w:left w:w="108" w:type="dxa"/>
            <w:bottom w:w="0" w:type="dxa"/>
            <w:right w:w="108" w:type="dxa"/>
          </w:tblCellMar>
        </w:tblPrEx>
        <w:trPr>
          <w:cantSplit/>
          <w:jc w:val="center"/>
        </w:trPr>
        <w:tc>
          <w:tcPr>
            <w:tcW w:w="1652"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4344A98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Internalising</w:t>
            </w:r>
          </w:p>
        </w:tc>
        <w:tc>
          <w:tcPr>
            <w:tcW w:w="1278"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3C296CF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0.458</w:t>
            </w:r>
          </w:p>
        </w:tc>
        <w:tc>
          <w:tcPr>
            <w:tcW w:w="1081"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1C45813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0.019</w:t>
            </w:r>
          </w:p>
        </w:tc>
        <w:tc>
          <w:tcPr>
            <w:tcW w:w="1337"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317BEEA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0.026</w:t>
            </w:r>
          </w:p>
        </w:tc>
        <w:tc>
          <w:tcPr>
            <w:tcW w:w="1337"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7A7E7EC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0.084</w:t>
            </w:r>
          </w:p>
        </w:tc>
        <w:tc>
          <w:tcPr>
            <w:tcW w:w="1337"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61D2DF3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-0.013</w:t>
            </w:r>
          </w:p>
        </w:tc>
        <w:tc>
          <w:tcPr>
            <w:tcW w:w="1337"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71CA97C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-0.045</w:t>
            </w:r>
          </w:p>
        </w:tc>
      </w:tr>
      <w:tr w14:paraId="5E8EFCAF">
        <w:tblPrEx>
          <w:tblCellMar>
            <w:top w:w="0" w:type="dxa"/>
            <w:left w:w="108" w:type="dxa"/>
            <w:bottom w:w="0" w:type="dxa"/>
            <w:right w:w="108" w:type="dxa"/>
          </w:tblCellMar>
        </w:tblPrEx>
        <w:trPr>
          <w:cantSplit/>
          <w:jc w:val="center"/>
        </w:trPr>
        <w:tc>
          <w:tcPr>
            <w:tcW w:w="1652" w:type="dxa"/>
            <w:tcBorders>
              <w:top w:val="nil"/>
              <w:left w:val="nil"/>
              <w:bottom w:val="nil"/>
              <w:right w:val="nil"/>
            </w:tcBorders>
            <w:shd w:val="clear" w:color="auto" w:fill="FFFFFF"/>
            <w:tcMar>
              <w:top w:w="40" w:type="dxa"/>
              <w:left w:w="80" w:type="dxa"/>
              <w:bottom w:w="40" w:type="dxa"/>
              <w:right w:w="80" w:type="dxa"/>
            </w:tcMar>
            <w:vAlign w:val="center"/>
          </w:tcPr>
          <w:p w14:paraId="02C8976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Conduct</w:t>
            </w:r>
          </w:p>
        </w:tc>
        <w:tc>
          <w:tcPr>
            <w:tcW w:w="1278" w:type="dxa"/>
            <w:tcBorders>
              <w:top w:val="nil"/>
              <w:left w:val="nil"/>
              <w:bottom w:val="nil"/>
              <w:right w:val="nil"/>
            </w:tcBorders>
            <w:shd w:val="clear" w:color="auto" w:fill="FFFFFF"/>
            <w:tcMar>
              <w:top w:w="40" w:type="dxa"/>
              <w:left w:w="80" w:type="dxa"/>
              <w:bottom w:w="40" w:type="dxa"/>
              <w:right w:w="80" w:type="dxa"/>
            </w:tcMar>
            <w:vAlign w:val="center"/>
          </w:tcPr>
          <w:p w14:paraId="646463E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0.014</w:t>
            </w:r>
          </w:p>
        </w:tc>
        <w:tc>
          <w:tcPr>
            <w:tcW w:w="1081" w:type="dxa"/>
            <w:tcBorders>
              <w:top w:val="nil"/>
              <w:left w:val="nil"/>
              <w:bottom w:val="nil"/>
              <w:right w:val="nil"/>
            </w:tcBorders>
            <w:shd w:val="clear" w:color="auto" w:fill="FFFFFF"/>
            <w:tcMar>
              <w:top w:w="40" w:type="dxa"/>
              <w:left w:w="80" w:type="dxa"/>
              <w:bottom w:w="40" w:type="dxa"/>
              <w:right w:w="80" w:type="dxa"/>
            </w:tcMar>
            <w:vAlign w:val="center"/>
          </w:tcPr>
          <w:p w14:paraId="7A59F5A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0.480</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6831085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0.110</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3C1AC0C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0.074</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6961BEA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0.080</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65DCB16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0.060</w:t>
            </w:r>
          </w:p>
        </w:tc>
      </w:tr>
      <w:tr w14:paraId="07800991">
        <w:tblPrEx>
          <w:tblCellMar>
            <w:top w:w="0" w:type="dxa"/>
            <w:left w:w="108" w:type="dxa"/>
            <w:bottom w:w="0" w:type="dxa"/>
            <w:right w:w="108" w:type="dxa"/>
          </w:tblCellMar>
        </w:tblPrEx>
        <w:trPr>
          <w:cantSplit/>
          <w:jc w:val="center"/>
        </w:trPr>
        <w:tc>
          <w:tcPr>
            <w:tcW w:w="1652" w:type="dxa"/>
            <w:tcBorders>
              <w:top w:val="nil"/>
              <w:left w:val="nil"/>
              <w:bottom w:val="nil"/>
              <w:right w:val="nil"/>
            </w:tcBorders>
            <w:shd w:val="clear" w:color="auto" w:fill="FFFFFF"/>
            <w:tcMar>
              <w:top w:w="40" w:type="dxa"/>
              <w:left w:w="80" w:type="dxa"/>
              <w:bottom w:w="40" w:type="dxa"/>
              <w:right w:w="80" w:type="dxa"/>
            </w:tcMar>
            <w:vAlign w:val="center"/>
          </w:tcPr>
          <w:p w14:paraId="2E80A2D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Hyperactivity</w:t>
            </w:r>
          </w:p>
        </w:tc>
        <w:tc>
          <w:tcPr>
            <w:tcW w:w="1278" w:type="dxa"/>
            <w:tcBorders>
              <w:top w:val="nil"/>
              <w:left w:val="nil"/>
              <w:bottom w:val="nil"/>
              <w:right w:val="nil"/>
            </w:tcBorders>
            <w:shd w:val="clear" w:color="auto" w:fill="FFFFFF"/>
            <w:tcMar>
              <w:top w:w="40" w:type="dxa"/>
              <w:left w:w="80" w:type="dxa"/>
              <w:bottom w:w="40" w:type="dxa"/>
              <w:right w:w="80" w:type="dxa"/>
            </w:tcMar>
            <w:vAlign w:val="center"/>
          </w:tcPr>
          <w:p w14:paraId="17F4B13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-0.001</w:t>
            </w:r>
          </w:p>
        </w:tc>
        <w:tc>
          <w:tcPr>
            <w:tcW w:w="1081" w:type="dxa"/>
            <w:tcBorders>
              <w:top w:val="nil"/>
              <w:left w:val="nil"/>
              <w:bottom w:val="nil"/>
              <w:right w:val="nil"/>
            </w:tcBorders>
            <w:shd w:val="clear" w:color="auto" w:fill="FFFFFF"/>
            <w:tcMar>
              <w:top w:w="40" w:type="dxa"/>
              <w:left w:w="80" w:type="dxa"/>
              <w:bottom w:w="40" w:type="dxa"/>
              <w:right w:w="80" w:type="dxa"/>
            </w:tcMar>
            <w:vAlign w:val="center"/>
          </w:tcPr>
          <w:p w14:paraId="2140001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0.134</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2F4F920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0.564</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1AA0CD3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0.052</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25ED67D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0.112</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1FB540B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0.137</w:t>
            </w:r>
          </w:p>
        </w:tc>
      </w:tr>
      <w:tr w14:paraId="31CD2273">
        <w:tblPrEx>
          <w:tblCellMar>
            <w:top w:w="0" w:type="dxa"/>
            <w:left w:w="108" w:type="dxa"/>
            <w:bottom w:w="0" w:type="dxa"/>
            <w:right w:w="108" w:type="dxa"/>
          </w:tblCellMar>
        </w:tblPrEx>
        <w:trPr>
          <w:cantSplit/>
          <w:jc w:val="center"/>
        </w:trPr>
        <w:tc>
          <w:tcPr>
            <w:tcW w:w="1652" w:type="dxa"/>
            <w:tcBorders>
              <w:top w:val="nil"/>
              <w:left w:val="nil"/>
              <w:bottom w:val="nil"/>
              <w:right w:val="nil"/>
            </w:tcBorders>
            <w:shd w:val="clear" w:color="auto" w:fill="FFFFFF"/>
            <w:tcMar>
              <w:top w:w="40" w:type="dxa"/>
              <w:left w:w="80" w:type="dxa"/>
              <w:bottom w:w="40" w:type="dxa"/>
              <w:right w:w="80" w:type="dxa"/>
            </w:tcMar>
            <w:vAlign w:val="center"/>
          </w:tcPr>
          <w:p w14:paraId="55FBC0C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Peer</w:t>
            </w:r>
          </w:p>
        </w:tc>
        <w:tc>
          <w:tcPr>
            <w:tcW w:w="1278" w:type="dxa"/>
            <w:tcBorders>
              <w:top w:val="nil"/>
              <w:left w:val="nil"/>
              <w:bottom w:val="nil"/>
              <w:right w:val="nil"/>
            </w:tcBorders>
            <w:shd w:val="clear" w:color="auto" w:fill="FFFFFF"/>
            <w:tcMar>
              <w:top w:w="40" w:type="dxa"/>
              <w:left w:w="80" w:type="dxa"/>
              <w:bottom w:w="40" w:type="dxa"/>
              <w:right w:w="80" w:type="dxa"/>
            </w:tcMar>
            <w:vAlign w:val="center"/>
          </w:tcPr>
          <w:p w14:paraId="361FD94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0.056</w:t>
            </w:r>
          </w:p>
        </w:tc>
        <w:tc>
          <w:tcPr>
            <w:tcW w:w="1081" w:type="dxa"/>
            <w:tcBorders>
              <w:top w:val="nil"/>
              <w:left w:val="nil"/>
              <w:bottom w:val="nil"/>
              <w:right w:val="nil"/>
            </w:tcBorders>
            <w:shd w:val="clear" w:color="auto" w:fill="FFFFFF"/>
            <w:tcMar>
              <w:top w:w="40" w:type="dxa"/>
              <w:left w:w="80" w:type="dxa"/>
              <w:bottom w:w="40" w:type="dxa"/>
              <w:right w:w="80" w:type="dxa"/>
            </w:tcMar>
            <w:vAlign w:val="center"/>
          </w:tcPr>
          <w:p w14:paraId="7EE0499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0.030</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7D74384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0.059</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6E9F5FB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0.501</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7327052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-0.063</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3AFDB31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-0.021</w:t>
            </w:r>
          </w:p>
        </w:tc>
      </w:tr>
      <w:tr w14:paraId="5F267BF1">
        <w:tblPrEx>
          <w:tblCellMar>
            <w:top w:w="0" w:type="dxa"/>
            <w:left w:w="108" w:type="dxa"/>
            <w:bottom w:w="0" w:type="dxa"/>
            <w:right w:w="108" w:type="dxa"/>
          </w:tblCellMar>
        </w:tblPrEx>
        <w:trPr>
          <w:cantSplit/>
          <w:jc w:val="center"/>
        </w:trPr>
        <w:tc>
          <w:tcPr>
            <w:tcW w:w="1652" w:type="dxa"/>
            <w:tcBorders>
              <w:top w:val="nil"/>
              <w:left w:val="nil"/>
              <w:bottom w:val="nil"/>
              <w:right w:val="nil"/>
            </w:tcBorders>
            <w:shd w:val="clear" w:color="auto" w:fill="FFFFFF"/>
            <w:tcMar>
              <w:top w:w="40" w:type="dxa"/>
              <w:left w:w="80" w:type="dxa"/>
              <w:bottom w:w="40" w:type="dxa"/>
              <w:right w:w="80" w:type="dxa"/>
            </w:tcMar>
            <w:vAlign w:val="center"/>
          </w:tcPr>
          <w:p w14:paraId="25AF511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SocialMedia</w:t>
            </w:r>
          </w:p>
        </w:tc>
        <w:tc>
          <w:tcPr>
            <w:tcW w:w="1278" w:type="dxa"/>
            <w:tcBorders>
              <w:top w:val="nil"/>
              <w:left w:val="nil"/>
              <w:bottom w:val="nil"/>
              <w:right w:val="nil"/>
            </w:tcBorders>
            <w:shd w:val="clear" w:color="auto" w:fill="FFFFFF"/>
            <w:tcMar>
              <w:top w:w="40" w:type="dxa"/>
              <w:left w:w="80" w:type="dxa"/>
              <w:bottom w:w="40" w:type="dxa"/>
              <w:right w:w="80" w:type="dxa"/>
            </w:tcMar>
            <w:vAlign w:val="center"/>
          </w:tcPr>
          <w:p w14:paraId="51C7E6B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0.012</w:t>
            </w:r>
          </w:p>
        </w:tc>
        <w:tc>
          <w:tcPr>
            <w:tcW w:w="1081" w:type="dxa"/>
            <w:tcBorders>
              <w:top w:val="nil"/>
              <w:left w:val="nil"/>
              <w:bottom w:val="nil"/>
              <w:right w:val="nil"/>
            </w:tcBorders>
            <w:shd w:val="clear" w:color="auto" w:fill="FFFFFF"/>
            <w:tcMar>
              <w:top w:w="40" w:type="dxa"/>
              <w:left w:w="80" w:type="dxa"/>
              <w:bottom w:w="40" w:type="dxa"/>
              <w:right w:w="80" w:type="dxa"/>
            </w:tcMar>
            <w:vAlign w:val="center"/>
          </w:tcPr>
          <w:p w14:paraId="7CEA7C6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0.038</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4AB4572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0.007</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0380999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-0.046</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7790D33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0.213</w:t>
            </w:r>
          </w:p>
        </w:tc>
        <w:tc>
          <w:tcPr>
            <w:tcW w:w="1337" w:type="dxa"/>
            <w:tcBorders>
              <w:top w:val="nil"/>
              <w:left w:val="nil"/>
              <w:bottom w:val="nil"/>
              <w:right w:val="nil"/>
            </w:tcBorders>
            <w:shd w:val="clear" w:color="auto" w:fill="FFFFFF"/>
            <w:tcMar>
              <w:top w:w="40" w:type="dxa"/>
              <w:left w:w="80" w:type="dxa"/>
              <w:bottom w:w="40" w:type="dxa"/>
              <w:right w:w="80" w:type="dxa"/>
            </w:tcMar>
            <w:vAlign w:val="center"/>
          </w:tcPr>
          <w:p w14:paraId="0A0439B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0.003</w:t>
            </w:r>
          </w:p>
        </w:tc>
      </w:tr>
      <w:tr w14:paraId="2E3AE28F">
        <w:tblPrEx>
          <w:tblCellMar>
            <w:top w:w="0" w:type="dxa"/>
            <w:left w:w="108" w:type="dxa"/>
            <w:bottom w:w="0" w:type="dxa"/>
            <w:right w:w="108" w:type="dxa"/>
          </w:tblCellMar>
        </w:tblPrEx>
        <w:trPr>
          <w:cantSplit/>
          <w:jc w:val="center"/>
        </w:trPr>
        <w:tc>
          <w:tcPr>
            <w:tcW w:w="1652"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626DA65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Gaming</w:t>
            </w:r>
          </w:p>
        </w:tc>
        <w:tc>
          <w:tcPr>
            <w:tcW w:w="1278"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23923C2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w:t>
            </w:r>
          </w:p>
        </w:tc>
        <w:tc>
          <w:tcPr>
            <w:tcW w:w="1081"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3C199B8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0.018</w:t>
            </w:r>
          </w:p>
        </w:tc>
        <w:tc>
          <w:tcPr>
            <w:tcW w:w="1337"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3D6F4B5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0.056</w:t>
            </w:r>
          </w:p>
        </w:tc>
        <w:tc>
          <w:tcPr>
            <w:tcW w:w="1337"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71AA8AF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0.054</w:t>
            </w:r>
          </w:p>
        </w:tc>
        <w:tc>
          <w:tcPr>
            <w:tcW w:w="1337"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36A22CA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0.050</w:t>
            </w:r>
          </w:p>
        </w:tc>
        <w:tc>
          <w:tcPr>
            <w:tcW w:w="1337"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0698C7E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0.276</w:t>
            </w:r>
          </w:p>
        </w:tc>
      </w:tr>
    </w:tbl>
    <w:p w14:paraId="406F9E79">
      <w:pPr>
        <w:jc w:val="both"/>
        <w:rPr>
          <w:rFonts w:hint="default" w:ascii="Arial" w:hAnsi="Arial" w:cs="Arial"/>
          <w:i/>
          <w:color w:val="auto"/>
          <w:sz w:val="18"/>
        </w:rPr>
      </w:pPr>
      <w:r>
        <w:rPr>
          <w:rFonts w:hint="default" w:ascii="Arial" w:hAnsi="Arial" w:cs="Arial"/>
          <w:i/>
          <w:color w:val="auto"/>
          <w:sz w:val="18"/>
        </w:rPr>
        <w:t>Rows are age-14 predictors; columns are age-17 outcomes.</w:t>
      </w:r>
    </w:p>
    <w:p w14:paraId="4E5DCF22">
      <w:pPr>
        <w:jc w:val="both"/>
        <w:rPr>
          <w:rFonts w:hint="default" w:ascii="Arial" w:hAnsi="Arial" w:cs="Arial"/>
          <w:i/>
          <w:color w:val="auto"/>
          <w:sz w:val="18"/>
        </w:rPr>
      </w:pPr>
    </w:p>
    <w:p w14:paraId="775AF436">
      <w:pPr>
        <w:keepNext/>
        <w:jc w:val="both"/>
        <w:rPr>
          <w:rFonts w:hint="default" w:ascii="Arial" w:hAnsi="Arial" w:cs="Arial"/>
          <w:b/>
          <w:color w:val="auto"/>
          <w:sz w:val="22"/>
          <w:szCs w:val="22"/>
        </w:rPr>
      </w:pPr>
      <w:r>
        <w:rPr>
          <w:rFonts w:hint="default" w:ascii="Arial" w:hAnsi="Arial" w:cs="Arial"/>
          <w:color w:val="auto"/>
        </w:rPr>
        <w:t xml:space="preserve">Supplementary Table S7. Millennium Cohort Study net temporal directionality </w:t>
      </w:r>
    </w:p>
    <w:tbl>
      <w:tblPr>
        <w:tblStyle w:val="32"/>
        <w:tblW w:w="0" w:type="auto"/>
        <w:jc w:val="center"/>
        <w:tblLayout w:type="fixed"/>
        <w:tblCellMar>
          <w:top w:w="0" w:type="dxa"/>
          <w:left w:w="108" w:type="dxa"/>
          <w:bottom w:w="0" w:type="dxa"/>
          <w:right w:w="108" w:type="dxa"/>
        </w:tblCellMar>
      </w:tblPr>
      <w:tblGrid>
        <w:gridCol w:w="2340"/>
        <w:gridCol w:w="2340"/>
        <w:gridCol w:w="2340"/>
        <w:gridCol w:w="2340"/>
      </w:tblGrid>
      <w:tr w14:paraId="722E3F39">
        <w:tblPrEx>
          <w:tblCellMar>
            <w:top w:w="0" w:type="dxa"/>
            <w:left w:w="108" w:type="dxa"/>
            <w:bottom w:w="0" w:type="dxa"/>
            <w:right w:w="108" w:type="dxa"/>
          </w:tblCellMar>
        </w:tblPrEx>
        <w:trPr>
          <w:cantSplit/>
          <w:tblHeader/>
          <w:jc w:val="center"/>
        </w:trPr>
        <w:tc>
          <w:tcPr>
            <w:tcW w:w="23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7757BD77">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Construct</w:t>
            </w:r>
          </w:p>
        </w:tc>
        <w:tc>
          <w:tcPr>
            <w:tcW w:w="23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7C0C7630">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Net (out − in)</w:t>
            </w:r>
          </w:p>
        </w:tc>
        <w:tc>
          <w:tcPr>
            <w:tcW w:w="23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051F084D">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95% CI</w:t>
            </w:r>
          </w:p>
        </w:tc>
        <w:tc>
          <w:tcPr>
            <w:tcW w:w="23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128E2500">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Role</w:t>
            </w:r>
          </w:p>
        </w:tc>
      </w:tr>
      <w:tr w14:paraId="21FA3997">
        <w:tblPrEx>
          <w:tblCellMar>
            <w:top w:w="0" w:type="dxa"/>
            <w:left w:w="108" w:type="dxa"/>
            <w:bottom w:w="0" w:type="dxa"/>
            <w:right w:w="108" w:type="dxa"/>
          </w:tblCellMar>
        </w:tblPrEx>
        <w:trPr>
          <w:cantSplit/>
          <w:jc w:val="center"/>
        </w:trPr>
        <w:tc>
          <w:tcPr>
            <w:tcW w:w="23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733C5FD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Hyperactivity</w:t>
            </w:r>
          </w:p>
        </w:tc>
        <w:tc>
          <w:tcPr>
            <w:tcW w:w="23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6E34EDB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+0.177</w:t>
            </w:r>
          </w:p>
        </w:tc>
        <w:tc>
          <w:tcPr>
            <w:tcW w:w="23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7F8FFA5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[0.105, 0.255]</w:t>
            </w:r>
          </w:p>
        </w:tc>
        <w:tc>
          <w:tcPr>
            <w:tcW w:w="23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5182CCD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source</w:t>
            </w:r>
          </w:p>
        </w:tc>
      </w:tr>
      <w:tr w14:paraId="2E22C3DA">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178020A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Internalising (self-report)</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2970CB5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+0.105</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6735459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[0.023, 0.154]</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01BC415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source</w:t>
            </w:r>
          </w:p>
        </w:tc>
      </w:tr>
      <w:tr w14:paraId="051DF149">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06C04C9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Conduct</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1A47889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+0.098</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454FB7C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[0.015, 0.191]</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1E49827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source</w:t>
            </w:r>
          </w:p>
        </w:tc>
      </w:tr>
      <w:tr w14:paraId="095CA713">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68BE34E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Peer</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63FFF19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−0.080</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6CE3CA6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[−0.161, −0.004]</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79D8B31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sink</w:t>
            </w:r>
          </w:p>
        </w:tc>
      </w:tr>
      <w:tr w14:paraId="308F0947">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42822C4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Gaming</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16E9E90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−0.089</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269E6D3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[−0.149, −0.020]</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26D0BA7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sink</w:t>
            </w:r>
          </w:p>
        </w:tc>
      </w:tr>
      <w:tr w14:paraId="2EB42A92">
        <w:tblPrEx>
          <w:tblCellMar>
            <w:top w:w="0" w:type="dxa"/>
            <w:left w:w="108" w:type="dxa"/>
            <w:bottom w:w="0" w:type="dxa"/>
            <w:right w:w="108" w:type="dxa"/>
          </w:tblCellMar>
        </w:tblPrEx>
        <w:trPr>
          <w:cantSplit/>
          <w:jc w:val="center"/>
        </w:trPr>
        <w:tc>
          <w:tcPr>
            <w:tcW w:w="23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7A63C7A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Social-media use</w:t>
            </w:r>
          </w:p>
        </w:tc>
        <w:tc>
          <w:tcPr>
            <w:tcW w:w="23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60EF29D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−0.211</w:t>
            </w:r>
          </w:p>
        </w:tc>
        <w:tc>
          <w:tcPr>
            <w:tcW w:w="23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5225AED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[−0.260, −0.139]</w:t>
            </w:r>
          </w:p>
        </w:tc>
        <w:tc>
          <w:tcPr>
            <w:tcW w:w="23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0AB0763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strongest sink</w:t>
            </w:r>
          </w:p>
        </w:tc>
      </w:tr>
    </w:tbl>
    <w:p w14:paraId="1F580660">
      <w:pPr>
        <w:jc w:val="both"/>
        <w:rPr>
          <w:rFonts w:hint="default" w:ascii="Arial" w:hAnsi="Arial" w:cs="Arial"/>
          <w:i/>
          <w:color w:val="auto"/>
          <w:sz w:val="18"/>
        </w:rPr>
      </w:pPr>
      <w:r>
        <w:rPr>
          <w:rFonts w:hint="default" w:ascii="Arial" w:hAnsi="Arial" w:cs="Arial"/>
          <w:i/>
          <w:color w:val="auto"/>
          <w:sz w:val="18"/>
        </w:rPr>
        <w:t xml:space="preserve">Social-media use is the strongest </w:t>
      </w:r>
      <w:r>
        <w:rPr>
          <w:rFonts w:hint="eastAsia" w:eastAsia="宋体" w:cs="Arial"/>
          <w:i/>
          <w:color w:val="auto"/>
          <w:sz w:val="18"/>
          <w:lang w:eastAsia="zh-CN"/>
        </w:rPr>
        <w:t>CLPN net sink position</w:t>
      </w:r>
      <w:r>
        <w:rPr>
          <w:rFonts w:hint="default" w:ascii="Arial" w:hAnsi="Arial" w:cs="Arial"/>
          <w:i/>
          <w:color w:val="auto"/>
          <w:sz w:val="18"/>
        </w:rPr>
        <w:t xml:space="preserve"> and gaming is also </w:t>
      </w:r>
      <w:r>
        <w:rPr>
          <w:rFonts w:hint="eastAsia" w:eastAsia="宋体" w:cs="Arial"/>
          <w:i/>
          <w:color w:val="auto"/>
          <w:sz w:val="18"/>
          <w:lang w:eastAsia="zh-CN"/>
        </w:rPr>
        <w:t>net sink position</w:t>
      </w:r>
      <w:r>
        <w:rPr>
          <w:rFonts w:hint="default" w:ascii="Arial" w:hAnsi="Arial" w:cs="Arial"/>
          <w:i/>
          <w:color w:val="auto"/>
          <w:sz w:val="18"/>
        </w:rPr>
        <w:t xml:space="preserve">. Self-reported internalising distress, hyperactivity/inattention and conduct problems are </w:t>
      </w:r>
      <w:r>
        <w:rPr>
          <w:rFonts w:hint="eastAsia" w:eastAsia="宋体" w:cs="Arial"/>
          <w:i/>
          <w:color w:val="auto"/>
          <w:sz w:val="18"/>
          <w:lang w:eastAsia="zh-CN"/>
        </w:rPr>
        <w:t>net source position</w:t>
      </w:r>
      <w:r>
        <w:rPr>
          <w:rFonts w:hint="default" w:ascii="Arial" w:hAnsi="Arial" w:cs="Arial"/>
          <w:i/>
          <w:color w:val="auto"/>
          <w:sz w:val="18"/>
        </w:rPr>
        <w:t xml:space="preserve">, with hyperactivity/inattention the </w:t>
      </w:r>
      <w:r>
        <w:rPr>
          <w:rFonts w:hint="eastAsia" w:eastAsia="宋体" w:cs="Arial"/>
          <w:i/>
          <w:color w:val="auto"/>
          <w:sz w:val="18"/>
          <w:lang w:eastAsia="zh-CN"/>
        </w:rPr>
        <w:t>leading net source</w:t>
      </w:r>
      <w:r>
        <w:rPr>
          <w:rFonts w:hint="default" w:ascii="Arial" w:hAnsi="Arial" w:cs="Arial"/>
          <w:i/>
          <w:color w:val="auto"/>
          <w:sz w:val="18"/>
        </w:rPr>
        <w:t>.</w:t>
      </w:r>
    </w:p>
    <w:p w14:paraId="341783A7">
      <w:pPr>
        <w:jc w:val="both"/>
        <w:rPr>
          <w:rFonts w:hint="default" w:ascii="Arial" w:hAnsi="Arial" w:cs="Arial"/>
          <w:i/>
          <w:color w:val="auto"/>
          <w:sz w:val="18"/>
        </w:rPr>
      </w:pPr>
    </w:p>
    <w:p w14:paraId="5DAFA773">
      <w:pPr>
        <w:jc w:val="both"/>
        <w:rPr>
          <w:rFonts w:hint="default" w:ascii="Arial" w:hAnsi="Arial" w:cs="Arial"/>
          <w:b/>
          <w:color w:val="auto"/>
          <w:sz w:val="22"/>
          <w:szCs w:val="22"/>
        </w:rPr>
      </w:pPr>
      <w:r>
        <w:rPr>
          <w:rFonts w:hint="default" w:ascii="Arial" w:hAnsi="Arial" w:cs="Arial"/>
          <w:color w:val="auto"/>
        </w:rPr>
        <w:t>Supplementary Table S8. Community detection across six algorithms</w:t>
      </w:r>
    </w:p>
    <w:tbl>
      <w:tblPr>
        <w:tblStyle w:val="32"/>
        <w:tblW w:w="4997" w:type="pct"/>
        <w:jc w:val="center"/>
        <w:tblLayout w:type="autofit"/>
        <w:tblCellMar>
          <w:top w:w="0" w:type="dxa"/>
          <w:left w:w="108" w:type="dxa"/>
          <w:bottom w:w="0" w:type="dxa"/>
          <w:right w:w="108" w:type="dxa"/>
        </w:tblCellMar>
      </w:tblPr>
      <w:tblGrid>
        <w:gridCol w:w="2315"/>
        <w:gridCol w:w="622"/>
        <w:gridCol w:w="3242"/>
        <w:gridCol w:w="3335"/>
      </w:tblGrid>
      <w:tr w14:paraId="081B7F2B">
        <w:tblPrEx>
          <w:tblCellMar>
            <w:top w:w="0" w:type="dxa"/>
            <w:left w:w="108" w:type="dxa"/>
            <w:bottom w:w="0" w:type="dxa"/>
            <w:right w:w="108" w:type="dxa"/>
          </w:tblCellMar>
        </w:tblPrEx>
        <w:trPr>
          <w:cantSplit/>
          <w:trHeight w:val="0" w:hRule="atLeast"/>
          <w:tblHeader/>
          <w:jc w:val="center"/>
        </w:trPr>
        <w:tc>
          <w:tcPr>
            <w:tcW w:w="1216" w:type="pct"/>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36B7C0EB">
            <w:pPr>
              <w:snapToGrid w:val="0"/>
              <w:spacing w:before="0" w:after="0" w:line="240" w:lineRule="auto"/>
              <w:ind w:left="0" w:leftChars="0" w:right="0" w:rightChars="0" w:firstLine="0" w:firstLineChars="0"/>
              <w:jc w:val="center"/>
              <w:rPr>
                <w:rFonts w:hint="default" w:ascii="Arial" w:hAnsi="Arial" w:eastAsia="ＭＳ 明朝" w:cs="Arial"/>
                <w:b/>
                <w:i w:val="0"/>
                <w:color w:val="auto"/>
                <w:sz w:val="18"/>
                <w:szCs w:val="18"/>
              </w:rPr>
            </w:pPr>
            <w:r>
              <w:rPr>
                <w:rFonts w:hint="default" w:ascii="Arial" w:hAnsi="Arial" w:eastAsia="ＭＳ 明朝" w:cs="Arial"/>
                <w:b/>
                <w:i w:val="0"/>
                <w:color w:val="auto"/>
                <w:sz w:val="18"/>
                <w:szCs w:val="18"/>
              </w:rPr>
              <w:t>Algorithm</w:t>
            </w:r>
          </w:p>
        </w:tc>
        <w:tc>
          <w:tcPr>
            <w:tcW w:w="327" w:type="pct"/>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4270BE8E">
            <w:pPr>
              <w:snapToGrid w:val="0"/>
              <w:spacing w:before="0" w:after="0" w:line="240" w:lineRule="auto"/>
              <w:ind w:left="0" w:leftChars="0" w:right="0" w:rightChars="0" w:firstLine="0" w:firstLineChars="0"/>
              <w:jc w:val="center"/>
              <w:rPr>
                <w:rFonts w:hint="default" w:ascii="Arial" w:hAnsi="Arial" w:eastAsia="ＭＳ 明朝" w:cs="Arial"/>
                <w:b/>
                <w:i w:val="0"/>
                <w:color w:val="auto"/>
                <w:sz w:val="18"/>
                <w:szCs w:val="18"/>
              </w:rPr>
            </w:pPr>
            <w:r>
              <w:rPr>
                <w:rFonts w:hint="default" w:ascii="Arial" w:hAnsi="Arial" w:eastAsia="ＭＳ 明朝" w:cs="Arial"/>
                <w:b/>
                <w:i w:val="0"/>
                <w:color w:val="auto"/>
                <w:sz w:val="18"/>
                <w:szCs w:val="18"/>
              </w:rPr>
              <w:t>k</w:t>
            </w:r>
          </w:p>
        </w:tc>
        <w:tc>
          <w:tcPr>
            <w:tcW w:w="1703" w:type="pct"/>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7A4B167D">
            <w:pPr>
              <w:snapToGrid w:val="0"/>
              <w:spacing w:before="0" w:after="0" w:line="240" w:lineRule="auto"/>
              <w:ind w:left="0" w:leftChars="0" w:right="0" w:rightChars="0" w:firstLine="0" w:firstLineChars="0"/>
              <w:jc w:val="center"/>
              <w:rPr>
                <w:rFonts w:hint="default" w:ascii="Arial" w:hAnsi="Arial" w:eastAsia="ＭＳ 明朝" w:cs="Arial"/>
                <w:b/>
                <w:i w:val="0"/>
                <w:color w:val="auto"/>
                <w:sz w:val="18"/>
                <w:szCs w:val="18"/>
              </w:rPr>
            </w:pPr>
            <w:r>
              <w:rPr>
                <w:rFonts w:hint="default" w:ascii="Arial" w:hAnsi="Arial" w:eastAsia="ＭＳ 明朝" w:cs="Arial"/>
                <w:b/>
                <w:i w:val="0"/>
                <w:color w:val="auto"/>
                <w:sz w:val="18"/>
                <w:szCs w:val="18"/>
              </w:rPr>
              <w:t>ARI vs domains</w:t>
            </w:r>
          </w:p>
        </w:tc>
        <w:tc>
          <w:tcPr>
            <w:tcW w:w="1752" w:type="pct"/>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2DAAAF80">
            <w:pPr>
              <w:snapToGrid w:val="0"/>
              <w:spacing w:before="0" w:after="0" w:line="240" w:lineRule="auto"/>
              <w:ind w:left="0" w:leftChars="0" w:right="0" w:rightChars="0" w:firstLine="0" w:firstLineChars="0"/>
              <w:jc w:val="center"/>
              <w:rPr>
                <w:rFonts w:hint="default" w:ascii="Arial" w:hAnsi="Arial" w:eastAsia="宋体" w:cs="Arial"/>
                <w:b/>
                <w:i w:val="0"/>
                <w:color w:val="auto"/>
                <w:sz w:val="18"/>
                <w:szCs w:val="18"/>
                <w:lang w:val="en-GB" w:eastAsia="zh-CN"/>
              </w:rPr>
            </w:pPr>
            <w:r>
              <w:rPr>
                <w:rFonts w:hint="default" w:ascii="Arial" w:hAnsi="Arial" w:eastAsia="ＭＳ 明朝" w:cs="Arial"/>
                <w:b/>
                <w:i w:val="0"/>
                <w:color w:val="auto"/>
                <w:sz w:val="18"/>
                <w:szCs w:val="18"/>
              </w:rPr>
              <w:t>NMI vs domai</w:t>
            </w:r>
            <w:r>
              <w:rPr>
                <w:rFonts w:hint="default" w:ascii="Arial" w:hAnsi="Arial" w:eastAsia="宋体" w:cs="Arial"/>
                <w:b/>
                <w:i w:val="0"/>
                <w:color w:val="auto"/>
                <w:sz w:val="18"/>
                <w:szCs w:val="18"/>
                <w:lang w:val="en-GB" w:eastAsia="zh-CN"/>
              </w:rPr>
              <w:t>ns</w:t>
            </w:r>
          </w:p>
        </w:tc>
      </w:tr>
      <w:tr w14:paraId="7AEE63B9">
        <w:tblPrEx>
          <w:tblCellMar>
            <w:top w:w="0" w:type="dxa"/>
            <w:left w:w="108" w:type="dxa"/>
            <w:bottom w:w="0" w:type="dxa"/>
            <w:right w:w="108" w:type="dxa"/>
          </w:tblCellMar>
        </w:tblPrEx>
        <w:trPr>
          <w:cantSplit/>
          <w:trHeight w:val="0" w:hRule="atLeast"/>
          <w:jc w:val="center"/>
        </w:trPr>
        <w:tc>
          <w:tcPr>
            <w:tcW w:w="1216" w:type="pct"/>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21EA5AE8">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Louvain</w:t>
            </w:r>
          </w:p>
        </w:tc>
        <w:tc>
          <w:tcPr>
            <w:tcW w:w="327" w:type="pct"/>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36AE384B">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7</w:t>
            </w:r>
          </w:p>
        </w:tc>
        <w:tc>
          <w:tcPr>
            <w:tcW w:w="1703" w:type="pct"/>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54B2700F">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0.727</w:t>
            </w:r>
          </w:p>
        </w:tc>
        <w:tc>
          <w:tcPr>
            <w:tcW w:w="1752" w:type="pct"/>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5C81CEFB">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0.843</w:t>
            </w:r>
          </w:p>
        </w:tc>
      </w:tr>
      <w:tr w14:paraId="40F32C6A">
        <w:tblPrEx>
          <w:tblCellMar>
            <w:top w:w="0" w:type="dxa"/>
            <w:left w:w="108" w:type="dxa"/>
            <w:bottom w:w="0" w:type="dxa"/>
            <w:right w:w="108" w:type="dxa"/>
          </w:tblCellMar>
        </w:tblPrEx>
        <w:trPr>
          <w:cantSplit/>
          <w:trHeight w:val="0" w:hRule="atLeast"/>
          <w:jc w:val="center"/>
        </w:trPr>
        <w:tc>
          <w:tcPr>
            <w:tcW w:w="1216" w:type="pct"/>
            <w:tcBorders>
              <w:top w:val="nil"/>
              <w:left w:val="nil"/>
              <w:bottom w:val="nil"/>
              <w:right w:val="nil"/>
            </w:tcBorders>
            <w:shd w:val="clear" w:color="auto" w:fill="FFFFFF"/>
            <w:tcMar>
              <w:top w:w="40" w:type="dxa"/>
              <w:left w:w="80" w:type="dxa"/>
              <w:bottom w:w="40" w:type="dxa"/>
              <w:right w:w="80" w:type="dxa"/>
            </w:tcMar>
            <w:vAlign w:val="center"/>
          </w:tcPr>
          <w:p w14:paraId="2674A9AB">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Leiden</w:t>
            </w:r>
          </w:p>
        </w:tc>
        <w:tc>
          <w:tcPr>
            <w:tcW w:w="327" w:type="pct"/>
            <w:tcBorders>
              <w:top w:val="nil"/>
              <w:left w:val="nil"/>
              <w:bottom w:val="nil"/>
              <w:right w:val="nil"/>
            </w:tcBorders>
            <w:shd w:val="clear" w:color="auto" w:fill="FFFFFF"/>
            <w:tcMar>
              <w:top w:w="40" w:type="dxa"/>
              <w:left w:w="80" w:type="dxa"/>
              <w:bottom w:w="40" w:type="dxa"/>
              <w:right w:w="80" w:type="dxa"/>
            </w:tcMar>
            <w:vAlign w:val="center"/>
          </w:tcPr>
          <w:p w14:paraId="649DC987">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6</w:t>
            </w:r>
          </w:p>
        </w:tc>
        <w:tc>
          <w:tcPr>
            <w:tcW w:w="1703" w:type="pct"/>
            <w:tcBorders>
              <w:top w:val="nil"/>
              <w:left w:val="nil"/>
              <w:bottom w:val="nil"/>
              <w:right w:val="nil"/>
            </w:tcBorders>
            <w:shd w:val="clear" w:color="auto" w:fill="FFFFFF"/>
            <w:tcMar>
              <w:top w:w="40" w:type="dxa"/>
              <w:left w:w="80" w:type="dxa"/>
              <w:bottom w:w="40" w:type="dxa"/>
              <w:right w:w="80" w:type="dxa"/>
            </w:tcMar>
            <w:vAlign w:val="center"/>
          </w:tcPr>
          <w:p w14:paraId="14493A07">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0.724</w:t>
            </w:r>
          </w:p>
        </w:tc>
        <w:tc>
          <w:tcPr>
            <w:tcW w:w="1752" w:type="pct"/>
            <w:tcBorders>
              <w:top w:val="nil"/>
              <w:left w:val="nil"/>
              <w:bottom w:val="nil"/>
              <w:right w:val="nil"/>
            </w:tcBorders>
            <w:shd w:val="clear" w:color="auto" w:fill="FFFFFF"/>
            <w:tcMar>
              <w:top w:w="40" w:type="dxa"/>
              <w:left w:w="80" w:type="dxa"/>
              <w:bottom w:w="40" w:type="dxa"/>
              <w:right w:w="80" w:type="dxa"/>
            </w:tcMar>
            <w:vAlign w:val="center"/>
          </w:tcPr>
          <w:p w14:paraId="5843ED4B">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0.837</w:t>
            </w:r>
          </w:p>
        </w:tc>
      </w:tr>
      <w:tr w14:paraId="7F30D2F4">
        <w:tblPrEx>
          <w:tblCellMar>
            <w:top w:w="0" w:type="dxa"/>
            <w:left w:w="108" w:type="dxa"/>
            <w:bottom w:w="0" w:type="dxa"/>
            <w:right w:w="108" w:type="dxa"/>
          </w:tblCellMar>
        </w:tblPrEx>
        <w:trPr>
          <w:cantSplit/>
          <w:trHeight w:val="0" w:hRule="atLeast"/>
          <w:jc w:val="center"/>
        </w:trPr>
        <w:tc>
          <w:tcPr>
            <w:tcW w:w="1216" w:type="pct"/>
            <w:tcBorders>
              <w:top w:val="nil"/>
              <w:left w:val="nil"/>
              <w:bottom w:val="nil"/>
              <w:right w:val="nil"/>
            </w:tcBorders>
            <w:shd w:val="clear" w:color="auto" w:fill="FFFFFF"/>
            <w:tcMar>
              <w:top w:w="40" w:type="dxa"/>
              <w:left w:w="80" w:type="dxa"/>
              <w:bottom w:w="40" w:type="dxa"/>
              <w:right w:w="80" w:type="dxa"/>
            </w:tcMar>
            <w:vAlign w:val="center"/>
          </w:tcPr>
          <w:p w14:paraId="4BFBB400">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Walktrap</w:t>
            </w:r>
          </w:p>
        </w:tc>
        <w:tc>
          <w:tcPr>
            <w:tcW w:w="327" w:type="pct"/>
            <w:tcBorders>
              <w:top w:val="nil"/>
              <w:left w:val="nil"/>
              <w:bottom w:val="nil"/>
              <w:right w:val="nil"/>
            </w:tcBorders>
            <w:shd w:val="clear" w:color="auto" w:fill="FFFFFF"/>
            <w:tcMar>
              <w:top w:w="40" w:type="dxa"/>
              <w:left w:w="80" w:type="dxa"/>
              <w:bottom w:w="40" w:type="dxa"/>
              <w:right w:w="80" w:type="dxa"/>
            </w:tcMar>
            <w:vAlign w:val="center"/>
          </w:tcPr>
          <w:p w14:paraId="12354782">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7</w:t>
            </w:r>
          </w:p>
        </w:tc>
        <w:tc>
          <w:tcPr>
            <w:tcW w:w="1703" w:type="pct"/>
            <w:tcBorders>
              <w:top w:val="nil"/>
              <w:left w:val="nil"/>
              <w:bottom w:val="nil"/>
              <w:right w:val="nil"/>
            </w:tcBorders>
            <w:shd w:val="clear" w:color="auto" w:fill="FFFFFF"/>
            <w:tcMar>
              <w:top w:w="40" w:type="dxa"/>
              <w:left w:w="80" w:type="dxa"/>
              <w:bottom w:w="40" w:type="dxa"/>
              <w:right w:w="80" w:type="dxa"/>
            </w:tcMar>
            <w:vAlign w:val="center"/>
          </w:tcPr>
          <w:p w14:paraId="21050219">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0.615</w:t>
            </w:r>
          </w:p>
        </w:tc>
        <w:tc>
          <w:tcPr>
            <w:tcW w:w="1752" w:type="pct"/>
            <w:tcBorders>
              <w:top w:val="nil"/>
              <w:left w:val="nil"/>
              <w:bottom w:val="nil"/>
              <w:right w:val="nil"/>
            </w:tcBorders>
            <w:shd w:val="clear" w:color="auto" w:fill="FFFFFF"/>
            <w:tcMar>
              <w:top w:w="40" w:type="dxa"/>
              <w:left w:w="80" w:type="dxa"/>
              <w:bottom w:w="40" w:type="dxa"/>
              <w:right w:w="80" w:type="dxa"/>
            </w:tcMar>
            <w:vAlign w:val="center"/>
          </w:tcPr>
          <w:p w14:paraId="582E3194">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0.780</w:t>
            </w:r>
          </w:p>
        </w:tc>
      </w:tr>
      <w:tr w14:paraId="1D42DC90">
        <w:tblPrEx>
          <w:tblCellMar>
            <w:top w:w="0" w:type="dxa"/>
            <w:left w:w="108" w:type="dxa"/>
            <w:bottom w:w="0" w:type="dxa"/>
            <w:right w:w="108" w:type="dxa"/>
          </w:tblCellMar>
        </w:tblPrEx>
        <w:trPr>
          <w:cantSplit/>
          <w:trHeight w:val="0" w:hRule="atLeast"/>
          <w:jc w:val="center"/>
        </w:trPr>
        <w:tc>
          <w:tcPr>
            <w:tcW w:w="1216" w:type="pct"/>
            <w:tcBorders>
              <w:top w:val="nil"/>
              <w:left w:val="nil"/>
              <w:bottom w:val="nil"/>
              <w:right w:val="nil"/>
            </w:tcBorders>
            <w:shd w:val="clear" w:color="auto" w:fill="FFFFFF"/>
            <w:tcMar>
              <w:top w:w="40" w:type="dxa"/>
              <w:left w:w="80" w:type="dxa"/>
              <w:bottom w:w="40" w:type="dxa"/>
              <w:right w:w="80" w:type="dxa"/>
            </w:tcMar>
            <w:vAlign w:val="center"/>
          </w:tcPr>
          <w:p w14:paraId="0F19D2D4">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Spinglass</w:t>
            </w:r>
          </w:p>
        </w:tc>
        <w:tc>
          <w:tcPr>
            <w:tcW w:w="327" w:type="pct"/>
            <w:tcBorders>
              <w:top w:val="nil"/>
              <w:left w:val="nil"/>
              <w:bottom w:val="nil"/>
              <w:right w:val="nil"/>
            </w:tcBorders>
            <w:shd w:val="clear" w:color="auto" w:fill="FFFFFF"/>
            <w:tcMar>
              <w:top w:w="40" w:type="dxa"/>
              <w:left w:w="80" w:type="dxa"/>
              <w:bottom w:w="40" w:type="dxa"/>
              <w:right w:w="80" w:type="dxa"/>
            </w:tcMar>
            <w:vAlign w:val="center"/>
          </w:tcPr>
          <w:p w14:paraId="6CB9CFFA">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7</w:t>
            </w:r>
          </w:p>
        </w:tc>
        <w:tc>
          <w:tcPr>
            <w:tcW w:w="1703" w:type="pct"/>
            <w:tcBorders>
              <w:top w:val="nil"/>
              <w:left w:val="nil"/>
              <w:bottom w:val="nil"/>
              <w:right w:val="nil"/>
            </w:tcBorders>
            <w:shd w:val="clear" w:color="auto" w:fill="FFFFFF"/>
            <w:tcMar>
              <w:top w:w="40" w:type="dxa"/>
              <w:left w:w="80" w:type="dxa"/>
              <w:bottom w:w="40" w:type="dxa"/>
              <w:right w:w="80" w:type="dxa"/>
            </w:tcMar>
            <w:vAlign w:val="center"/>
          </w:tcPr>
          <w:p w14:paraId="2F6C962B">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0.727</w:t>
            </w:r>
          </w:p>
        </w:tc>
        <w:tc>
          <w:tcPr>
            <w:tcW w:w="1752" w:type="pct"/>
            <w:tcBorders>
              <w:top w:val="nil"/>
              <w:left w:val="nil"/>
              <w:bottom w:val="nil"/>
              <w:right w:val="nil"/>
            </w:tcBorders>
            <w:shd w:val="clear" w:color="auto" w:fill="FFFFFF"/>
            <w:tcMar>
              <w:top w:w="40" w:type="dxa"/>
              <w:left w:w="80" w:type="dxa"/>
              <w:bottom w:w="40" w:type="dxa"/>
              <w:right w:w="80" w:type="dxa"/>
            </w:tcMar>
            <w:vAlign w:val="center"/>
          </w:tcPr>
          <w:p w14:paraId="73C9BC1F">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0.843</w:t>
            </w:r>
          </w:p>
        </w:tc>
      </w:tr>
      <w:tr w14:paraId="0C17F947">
        <w:tblPrEx>
          <w:tblCellMar>
            <w:top w:w="0" w:type="dxa"/>
            <w:left w:w="108" w:type="dxa"/>
            <w:bottom w:w="0" w:type="dxa"/>
            <w:right w:w="108" w:type="dxa"/>
          </w:tblCellMar>
        </w:tblPrEx>
        <w:trPr>
          <w:cantSplit/>
          <w:trHeight w:val="0" w:hRule="atLeast"/>
          <w:jc w:val="center"/>
        </w:trPr>
        <w:tc>
          <w:tcPr>
            <w:tcW w:w="1216" w:type="pct"/>
            <w:tcBorders>
              <w:top w:val="nil"/>
              <w:left w:val="nil"/>
              <w:bottom w:val="nil"/>
              <w:right w:val="nil"/>
            </w:tcBorders>
            <w:shd w:val="clear" w:color="auto" w:fill="FFFFFF"/>
            <w:tcMar>
              <w:top w:w="40" w:type="dxa"/>
              <w:left w:w="80" w:type="dxa"/>
              <w:bottom w:w="40" w:type="dxa"/>
              <w:right w:w="80" w:type="dxa"/>
            </w:tcMar>
            <w:vAlign w:val="center"/>
          </w:tcPr>
          <w:p w14:paraId="291437FC">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FastGreedy</w:t>
            </w:r>
          </w:p>
        </w:tc>
        <w:tc>
          <w:tcPr>
            <w:tcW w:w="327" w:type="pct"/>
            <w:tcBorders>
              <w:top w:val="nil"/>
              <w:left w:val="nil"/>
              <w:bottom w:val="nil"/>
              <w:right w:val="nil"/>
            </w:tcBorders>
            <w:shd w:val="clear" w:color="auto" w:fill="FFFFFF"/>
            <w:tcMar>
              <w:top w:w="40" w:type="dxa"/>
              <w:left w:w="80" w:type="dxa"/>
              <w:bottom w:w="40" w:type="dxa"/>
              <w:right w:w="80" w:type="dxa"/>
            </w:tcMar>
            <w:vAlign w:val="center"/>
          </w:tcPr>
          <w:p w14:paraId="07B496D1">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7</w:t>
            </w:r>
          </w:p>
        </w:tc>
        <w:tc>
          <w:tcPr>
            <w:tcW w:w="1703" w:type="pct"/>
            <w:tcBorders>
              <w:top w:val="nil"/>
              <w:left w:val="nil"/>
              <w:bottom w:val="nil"/>
              <w:right w:val="nil"/>
            </w:tcBorders>
            <w:shd w:val="clear" w:color="auto" w:fill="FFFFFF"/>
            <w:tcMar>
              <w:top w:w="40" w:type="dxa"/>
              <w:left w:w="80" w:type="dxa"/>
              <w:bottom w:w="40" w:type="dxa"/>
              <w:right w:w="80" w:type="dxa"/>
            </w:tcMar>
            <w:vAlign w:val="center"/>
          </w:tcPr>
          <w:p w14:paraId="360A825A">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0.727</w:t>
            </w:r>
          </w:p>
        </w:tc>
        <w:tc>
          <w:tcPr>
            <w:tcW w:w="1752" w:type="pct"/>
            <w:tcBorders>
              <w:top w:val="nil"/>
              <w:left w:val="nil"/>
              <w:bottom w:val="nil"/>
              <w:right w:val="nil"/>
            </w:tcBorders>
            <w:shd w:val="clear" w:color="auto" w:fill="FFFFFF"/>
            <w:tcMar>
              <w:top w:w="40" w:type="dxa"/>
              <w:left w:w="80" w:type="dxa"/>
              <w:bottom w:w="40" w:type="dxa"/>
              <w:right w:w="80" w:type="dxa"/>
            </w:tcMar>
            <w:vAlign w:val="center"/>
          </w:tcPr>
          <w:p w14:paraId="4C3799E6">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0.843</w:t>
            </w:r>
          </w:p>
        </w:tc>
      </w:tr>
      <w:tr w14:paraId="1EFE48EF">
        <w:tblPrEx>
          <w:tblCellMar>
            <w:top w:w="0" w:type="dxa"/>
            <w:left w:w="108" w:type="dxa"/>
            <w:bottom w:w="0" w:type="dxa"/>
            <w:right w:w="108" w:type="dxa"/>
          </w:tblCellMar>
        </w:tblPrEx>
        <w:trPr>
          <w:cantSplit/>
          <w:trHeight w:val="0" w:hRule="atLeast"/>
          <w:jc w:val="center"/>
        </w:trPr>
        <w:tc>
          <w:tcPr>
            <w:tcW w:w="1216" w:type="pct"/>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0EC2E1C7">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Infomap</w:t>
            </w:r>
          </w:p>
        </w:tc>
        <w:tc>
          <w:tcPr>
            <w:tcW w:w="327" w:type="pct"/>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655C3F9F">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7</w:t>
            </w:r>
          </w:p>
        </w:tc>
        <w:tc>
          <w:tcPr>
            <w:tcW w:w="1703" w:type="pct"/>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1F0196AC">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0.666</w:t>
            </w:r>
          </w:p>
        </w:tc>
        <w:tc>
          <w:tcPr>
            <w:tcW w:w="1752" w:type="pct"/>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1AFE0B25">
            <w:pPr>
              <w:snapToGrid w:val="0"/>
              <w:spacing w:before="0" w:after="0" w:line="240" w:lineRule="auto"/>
              <w:ind w:left="0" w:leftChars="0" w:right="0" w:rightChars="0" w:firstLine="0" w:firstLineChars="0"/>
              <w:jc w:val="center"/>
              <w:rPr>
                <w:rFonts w:hint="default" w:ascii="Arial" w:hAnsi="Arial" w:eastAsia="ＭＳ 明朝" w:cs="Arial"/>
                <w:b w:val="0"/>
                <w:i w:val="0"/>
                <w:color w:val="auto"/>
                <w:sz w:val="18"/>
                <w:szCs w:val="18"/>
              </w:rPr>
            </w:pPr>
            <w:r>
              <w:rPr>
                <w:rFonts w:hint="default" w:ascii="Arial" w:hAnsi="Arial" w:eastAsia="ＭＳ 明朝" w:cs="Arial"/>
                <w:b w:val="0"/>
                <w:i w:val="0"/>
                <w:color w:val="auto"/>
                <w:sz w:val="18"/>
                <w:szCs w:val="18"/>
              </w:rPr>
              <w:t>0.823</w:t>
            </w:r>
          </w:p>
        </w:tc>
      </w:tr>
    </w:tbl>
    <w:p w14:paraId="7AED774F">
      <w:pPr>
        <w:jc w:val="both"/>
        <w:rPr>
          <w:rFonts w:hint="default" w:ascii="Arial" w:hAnsi="Arial" w:cs="Arial"/>
          <w:i/>
          <w:color w:val="auto"/>
          <w:sz w:val="18"/>
        </w:rPr>
      </w:pPr>
      <w:r>
        <w:rPr>
          <w:rFonts w:hint="default" w:ascii="Arial" w:hAnsi="Arial" w:cs="Arial"/>
          <w:i/>
          <w:color w:val="auto"/>
          <w:sz w:val="18"/>
        </w:rPr>
        <w:t>Agreement of each algorithm's partition with the six a-priori health domains.</w:t>
      </w:r>
    </w:p>
    <w:p w14:paraId="776E6F71">
      <w:pPr>
        <w:spacing w:before="160" w:after="40"/>
        <w:jc w:val="left"/>
        <w:rPr>
          <w:rFonts w:hint="default" w:ascii="Arial" w:hAnsi="Arial" w:cs="Arial"/>
          <w:b/>
          <w:color w:val="auto"/>
          <w:sz w:val="22"/>
          <w:szCs w:val="22"/>
        </w:rPr>
      </w:pPr>
    </w:p>
    <w:p w14:paraId="03071700">
      <w:pPr>
        <w:keepNext/>
        <w:spacing w:before="160" w:after="40"/>
        <w:jc w:val="left"/>
        <w:rPr>
          <w:rFonts w:hint="default" w:ascii="Arial" w:hAnsi="Arial" w:cs="Arial"/>
          <w:b/>
          <w:color w:val="auto"/>
          <w:sz w:val="22"/>
          <w:szCs w:val="22"/>
        </w:rPr>
      </w:pPr>
      <w:r>
        <w:rPr>
          <w:rFonts w:hint="default" w:ascii="Arial" w:hAnsi="Arial" w:cs="Arial"/>
          <w:color w:val="auto"/>
        </w:rPr>
        <w:t>Supplementary Table S9. Most stable directed edges, Bayesian DAG (200 bootstraps)</w:t>
      </w:r>
    </w:p>
    <w:tbl>
      <w:tblPr>
        <w:tblStyle w:val="32"/>
        <w:tblW w:w="0" w:type="auto"/>
        <w:jc w:val="center"/>
        <w:tblLayout w:type="fixed"/>
        <w:tblCellMar>
          <w:top w:w="0" w:type="dxa"/>
          <w:left w:w="108" w:type="dxa"/>
          <w:bottom w:w="0" w:type="dxa"/>
          <w:right w:w="108" w:type="dxa"/>
        </w:tblCellMar>
      </w:tblPr>
      <w:tblGrid>
        <w:gridCol w:w="3168"/>
        <w:gridCol w:w="6192"/>
      </w:tblGrid>
      <w:tr w14:paraId="4F3DDBCB">
        <w:tblPrEx>
          <w:tblCellMar>
            <w:top w:w="0" w:type="dxa"/>
            <w:left w:w="108" w:type="dxa"/>
            <w:bottom w:w="0" w:type="dxa"/>
            <w:right w:w="108" w:type="dxa"/>
          </w:tblCellMar>
        </w:tblPrEx>
        <w:trPr>
          <w:cantSplit/>
          <w:tblHeader/>
          <w:jc w:val="center"/>
        </w:trPr>
        <w:tc>
          <w:tcPr>
            <w:tcW w:w="3168"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420A13DF">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Directed edge</w:t>
            </w:r>
          </w:p>
        </w:tc>
        <w:tc>
          <w:tcPr>
            <w:tcW w:w="6192"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17A926B0">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Bootstrap frequency (200×)</w:t>
            </w:r>
          </w:p>
        </w:tc>
      </w:tr>
      <w:tr w14:paraId="057FF378">
        <w:tblPrEx>
          <w:tblCellMar>
            <w:top w:w="0" w:type="dxa"/>
            <w:left w:w="108" w:type="dxa"/>
            <w:bottom w:w="0" w:type="dxa"/>
            <w:right w:w="108" w:type="dxa"/>
          </w:tblCellMar>
        </w:tblPrEx>
        <w:trPr>
          <w:cantSplit/>
          <w:jc w:val="center"/>
        </w:trPr>
        <w:tc>
          <w:tcPr>
            <w:tcW w:w="3168"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1325DAE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CIAS→ACT</w:t>
            </w:r>
          </w:p>
        </w:tc>
        <w:tc>
          <w:tcPr>
            <w:tcW w:w="6192"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2E4AC54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0.970</w:t>
            </w:r>
          </w:p>
        </w:tc>
      </w:tr>
      <w:tr w14:paraId="3501E004">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18ABE39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DASS→SDQ</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1545E22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0.910</w:t>
            </w:r>
          </w:p>
        </w:tc>
      </w:tr>
      <w:tr w14:paraId="74D56DC6">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23FBB7D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CIAS→DIET</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0AC9A54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0.905</w:t>
            </w:r>
          </w:p>
        </w:tc>
      </w:tr>
      <w:tr w14:paraId="426FFDAE">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3AE149D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DASS→DIET</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6FDB12E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0.855</w:t>
            </w:r>
          </w:p>
        </w:tc>
      </w:tr>
      <w:tr w14:paraId="3EF46496">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5D63E20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DASS→CIAS</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5BE36DB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0.850</w:t>
            </w:r>
          </w:p>
        </w:tc>
      </w:tr>
      <w:tr w14:paraId="2DBA7C12">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40C3B24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DASS→ISI</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2E9BE55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0.625</w:t>
            </w:r>
          </w:p>
        </w:tc>
      </w:tr>
      <w:tr w14:paraId="1E03FA41">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6636983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ISI→CIAS</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577AD32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0.525</w:t>
            </w:r>
          </w:p>
        </w:tc>
      </w:tr>
      <w:tr w14:paraId="37EFBCFE">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19A45D1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CIAS→ISI</w:t>
            </w:r>
          </w:p>
        </w:tc>
        <w:tc>
          <w:tcPr>
            <w:tcW w:w="6192" w:type="dxa"/>
            <w:tcBorders>
              <w:top w:val="nil"/>
              <w:left w:val="nil"/>
              <w:bottom w:val="nil"/>
              <w:right w:val="nil"/>
            </w:tcBorders>
            <w:shd w:val="clear" w:color="auto" w:fill="FFFFFF"/>
            <w:tcMar>
              <w:top w:w="40" w:type="dxa"/>
              <w:left w:w="80" w:type="dxa"/>
              <w:bottom w:w="40" w:type="dxa"/>
              <w:right w:w="80" w:type="dxa"/>
            </w:tcMar>
          </w:tcPr>
          <w:p w14:paraId="51940E2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0.470</w:t>
            </w:r>
          </w:p>
        </w:tc>
      </w:tr>
      <w:tr w14:paraId="4EF1A5D6">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0332396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CIAS→SDQ</w:t>
            </w:r>
          </w:p>
        </w:tc>
        <w:tc>
          <w:tcPr>
            <w:tcW w:w="6192" w:type="dxa"/>
            <w:tcBorders>
              <w:top w:val="nil"/>
              <w:left w:val="nil"/>
              <w:bottom w:val="nil"/>
              <w:right w:val="nil"/>
            </w:tcBorders>
            <w:shd w:val="clear" w:color="auto" w:fill="FFFFFF"/>
            <w:tcMar>
              <w:top w:w="40" w:type="dxa"/>
              <w:left w:w="80" w:type="dxa"/>
              <w:bottom w:w="40" w:type="dxa"/>
              <w:right w:w="80" w:type="dxa"/>
            </w:tcMar>
          </w:tcPr>
          <w:p w14:paraId="38D1428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0.440</w:t>
            </w:r>
          </w:p>
        </w:tc>
      </w:tr>
      <w:tr w14:paraId="074FD62C">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2773D21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ISI→DASS</w:t>
            </w:r>
          </w:p>
        </w:tc>
        <w:tc>
          <w:tcPr>
            <w:tcW w:w="6192" w:type="dxa"/>
            <w:tcBorders>
              <w:top w:val="nil"/>
              <w:left w:val="nil"/>
              <w:bottom w:val="nil"/>
              <w:right w:val="nil"/>
            </w:tcBorders>
            <w:shd w:val="clear" w:color="auto" w:fill="FFFFFF"/>
            <w:tcMar>
              <w:top w:w="40" w:type="dxa"/>
              <w:left w:w="80" w:type="dxa"/>
              <w:bottom w:w="40" w:type="dxa"/>
              <w:right w:w="80" w:type="dxa"/>
            </w:tcMar>
          </w:tcPr>
          <w:p w14:paraId="214FA3E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0.375</w:t>
            </w:r>
          </w:p>
        </w:tc>
      </w:tr>
      <w:tr w14:paraId="23F6000C">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1CD8162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CIAS→DASS</w:t>
            </w:r>
          </w:p>
        </w:tc>
        <w:tc>
          <w:tcPr>
            <w:tcW w:w="6192" w:type="dxa"/>
            <w:tcBorders>
              <w:top w:val="nil"/>
              <w:left w:val="nil"/>
              <w:bottom w:val="nil"/>
              <w:right w:val="nil"/>
            </w:tcBorders>
            <w:shd w:val="clear" w:color="auto" w:fill="FFFFFF"/>
            <w:tcMar>
              <w:top w:w="40" w:type="dxa"/>
              <w:left w:w="80" w:type="dxa"/>
              <w:bottom w:w="40" w:type="dxa"/>
              <w:right w:w="80" w:type="dxa"/>
            </w:tcMar>
          </w:tcPr>
          <w:p w14:paraId="28D58FA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0.150</w:t>
            </w:r>
          </w:p>
        </w:tc>
      </w:tr>
      <w:tr w14:paraId="68058A6F">
        <w:tblPrEx>
          <w:tblCellMar>
            <w:top w:w="0" w:type="dxa"/>
            <w:left w:w="108" w:type="dxa"/>
            <w:bottom w:w="0" w:type="dxa"/>
            <w:right w:w="108" w:type="dxa"/>
          </w:tblCellMar>
        </w:tblPrEx>
        <w:trPr>
          <w:cantSplit/>
          <w:jc w:val="center"/>
        </w:trPr>
        <w:tc>
          <w:tcPr>
            <w:tcW w:w="3168" w:type="dxa"/>
            <w:tcBorders>
              <w:top w:val="nil"/>
              <w:left w:val="nil"/>
              <w:bottom w:val="single" w:color="000000" w:themeColor="dark1" w:sz="12" w:space="0"/>
              <w:right w:val="nil"/>
            </w:tcBorders>
            <w:shd w:val="clear" w:color="auto" w:fill="FFFFFF"/>
            <w:tcMar>
              <w:top w:w="40" w:type="dxa"/>
              <w:left w:w="80" w:type="dxa"/>
              <w:bottom w:w="40" w:type="dxa"/>
              <w:right w:w="80" w:type="dxa"/>
            </w:tcMar>
          </w:tcPr>
          <w:p w14:paraId="2F6C8D2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SDQ→CIAS</w:t>
            </w:r>
          </w:p>
        </w:tc>
        <w:tc>
          <w:tcPr>
            <w:tcW w:w="6192" w:type="dxa"/>
            <w:tcBorders>
              <w:top w:val="nil"/>
              <w:left w:val="nil"/>
              <w:bottom w:val="single" w:color="000000" w:themeColor="dark1" w:sz="12" w:space="0"/>
              <w:right w:val="nil"/>
            </w:tcBorders>
            <w:shd w:val="clear" w:color="auto" w:fill="FFFFFF"/>
            <w:tcMar>
              <w:top w:w="40" w:type="dxa"/>
              <w:left w:w="80" w:type="dxa"/>
              <w:bottom w:w="40" w:type="dxa"/>
              <w:right w:w="80" w:type="dxa"/>
            </w:tcMar>
          </w:tcPr>
          <w:p w14:paraId="7270AF6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0.125</w:t>
            </w:r>
          </w:p>
        </w:tc>
      </w:tr>
    </w:tbl>
    <w:p w14:paraId="2AB0922B">
      <w:pPr>
        <w:jc w:val="both"/>
        <w:rPr>
          <w:rFonts w:hint="default" w:ascii="Arial" w:hAnsi="Arial" w:cs="Arial"/>
          <w:i/>
          <w:color w:val="auto"/>
          <w:sz w:val="18"/>
        </w:rPr>
      </w:pPr>
      <w:r>
        <w:rPr>
          <w:rFonts w:hint="default" w:ascii="Arial" w:hAnsi="Arial" w:cs="Arial"/>
          <w:i/>
          <w:color w:val="auto"/>
          <w:sz w:val="18"/>
        </w:rPr>
        <w:t>DASS has several bootstrap-stable outgoing edges. Edge orientations remain exploratory because all skeleton edges are reversible in the CPDAG.</w:t>
      </w:r>
    </w:p>
    <w:p w14:paraId="577A1977">
      <w:pPr>
        <w:jc w:val="both"/>
        <w:rPr>
          <w:rFonts w:hint="default" w:ascii="Arial" w:hAnsi="Arial" w:cs="Arial"/>
          <w:i/>
          <w:color w:val="auto"/>
          <w:sz w:val="18"/>
        </w:rPr>
      </w:pPr>
    </w:p>
    <w:p w14:paraId="7184655B">
      <w:pPr>
        <w:jc w:val="both"/>
        <w:rPr>
          <w:rFonts w:hint="default" w:ascii="Arial" w:hAnsi="Arial" w:cs="Arial"/>
          <w:b/>
          <w:color w:val="auto"/>
          <w:sz w:val="22"/>
          <w:szCs w:val="22"/>
        </w:rPr>
      </w:pPr>
      <w:r>
        <w:rPr>
          <w:rFonts w:hint="default" w:ascii="Arial" w:hAnsi="Arial" w:cs="Arial"/>
          <w:color w:val="auto"/>
        </w:rPr>
        <w:t>Supplementary Table S10. Principal-component loadings of node-level metrics</w:t>
      </w:r>
    </w:p>
    <w:tbl>
      <w:tblPr>
        <w:tblStyle w:val="32"/>
        <w:tblW w:w="0" w:type="auto"/>
        <w:jc w:val="center"/>
        <w:tblLayout w:type="fixed"/>
        <w:tblCellMar>
          <w:top w:w="0" w:type="dxa"/>
          <w:left w:w="108" w:type="dxa"/>
          <w:bottom w:w="0" w:type="dxa"/>
          <w:right w:w="108" w:type="dxa"/>
        </w:tblCellMar>
      </w:tblPr>
      <w:tblGrid>
        <w:gridCol w:w="2340"/>
        <w:gridCol w:w="2340"/>
        <w:gridCol w:w="2340"/>
        <w:gridCol w:w="2340"/>
      </w:tblGrid>
      <w:tr w14:paraId="2995D585">
        <w:tblPrEx>
          <w:tblCellMar>
            <w:top w:w="0" w:type="dxa"/>
            <w:left w:w="108" w:type="dxa"/>
            <w:bottom w:w="0" w:type="dxa"/>
            <w:right w:w="108" w:type="dxa"/>
          </w:tblCellMar>
        </w:tblPrEx>
        <w:trPr>
          <w:cantSplit/>
          <w:tblHeader/>
          <w:jc w:val="center"/>
        </w:trPr>
        <w:tc>
          <w:tcPr>
            <w:tcW w:w="23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7F314FD6">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Metric</w:t>
            </w:r>
          </w:p>
        </w:tc>
        <w:tc>
          <w:tcPr>
            <w:tcW w:w="23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21D0C7A5">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PC1</w:t>
            </w:r>
          </w:p>
        </w:tc>
        <w:tc>
          <w:tcPr>
            <w:tcW w:w="23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6187C501">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PC2</w:t>
            </w:r>
          </w:p>
        </w:tc>
        <w:tc>
          <w:tcPr>
            <w:tcW w:w="23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309D9CD1">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PC3</w:t>
            </w:r>
          </w:p>
        </w:tc>
      </w:tr>
      <w:tr w14:paraId="450E1807">
        <w:tblPrEx>
          <w:tblCellMar>
            <w:top w:w="0" w:type="dxa"/>
            <w:left w:w="108" w:type="dxa"/>
            <w:bottom w:w="0" w:type="dxa"/>
            <w:right w:w="108" w:type="dxa"/>
          </w:tblCellMar>
        </w:tblPrEx>
        <w:trPr>
          <w:cantSplit/>
          <w:jc w:val="center"/>
        </w:trPr>
        <w:tc>
          <w:tcPr>
            <w:tcW w:w="23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742D0FC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strength</w:t>
            </w:r>
          </w:p>
        </w:tc>
        <w:tc>
          <w:tcPr>
            <w:tcW w:w="23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7FC2410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0.182</w:t>
            </w:r>
          </w:p>
        </w:tc>
        <w:tc>
          <w:tcPr>
            <w:tcW w:w="23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5A462C6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0.458</w:t>
            </w:r>
          </w:p>
        </w:tc>
        <w:tc>
          <w:tcPr>
            <w:tcW w:w="23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5122F49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0.131</w:t>
            </w:r>
          </w:p>
        </w:tc>
      </w:tr>
      <w:tr w14:paraId="0D67D520">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48BC8FD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closeness_centrality</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04E7405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0.419</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369D030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0.024</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408A1C2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0.042</w:t>
            </w:r>
          </w:p>
        </w:tc>
      </w:tr>
      <w:tr w14:paraId="6D66E64C">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6367D9E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betweenness_centrality</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221E81D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0.403</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07685E5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-0.051</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49F8EB4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0.157</w:t>
            </w:r>
          </w:p>
        </w:tc>
      </w:tr>
      <w:tr w14:paraId="468D3631">
        <w:tblPrEx>
          <w:tblCellMar>
            <w:top w:w="0" w:type="dxa"/>
            <w:left w:w="108" w:type="dxa"/>
            <w:bottom w:w="0" w:type="dxa"/>
            <w:right w:w="108" w:type="dxa"/>
          </w:tblCellMar>
        </w:tblPrEx>
        <w:trPr>
          <w:cantSplit/>
          <w:trHeight w:val="90" w:hRule="atLeas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1F9DD3D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eigenvector_centrality</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04D4BE0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0.411</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708B64C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0.056</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2EA68D7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-0.030</w:t>
            </w:r>
          </w:p>
        </w:tc>
      </w:tr>
      <w:tr w14:paraId="4F1491C7">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3264BF3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average_controllability</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5E09149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0.109</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1D67129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0.476</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1640CD6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0.057</w:t>
            </w:r>
          </w:p>
        </w:tc>
      </w:tr>
      <w:tr w14:paraId="22A52BA4">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6329635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modal_controllability</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45D42D6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0.102</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77DFE3B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-0.330</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632F24D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0.302</w:t>
            </w:r>
          </w:p>
        </w:tc>
      </w:tr>
      <w:tr w14:paraId="72F5AAEE">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3587FCC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control_frequency</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3CF8719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0.185</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2229D8B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-0.093</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3A6C975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0.415</w:t>
            </w:r>
          </w:p>
        </w:tc>
      </w:tr>
      <w:tr w14:paraId="019F4DC5">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55AB689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participation_coefficient</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2BD94E7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0.274</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4AA4EA2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-0.013</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33B6A9D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-0.298</w:t>
            </w:r>
          </w:p>
        </w:tc>
      </w:tr>
      <w:tr w14:paraId="403A6128">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577720C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EI1</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10327F6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-0.140</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7C4EDF1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0.445</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78D28B6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0.227</w:t>
            </w:r>
          </w:p>
        </w:tc>
      </w:tr>
      <w:tr w14:paraId="3EAD0A37">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1AAE0FA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EI2</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229C390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-0.146</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5E4407C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0.444</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72EB0F0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0.216</w:t>
            </w:r>
          </w:p>
        </w:tc>
      </w:tr>
      <w:tr w14:paraId="0C872F2D">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0F6DA52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bridge_strength</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7C6522A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0.343</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4EEF52E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0.120</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4E4D74D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-0.202</w:t>
            </w:r>
          </w:p>
        </w:tc>
      </w:tr>
      <w:tr w14:paraId="4AA90D28">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39297C2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bridge_betweenness</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078BF35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0.403</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1F02A23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-0.052</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4316543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0.158</w:t>
            </w:r>
          </w:p>
        </w:tc>
      </w:tr>
      <w:tr w14:paraId="4CF9D08E">
        <w:tblPrEx>
          <w:tblCellMar>
            <w:top w:w="0" w:type="dxa"/>
            <w:left w:w="108" w:type="dxa"/>
            <w:bottom w:w="0" w:type="dxa"/>
            <w:right w:w="108" w:type="dxa"/>
          </w:tblCellMar>
        </w:tblPrEx>
        <w:trPr>
          <w:cantSplit/>
          <w:jc w:val="center"/>
        </w:trPr>
        <w:tc>
          <w:tcPr>
            <w:tcW w:w="23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526A8F3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control_energy_log</w:t>
            </w:r>
          </w:p>
        </w:tc>
        <w:tc>
          <w:tcPr>
            <w:tcW w:w="23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5D045EE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-0.085</w:t>
            </w:r>
          </w:p>
        </w:tc>
        <w:tc>
          <w:tcPr>
            <w:tcW w:w="23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0BBAD4A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-0.165</w:t>
            </w:r>
          </w:p>
        </w:tc>
        <w:tc>
          <w:tcPr>
            <w:tcW w:w="23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197C349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0.660</w:t>
            </w:r>
          </w:p>
        </w:tc>
      </w:tr>
    </w:tbl>
    <w:p w14:paraId="1759A60C">
      <w:pPr>
        <w:jc w:val="both"/>
        <w:rPr>
          <w:rFonts w:hint="default" w:ascii="Arial" w:hAnsi="Arial" w:cs="Arial"/>
          <w:i/>
          <w:color w:val="auto"/>
          <w:sz w:val="18"/>
        </w:rPr>
      </w:pPr>
      <w:r>
        <w:rPr>
          <w:rFonts w:hint="default" w:ascii="Arial" w:hAnsi="Arial" w:cs="Arial"/>
          <w:i/>
          <w:color w:val="auto"/>
          <w:sz w:val="18"/>
        </w:rPr>
        <w:t>Control frequency loads on an independent component, separate from traditional centrality and from strength/influence.</w:t>
      </w:r>
    </w:p>
    <w:p w14:paraId="0A1FD6FE">
      <w:pPr>
        <w:jc w:val="both"/>
        <w:rPr>
          <w:rFonts w:hint="default" w:ascii="Arial" w:hAnsi="Arial" w:cs="Arial"/>
          <w:i/>
          <w:color w:val="auto"/>
          <w:sz w:val="18"/>
        </w:rPr>
      </w:pPr>
    </w:p>
    <w:p w14:paraId="6543D46D">
      <w:pPr>
        <w:keepNext/>
        <w:spacing w:before="160" w:after="40"/>
        <w:jc w:val="left"/>
        <w:rPr>
          <w:rFonts w:hint="default" w:ascii="Arial" w:hAnsi="Arial" w:cs="Arial"/>
          <w:b/>
          <w:color w:val="auto"/>
          <w:sz w:val="22"/>
          <w:szCs w:val="22"/>
        </w:rPr>
      </w:pPr>
      <w:r>
        <w:rPr>
          <w:rFonts w:hint="default" w:ascii="Arial" w:hAnsi="Arial" w:cs="Arial"/>
          <w:color w:val="auto"/>
        </w:rPr>
        <w:t>Supplementary Table S11. Bayesian DAG net out-degree by model</w:t>
      </w:r>
    </w:p>
    <w:tbl>
      <w:tblPr>
        <w:tblStyle w:val="32"/>
        <w:tblW w:w="0" w:type="auto"/>
        <w:jc w:val="center"/>
        <w:tblLayout w:type="fixed"/>
        <w:tblCellMar>
          <w:top w:w="0" w:type="dxa"/>
          <w:left w:w="108" w:type="dxa"/>
          <w:bottom w:w="0" w:type="dxa"/>
          <w:right w:w="108" w:type="dxa"/>
        </w:tblCellMar>
      </w:tblPr>
      <w:tblGrid>
        <w:gridCol w:w="3120"/>
        <w:gridCol w:w="3120"/>
        <w:gridCol w:w="3120"/>
      </w:tblGrid>
      <w:tr w14:paraId="118D5CC1">
        <w:tblPrEx>
          <w:tblCellMar>
            <w:top w:w="0" w:type="dxa"/>
            <w:left w:w="108" w:type="dxa"/>
            <w:bottom w:w="0" w:type="dxa"/>
            <w:right w:w="108" w:type="dxa"/>
          </w:tblCellMar>
        </w:tblPrEx>
        <w:trPr>
          <w:cantSplit/>
          <w:tblHeader/>
          <w:jc w:val="center"/>
        </w:trPr>
        <w:tc>
          <w:tcPr>
            <w:tcW w:w="312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76395108">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Domain</w:t>
            </w:r>
          </w:p>
        </w:tc>
        <w:tc>
          <w:tcPr>
            <w:tcW w:w="312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0FE68E47">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Tertile DAG</w:t>
            </w:r>
          </w:p>
        </w:tc>
        <w:tc>
          <w:tcPr>
            <w:tcW w:w="312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1AED02B3">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Continuous Gaussian BN</w:t>
            </w:r>
          </w:p>
        </w:tc>
      </w:tr>
      <w:tr w14:paraId="75170933">
        <w:tblPrEx>
          <w:tblCellMar>
            <w:top w:w="0" w:type="dxa"/>
            <w:left w:w="108" w:type="dxa"/>
            <w:bottom w:w="0" w:type="dxa"/>
            <w:right w:w="108" w:type="dxa"/>
          </w:tblCellMar>
        </w:tblPrEx>
        <w:trPr>
          <w:cantSplit/>
          <w:jc w:val="center"/>
        </w:trPr>
        <w:tc>
          <w:tcPr>
            <w:tcW w:w="312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772C15C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CIAS</w:t>
            </w:r>
          </w:p>
        </w:tc>
        <w:tc>
          <w:tcPr>
            <w:tcW w:w="312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714C5FF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w:t>
            </w:r>
          </w:p>
        </w:tc>
        <w:tc>
          <w:tcPr>
            <w:tcW w:w="312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1A09629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-3</w:t>
            </w:r>
          </w:p>
        </w:tc>
      </w:tr>
      <w:tr w14:paraId="19956EB5">
        <w:tblPrEx>
          <w:tblCellMar>
            <w:top w:w="0" w:type="dxa"/>
            <w:left w:w="108" w:type="dxa"/>
            <w:bottom w:w="0" w:type="dxa"/>
            <w:right w:w="108" w:type="dxa"/>
          </w:tblCellMar>
        </w:tblPrEx>
        <w:trPr>
          <w:cantSplit/>
          <w:jc w:val="center"/>
        </w:trPr>
        <w:tc>
          <w:tcPr>
            <w:tcW w:w="3120" w:type="dxa"/>
            <w:tcBorders>
              <w:top w:val="nil"/>
              <w:left w:val="nil"/>
              <w:bottom w:val="nil"/>
              <w:right w:val="nil"/>
            </w:tcBorders>
            <w:shd w:val="clear" w:color="auto" w:fill="FFFFFF"/>
            <w:tcMar>
              <w:top w:w="40" w:type="dxa"/>
              <w:left w:w="80" w:type="dxa"/>
              <w:bottom w:w="40" w:type="dxa"/>
              <w:right w:w="80" w:type="dxa"/>
            </w:tcMar>
            <w:vAlign w:val="center"/>
          </w:tcPr>
          <w:p w14:paraId="0FC8D00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DASS</w:t>
            </w:r>
          </w:p>
        </w:tc>
        <w:tc>
          <w:tcPr>
            <w:tcW w:w="3120" w:type="dxa"/>
            <w:tcBorders>
              <w:top w:val="nil"/>
              <w:left w:val="nil"/>
              <w:bottom w:val="nil"/>
              <w:right w:val="nil"/>
            </w:tcBorders>
            <w:shd w:val="clear" w:color="auto" w:fill="FFFFFF"/>
            <w:tcMar>
              <w:top w:w="40" w:type="dxa"/>
              <w:left w:w="80" w:type="dxa"/>
              <w:bottom w:w="40" w:type="dxa"/>
              <w:right w:w="80" w:type="dxa"/>
            </w:tcMar>
            <w:vAlign w:val="center"/>
          </w:tcPr>
          <w:p w14:paraId="25E188F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w:t>
            </w:r>
          </w:p>
        </w:tc>
        <w:tc>
          <w:tcPr>
            <w:tcW w:w="3120" w:type="dxa"/>
            <w:tcBorders>
              <w:top w:val="nil"/>
              <w:left w:val="nil"/>
              <w:bottom w:val="nil"/>
              <w:right w:val="nil"/>
            </w:tcBorders>
            <w:shd w:val="clear" w:color="auto" w:fill="FFFFFF"/>
            <w:tcMar>
              <w:top w:w="40" w:type="dxa"/>
              <w:left w:w="80" w:type="dxa"/>
              <w:bottom w:w="40" w:type="dxa"/>
              <w:right w:w="80" w:type="dxa"/>
            </w:tcMar>
            <w:vAlign w:val="center"/>
          </w:tcPr>
          <w:p w14:paraId="58503F3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+3</w:t>
            </w:r>
          </w:p>
        </w:tc>
      </w:tr>
      <w:tr w14:paraId="640B5E1F">
        <w:tblPrEx>
          <w:tblCellMar>
            <w:top w:w="0" w:type="dxa"/>
            <w:left w:w="108" w:type="dxa"/>
            <w:bottom w:w="0" w:type="dxa"/>
            <w:right w:w="108" w:type="dxa"/>
          </w:tblCellMar>
        </w:tblPrEx>
        <w:trPr>
          <w:cantSplit/>
          <w:jc w:val="center"/>
        </w:trPr>
        <w:tc>
          <w:tcPr>
            <w:tcW w:w="3120" w:type="dxa"/>
            <w:tcBorders>
              <w:top w:val="nil"/>
              <w:left w:val="nil"/>
              <w:bottom w:val="nil"/>
              <w:right w:val="nil"/>
            </w:tcBorders>
            <w:shd w:val="clear" w:color="auto" w:fill="FFFFFF"/>
            <w:tcMar>
              <w:top w:w="40" w:type="dxa"/>
              <w:left w:w="80" w:type="dxa"/>
              <w:bottom w:w="40" w:type="dxa"/>
              <w:right w:w="80" w:type="dxa"/>
            </w:tcMar>
            <w:vAlign w:val="center"/>
          </w:tcPr>
          <w:p w14:paraId="14C4CDC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SDQ</w:t>
            </w:r>
          </w:p>
        </w:tc>
        <w:tc>
          <w:tcPr>
            <w:tcW w:w="3120" w:type="dxa"/>
            <w:tcBorders>
              <w:top w:val="nil"/>
              <w:left w:val="nil"/>
              <w:bottom w:val="nil"/>
              <w:right w:val="nil"/>
            </w:tcBorders>
            <w:shd w:val="clear" w:color="auto" w:fill="FFFFFF"/>
            <w:tcMar>
              <w:top w:w="40" w:type="dxa"/>
              <w:left w:w="80" w:type="dxa"/>
              <w:bottom w:w="40" w:type="dxa"/>
              <w:right w:w="80" w:type="dxa"/>
            </w:tcMar>
            <w:vAlign w:val="center"/>
          </w:tcPr>
          <w:p w14:paraId="5D18063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w:t>
            </w:r>
          </w:p>
        </w:tc>
        <w:tc>
          <w:tcPr>
            <w:tcW w:w="3120" w:type="dxa"/>
            <w:tcBorders>
              <w:top w:val="nil"/>
              <w:left w:val="nil"/>
              <w:bottom w:val="nil"/>
              <w:right w:val="nil"/>
            </w:tcBorders>
            <w:shd w:val="clear" w:color="auto" w:fill="FFFFFF"/>
            <w:tcMar>
              <w:top w:w="40" w:type="dxa"/>
              <w:left w:w="80" w:type="dxa"/>
              <w:bottom w:w="40" w:type="dxa"/>
              <w:right w:w="80" w:type="dxa"/>
            </w:tcMar>
            <w:vAlign w:val="center"/>
          </w:tcPr>
          <w:p w14:paraId="7DB3568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w:t>
            </w:r>
          </w:p>
        </w:tc>
      </w:tr>
      <w:tr w14:paraId="3EB668C2">
        <w:tblPrEx>
          <w:tblCellMar>
            <w:top w:w="0" w:type="dxa"/>
            <w:left w:w="108" w:type="dxa"/>
            <w:bottom w:w="0" w:type="dxa"/>
            <w:right w:w="108" w:type="dxa"/>
          </w:tblCellMar>
        </w:tblPrEx>
        <w:trPr>
          <w:cantSplit/>
          <w:jc w:val="center"/>
        </w:trPr>
        <w:tc>
          <w:tcPr>
            <w:tcW w:w="3120" w:type="dxa"/>
            <w:tcBorders>
              <w:top w:val="nil"/>
              <w:left w:val="nil"/>
              <w:bottom w:val="nil"/>
              <w:right w:val="nil"/>
            </w:tcBorders>
            <w:shd w:val="clear" w:color="auto" w:fill="FFFFFF"/>
            <w:tcMar>
              <w:top w:w="40" w:type="dxa"/>
              <w:left w:w="80" w:type="dxa"/>
              <w:bottom w:w="40" w:type="dxa"/>
              <w:right w:w="80" w:type="dxa"/>
            </w:tcMar>
            <w:vAlign w:val="center"/>
          </w:tcPr>
          <w:p w14:paraId="2326A67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DIET</w:t>
            </w:r>
          </w:p>
        </w:tc>
        <w:tc>
          <w:tcPr>
            <w:tcW w:w="3120" w:type="dxa"/>
            <w:tcBorders>
              <w:top w:val="nil"/>
              <w:left w:val="nil"/>
              <w:bottom w:val="nil"/>
              <w:right w:val="nil"/>
            </w:tcBorders>
            <w:shd w:val="clear" w:color="auto" w:fill="FFFFFF"/>
            <w:tcMar>
              <w:top w:w="40" w:type="dxa"/>
              <w:left w:w="80" w:type="dxa"/>
              <w:bottom w:w="40" w:type="dxa"/>
              <w:right w:w="80" w:type="dxa"/>
            </w:tcMar>
            <w:vAlign w:val="center"/>
          </w:tcPr>
          <w:p w14:paraId="1CCC65C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w:t>
            </w:r>
          </w:p>
        </w:tc>
        <w:tc>
          <w:tcPr>
            <w:tcW w:w="3120" w:type="dxa"/>
            <w:tcBorders>
              <w:top w:val="nil"/>
              <w:left w:val="nil"/>
              <w:bottom w:val="nil"/>
              <w:right w:val="nil"/>
            </w:tcBorders>
            <w:shd w:val="clear" w:color="auto" w:fill="FFFFFF"/>
            <w:tcMar>
              <w:top w:w="40" w:type="dxa"/>
              <w:left w:w="80" w:type="dxa"/>
              <w:bottom w:w="40" w:type="dxa"/>
              <w:right w:w="80" w:type="dxa"/>
            </w:tcMar>
            <w:vAlign w:val="center"/>
          </w:tcPr>
          <w:p w14:paraId="6869D25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-4</w:t>
            </w:r>
          </w:p>
        </w:tc>
      </w:tr>
      <w:tr w14:paraId="2728E728">
        <w:tblPrEx>
          <w:tblCellMar>
            <w:top w:w="0" w:type="dxa"/>
            <w:left w:w="108" w:type="dxa"/>
            <w:bottom w:w="0" w:type="dxa"/>
            <w:right w:w="108" w:type="dxa"/>
          </w:tblCellMar>
        </w:tblPrEx>
        <w:trPr>
          <w:cantSplit/>
          <w:jc w:val="center"/>
        </w:trPr>
        <w:tc>
          <w:tcPr>
            <w:tcW w:w="3120" w:type="dxa"/>
            <w:tcBorders>
              <w:top w:val="nil"/>
              <w:left w:val="nil"/>
              <w:bottom w:val="nil"/>
              <w:right w:val="nil"/>
            </w:tcBorders>
            <w:shd w:val="clear" w:color="auto" w:fill="FFFFFF"/>
            <w:tcMar>
              <w:top w:w="40" w:type="dxa"/>
              <w:left w:w="80" w:type="dxa"/>
              <w:bottom w:w="40" w:type="dxa"/>
              <w:right w:w="80" w:type="dxa"/>
            </w:tcMar>
            <w:vAlign w:val="center"/>
          </w:tcPr>
          <w:p w14:paraId="76DDB39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ISI</w:t>
            </w:r>
          </w:p>
        </w:tc>
        <w:tc>
          <w:tcPr>
            <w:tcW w:w="3120" w:type="dxa"/>
            <w:tcBorders>
              <w:top w:val="nil"/>
              <w:left w:val="nil"/>
              <w:bottom w:val="nil"/>
              <w:right w:val="nil"/>
            </w:tcBorders>
            <w:shd w:val="clear" w:color="auto" w:fill="FFFFFF"/>
            <w:tcMar>
              <w:top w:w="40" w:type="dxa"/>
              <w:left w:w="80" w:type="dxa"/>
              <w:bottom w:w="40" w:type="dxa"/>
              <w:right w:w="80" w:type="dxa"/>
            </w:tcMar>
            <w:vAlign w:val="center"/>
          </w:tcPr>
          <w:p w14:paraId="323E9A6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w:t>
            </w:r>
          </w:p>
        </w:tc>
        <w:tc>
          <w:tcPr>
            <w:tcW w:w="3120" w:type="dxa"/>
            <w:tcBorders>
              <w:top w:val="nil"/>
              <w:left w:val="nil"/>
              <w:bottom w:val="nil"/>
              <w:right w:val="nil"/>
            </w:tcBorders>
            <w:shd w:val="clear" w:color="auto" w:fill="FFFFFF"/>
            <w:tcMar>
              <w:top w:w="40" w:type="dxa"/>
              <w:left w:w="80" w:type="dxa"/>
              <w:bottom w:w="40" w:type="dxa"/>
              <w:right w:w="80" w:type="dxa"/>
            </w:tcMar>
            <w:vAlign w:val="center"/>
          </w:tcPr>
          <w:p w14:paraId="26B5CA9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+4</w:t>
            </w:r>
          </w:p>
        </w:tc>
      </w:tr>
      <w:tr w14:paraId="37A835D2">
        <w:tblPrEx>
          <w:tblCellMar>
            <w:top w:w="0" w:type="dxa"/>
            <w:left w:w="108" w:type="dxa"/>
            <w:bottom w:w="0" w:type="dxa"/>
            <w:right w:w="108" w:type="dxa"/>
          </w:tblCellMar>
        </w:tblPrEx>
        <w:trPr>
          <w:cantSplit/>
          <w:jc w:val="center"/>
        </w:trPr>
        <w:tc>
          <w:tcPr>
            <w:tcW w:w="312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6738B22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ACT</w:t>
            </w:r>
          </w:p>
        </w:tc>
        <w:tc>
          <w:tcPr>
            <w:tcW w:w="312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0516C2E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w:t>
            </w:r>
          </w:p>
        </w:tc>
        <w:tc>
          <w:tcPr>
            <w:tcW w:w="312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5540F29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w:t>
            </w:r>
          </w:p>
        </w:tc>
      </w:tr>
    </w:tbl>
    <w:p w14:paraId="12746537">
      <w:pPr>
        <w:jc w:val="both"/>
        <w:rPr>
          <w:rFonts w:hint="default" w:ascii="Arial" w:hAnsi="Arial" w:cs="Arial"/>
          <w:i/>
          <w:color w:val="auto"/>
          <w:sz w:val="18"/>
        </w:rPr>
      </w:pPr>
      <w:r>
        <w:rPr>
          <w:rFonts w:hint="default" w:ascii="Arial" w:hAnsi="Arial" w:cs="Arial"/>
          <w:i/>
          <w:color w:val="auto"/>
          <w:sz w:val="18"/>
        </w:rPr>
        <w:t>Positive = net source; negative = net sink. DASS is a net source and diet a net sink in both models.</w:t>
      </w:r>
    </w:p>
    <w:p w14:paraId="6EBF8BF2">
      <w:pPr>
        <w:jc w:val="both"/>
        <w:rPr>
          <w:rFonts w:hint="default" w:ascii="Arial" w:hAnsi="Arial" w:cs="Arial"/>
          <w:i/>
          <w:color w:val="auto"/>
          <w:sz w:val="18"/>
        </w:rPr>
      </w:pPr>
    </w:p>
    <w:p w14:paraId="7ED1A8FF">
      <w:pPr>
        <w:keepNext/>
        <w:spacing w:before="160" w:after="40"/>
        <w:jc w:val="left"/>
        <w:rPr>
          <w:rFonts w:hint="default" w:ascii="Arial" w:hAnsi="Arial" w:cs="Arial"/>
          <w:b/>
          <w:color w:val="auto"/>
          <w:sz w:val="22"/>
          <w:szCs w:val="22"/>
        </w:rPr>
      </w:pPr>
      <w:r>
        <w:rPr>
          <w:rFonts w:hint="default" w:ascii="Arial" w:hAnsi="Arial" w:cs="Arial"/>
          <w:color w:val="auto"/>
        </w:rPr>
        <w:t>Supplementary Table S12. Baseline comparison, matched longitudinal subsample vs unmatched remainder</w:t>
      </w:r>
    </w:p>
    <w:tbl>
      <w:tblPr>
        <w:tblStyle w:val="32"/>
        <w:tblW w:w="0" w:type="auto"/>
        <w:jc w:val="center"/>
        <w:tblLayout w:type="fixed"/>
        <w:tblCellMar>
          <w:top w:w="0" w:type="dxa"/>
          <w:left w:w="108" w:type="dxa"/>
          <w:bottom w:w="0" w:type="dxa"/>
          <w:right w:w="108" w:type="dxa"/>
        </w:tblCellMar>
      </w:tblPr>
      <w:tblGrid>
        <w:gridCol w:w="2340"/>
        <w:gridCol w:w="2340"/>
        <w:gridCol w:w="2340"/>
        <w:gridCol w:w="2340"/>
      </w:tblGrid>
      <w:tr w14:paraId="61E3C5AE">
        <w:tblPrEx>
          <w:tblCellMar>
            <w:top w:w="0" w:type="dxa"/>
            <w:left w:w="108" w:type="dxa"/>
            <w:bottom w:w="0" w:type="dxa"/>
            <w:right w:w="108" w:type="dxa"/>
          </w:tblCellMar>
        </w:tblPrEx>
        <w:trPr>
          <w:cantSplit/>
          <w:tblHeader/>
          <w:jc w:val="center"/>
        </w:trPr>
        <w:tc>
          <w:tcPr>
            <w:tcW w:w="23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4C4D28F6">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Domain</w:t>
            </w:r>
          </w:p>
        </w:tc>
        <w:tc>
          <w:tcPr>
            <w:tcW w:w="23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4729359E">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Matched mean (N=6,092)</w:t>
            </w:r>
          </w:p>
        </w:tc>
        <w:tc>
          <w:tcPr>
            <w:tcW w:w="23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12FAB67C">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Unmatched mean (N=4,264)</w:t>
            </w:r>
          </w:p>
        </w:tc>
        <w:tc>
          <w:tcPr>
            <w:tcW w:w="23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37375C7C">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Standardised mean difference</w:t>
            </w:r>
          </w:p>
        </w:tc>
      </w:tr>
      <w:tr w14:paraId="324A56A3">
        <w:tblPrEx>
          <w:tblCellMar>
            <w:top w:w="0" w:type="dxa"/>
            <w:left w:w="108" w:type="dxa"/>
            <w:bottom w:w="0" w:type="dxa"/>
            <w:right w:w="108" w:type="dxa"/>
          </w:tblCellMar>
        </w:tblPrEx>
        <w:trPr>
          <w:cantSplit/>
          <w:jc w:val="center"/>
        </w:trPr>
        <w:tc>
          <w:tcPr>
            <w:tcW w:w="23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7A238CB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CIAS</w:t>
            </w:r>
          </w:p>
        </w:tc>
        <w:tc>
          <w:tcPr>
            <w:tcW w:w="23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40DAF10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42.21</w:t>
            </w:r>
          </w:p>
        </w:tc>
        <w:tc>
          <w:tcPr>
            <w:tcW w:w="23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2A5E30A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47.54</w:t>
            </w:r>
          </w:p>
        </w:tc>
        <w:tc>
          <w:tcPr>
            <w:tcW w:w="23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7A7D419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-0.351</w:t>
            </w:r>
          </w:p>
        </w:tc>
      </w:tr>
      <w:tr w14:paraId="3882FD93">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68EA6CC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DASS</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045BE5A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8.39</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5486564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11.94</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40A9432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-0.350</w:t>
            </w:r>
          </w:p>
        </w:tc>
      </w:tr>
      <w:tr w14:paraId="658CD27A">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1446BD4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SDQ</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78D8349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18.79</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19658E7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19.73</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68176BB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-0.178</w:t>
            </w:r>
          </w:p>
        </w:tc>
      </w:tr>
      <w:tr w14:paraId="0E679694">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6673819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DIET</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783F4D9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20.34</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2F900AC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21.73</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43FAFA7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-0.257</w:t>
            </w:r>
          </w:p>
        </w:tc>
      </w:tr>
      <w:tr w14:paraId="2CD8ACD2">
        <w:tblPrEx>
          <w:tblCellMar>
            <w:top w:w="0" w:type="dxa"/>
            <w:left w:w="108" w:type="dxa"/>
            <w:bottom w:w="0" w:type="dxa"/>
            <w:right w:w="108" w:type="dxa"/>
          </w:tblCellMar>
        </w:tblPrEx>
        <w:trPr>
          <w:cantSplit/>
          <w:jc w:val="center"/>
        </w:trPr>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37085C1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ISI</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56C1E4A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4.32</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676CBB2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5.84</w:t>
            </w:r>
          </w:p>
        </w:tc>
        <w:tc>
          <w:tcPr>
            <w:tcW w:w="2340" w:type="dxa"/>
            <w:tcBorders>
              <w:top w:val="nil"/>
              <w:left w:val="nil"/>
              <w:bottom w:val="nil"/>
              <w:right w:val="nil"/>
            </w:tcBorders>
            <w:shd w:val="clear" w:color="auto" w:fill="FFFFFF"/>
            <w:tcMar>
              <w:top w:w="40" w:type="dxa"/>
              <w:left w:w="80" w:type="dxa"/>
              <w:bottom w:w="40" w:type="dxa"/>
              <w:right w:w="80" w:type="dxa"/>
            </w:tcMar>
            <w:vAlign w:val="center"/>
          </w:tcPr>
          <w:p w14:paraId="51545F4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-0.308</w:t>
            </w:r>
          </w:p>
        </w:tc>
      </w:tr>
      <w:tr w14:paraId="77DC19FB">
        <w:tblPrEx>
          <w:tblCellMar>
            <w:top w:w="0" w:type="dxa"/>
            <w:left w:w="108" w:type="dxa"/>
            <w:bottom w:w="0" w:type="dxa"/>
            <w:right w:w="108" w:type="dxa"/>
          </w:tblCellMar>
        </w:tblPrEx>
        <w:trPr>
          <w:cantSplit/>
          <w:jc w:val="center"/>
        </w:trPr>
        <w:tc>
          <w:tcPr>
            <w:tcW w:w="23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0F6AAF5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ACT</w:t>
            </w:r>
          </w:p>
        </w:tc>
        <w:tc>
          <w:tcPr>
            <w:tcW w:w="23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0AD52ED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10.63</w:t>
            </w:r>
          </w:p>
        </w:tc>
        <w:tc>
          <w:tcPr>
            <w:tcW w:w="23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2F71C0B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10.18</w:t>
            </w:r>
          </w:p>
        </w:tc>
        <w:tc>
          <w:tcPr>
            <w:tcW w:w="23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39FB46E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+0.098</w:t>
            </w:r>
          </w:p>
        </w:tc>
      </w:tr>
    </w:tbl>
    <w:p w14:paraId="3D907A10">
      <w:pPr>
        <w:jc w:val="both"/>
        <w:rPr>
          <w:rFonts w:hint="default" w:ascii="Arial" w:hAnsi="Arial" w:cs="Arial"/>
          <w:color w:val="auto"/>
          <w:sz w:val="18"/>
          <w:szCs w:val="18"/>
        </w:rPr>
      </w:pPr>
      <w:r>
        <w:rPr>
          <w:rFonts w:hint="default" w:ascii="Arial" w:hAnsi="Arial" w:cs="Arial"/>
          <w:i/>
          <w:color w:val="auto"/>
          <w:sz w:val="18"/>
          <w:szCs w:val="18"/>
        </w:rPr>
        <w:t>Standardised mean difference is Cohen's d (matched minus unmatched); the retained subsample has modestly lower symptom levels.</w:t>
      </w:r>
    </w:p>
    <w:p w14:paraId="51FB040C">
      <w:pPr>
        <w:spacing w:before="160" w:after="40"/>
        <w:jc w:val="left"/>
        <w:rPr>
          <w:rFonts w:hint="default" w:ascii="Arial" w:hAnsi="Arial" w:cs="Arial"/>
          <w:b/>
          <w:color w:val="auto"/>
          <w:sz w:val="22"/>
          <w:szCs w:val="22"/>
        </w:rPr>
      </w:pPr>
    </w:p>
    <w:p w14:paraId="54CC7EF2">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default" w:ascii="Arial" w:hAnsi="Arial" w:cs="Arial"/>
          <w:b/>
          <w:color w:val="auto"/>
          <w:sz w:val="22"/>
          <w:szCs w:val="22"/>
        </w:rPr>
      </w:pPr>
      <w:r>
        <w:rPr>
          <w:rFonts w:hint="eastAsia"/>
          <w:i w:val="0"/>
          <w:iCs w:val="0"/>
          <w:sz w:val="21"/>
          <w:szCs w:val="24"/>
        </w:rPr>
        <w:t>Supplementary Table S13. Sensitivity analyses of SEARCH net directionality and school-cluster-robust inference for cross-domain paths.</w:t>
      </w:r>
    </w:p>
    <w:p w14:paraId="2D2EED3D">
      <w:pPr>
        <w:keepNext/>
        <w:spacing w:before="120"/>
        <w:rPr>
          <w:b w:val="0"/>
          <w:bCs/>
        </w:rPr>
      </w:pPr>
      <w:r>
        <w:rPr>
          <w:b w:val="0"/>
          <w:bCs/>
        </w:rPr>
        <w:t>S13a. Net directionality under alternative model specifications</w:t>
      </w:r>
    </w:p>
    <w:tbl>
      <w:tblPr>
        <w:tblStyle w:val="32"/>
        <w:tblW w:w="9524" w:type="dxa"/>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48" w:type="dxa"/>
          <w:left w:w="42" w:type="dxa"/>
          <w:bottom w:w="48" w:type="dxa"/>
          <w:right w:w="42" w:type="dxa"/>
        </w:tblCellMar>
      </w:tblPr>
      <w:tblGrid>
        <w:gridCol w:w="1616"/>
        <w:gridCol w:w="1233"/>
        <w:gridCol w:w="1725"/>
        <w:gridCol w:w="2350"/>
        <w:gridCol w:w="2600"/>
      </w:tblGrid>
      <w:tr w14:paraId="4F3309B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tblHeader/>
          <w:jc w:val="center"/>
        </w:trPr>
        <w:tc>
          <w:tcPr>
            <w:tcW w:w="1616" w:type="dxa"/>
            <w:tcBorders>
              <w:top w:val="single" w:color="000000" w:themeColor="dark1" w:sz="12" w:space="0"/>
              <w:left w:val="nil"/>
              <w:bottom w:val="single" w:color="000000" w:themeColor="dark1" w:sz="6" w:space="0"/>
              <w:right w:val="nil"/>
            </w:tcBorders>
            <w:shd w:val="clear" w:color="auto" w:fill="FFFFFF"/>
            <w:vAlign w:val="center"/>
          </w:tcPr>
          <w:p w14:paraId="3567BB49">
            <w:pPr>
              <w:spacing w:before="0" w:after="0" w:line="240" w:lineRule="auto"/>
              <w:jc w:val="center"/>
              <w:rPr>
                <w:rFonts w:hint="default" w:ascii="Arial" w:hAnsi="Arial" w:cs="Arial"/>
                <w:b/>
                <w:i w:val="0"/>
                <w:color w:val="000000" w:themeColor="dark1"/>
                <w:sz w:val="18"/>
                <w:szCs w:val="18"/>
                <w14:textFill>
                  <w14:solidFill>
                    <w14:schemeClr w14:val="dk1"/>
                  </w14:solidFill>
                </w14:textFill>
              </w:rPr>
            </w:pPr>
            <w:r>
              <w:rPr>
                <w:rFonts w:hint="default" w:ascii="Arial" w:hAnsi="Arial" w:cs="Arial"/>
                <w:b/>
                <w:i w:val="0"/>
                <w:color w:val="000000" w:themeColor="dark1"/>
                <w:sz w:val="18"/>
                <w:szCs w:val="18"/>
                <w14:textFill>
                  <w14:solidFill>
                    <w14:schemeClr w14:val="dk1"/>
                  </w14:solidFill>
                </w14:textFill>
              </w:rPr>
              <w:t>Domain</w:t>
            </w:r>
          </w:p>
        </w:tc>
        <w:tc>
          <w:tcPr>
            <w:tcW w:w="1233" w:type="dxa"/>
            <w:tcBorders>
              <w:top w:val="single" w:color="000000" w:themeColor="dark1" w:sz="12" w:space="0"/>
              <w:left w:val="nil"/>
              <w:bottom w:val="single" w:color="000000" w:themeColor="dark1" w:sz="6" w:space="0"/>
              <w:right w:val="nil"/>
            </w:tcBorders>
            <w:shd w:val="clear" w:color="auto" w:fill="FFFFFF"/>
            <w:vAlign w:val="center"/>
          </w:tcPr>
          <w:p w14:paraId="172EB033">
            <w:pPr>
              <w:spacing w:before="0" w:after="0" w:line="240" w:lineRule="auto"/>
              <w:jc w:val="center"/>
              <w:rPr>
                <w:rFonts w:hint="default" w:ascii="Arial" w:hAnsi="Arial" w:cs="Arial"/>
                <w:b/>
                <w:i w:val="0"/>
                <w:color w:val="000000" w:themeColor="dark1"/>
                <w:sz w:val="18"/>
                <w:szCs w:val="18"/>
                <w14:textFill>
                  <w14:solidFill>
                    <w14:schemeClr w14:val="dk1"/>
                  </w14:solidFill>
                </w14:textFill>
              </w:rPr>
            </w:pPr>
            <w:r>
              <w:rPr>
                <w:rFonts w:hint="default" w:ascii="Arial" w:hAnsi="Arial" w:cs="Arial"/>
                <w:b/>
                <w:i w:val="0"/>
                <w:color w:val="000000" w:themeColor="dark1"/>
                <w:sz w:val="18"/>
                <w:szCs w:val="18"/>
                <w14:textFill>
                  <w14:solidFill>
                    <w14:schemeClr w14:val="dk1"/>
                  </w14:solidFill>
                </w14:textFill>
              </w:rPr>
              <w:t>Primary</w:t>
            </w:r>
            <w:r>
              <w:rPr>
                <w:rFonts w:hint="default" w:ascii="Arial" w:hAnsi="Arial" w:cs="Arial"/>
                <w:b/>
                <w:i w:val="0"/>
                <w:color w:val="000000" w:themeColor="dark1"/>
                <w:sz w:val="18"/>
                <w:szCs w:val="18"/>
                <w14:textFill>
                  <w14:solidFill>
                    <w14:schemeClr w14:val="dk1"/>
                  </w14:solidFill>
                </w14:textFill>
              </w:rPr>
              <w:br w:type="textWrapping"/>
            </w:r>
            <w:r>
              <w:rPr>
                <w:rFonts w:hint="default" w:ascii="Arial" w:hAnsi="Arial" w:cs="Arial"/>
                <w:b/>
                <w:i w:val="0"/>
                <w:color w:val="000000" w:themeColor="dark1"/>
                <w:sz w:val="18"/>
                <w:szCs w:val="18"/>
                <w14:textFill>
                  <w14:solidFill>
                    <w14:schemeClr w14:val="dk1"/>
                  </w14:solidFill>
                </w14:textFill>
              </w:rPr>
              <w:t>model</w:t>
            </w:r>
          </w:p>
        </w:tc>
        <w:tc>
          <w:tcPr>
            <w:tcW w:w="1725" w:type="dxa"/>
            <w:tcBorders>
              <w:top w:val="single" w:color="000000" w:themeColor="dark1" w:sz="12" w:space="0"/>
              <w:left w:val="nil"/>
              <w:bottom w:val="single" w:color="000000" w:themeColor="dark1" w:sz="6" w:space="0"/>
              <w:right w:val="nil"/>
            </w:tcBorders>
            <w:shd w:val="clear" w:color="auto" w:fill="FFFFFF"/>
            <w:vAlign w:val="center"/>
          </w:tcPr>
          <w:p w14:paraId="30C1CA37">
            <w:pPr>
              <w:spacing w:before="0" w:after="0" w:line="240" w:lineRule="auto"/>
              <w:jc w:val="center"/>
              <w:rPr>
                <w:rFonts w:hint="default" w:ascii="Arial" w:hAnsi="Arial" w:cs="Arial"/>
                <w:b/>
                <w:i w:val="0"/>
                <w:color w:val="000000" w:themeColor="dark1"/>
                <w:sz w:val="18"/>
                <w:szCs w:val="18"/>
                <w14:textFill>
                  <w14:solidFill>
                    <w14:schemeClr w14:val="dk1"/>
                  </w14:solidFill>
                </w14:textFill>
              </w:rPr>
            </w:pPr>
            <w:r>
              <w:rPr>
                <w:rFonts w:hint="default" w:ascii="Arial" w:hAnsi="Arial" w:cs="Arial"/>
                <w:b/>
                <w:i w:val="0"/>
                <w:color w:val="000000" w:themeColor="dark1"/>
                <w:sz w:val="18"/>
                <w:szCs w:val="18"/>
                <w14:textFill>
                  <w14:solidFill>
                    <w14:schemeClr w14:val="dk1"/>
                  </w14:solidFill>
                </w14:textFill>
              </w:rPr>
              <w:t>Bonferroni-significant paths only</w:t>
            </w:r>
          </w:p>
        </w:tc>
        <w:tc>
          <w:tcPr>
            <w:tcW w:w="2350" w:type="dxa"/>
            <w:tcBorders>
              <w:top w:val="single" w:color="000000" w:themeColor="dark1" w:sz="12" w:space="0"/>
              <w:left w:val="nil"/>
              <w:bottom w:val="single" w:color="000000" w:themeColor="dark1" w:sz="6" w:space="0"/>
              <w:right w:val="nil"/>
            </w:tcBorders>
            <w:shd w:val="clear" w:color="auto" w:fill="FFFFFF"/>
            <w:vAlign w:val="center"/>
          </w:tcPr>
          <w:p w14:paraId="21B9779F">
            <w:pPr>
              <w:spacing w:before="0" w:after="0" w:line="240" w:lineRule="auto"/>
              <w:jc w:val="center"/>
              <w:rPr>
                <w:rFonts w:hint="default" w:ascii="Arial" w:hAnsi="Arial" w:cs="Arial"/>
                <w:b/>
                <w:i w:val="0"/>
                <w:color w:val="000000" w:themeColor="dark1"/>
                <w:sz w:val="18"/>
                <w:szCs w:val="18"/>
                <w14:textFill>
                  <w14:solidFill>
                    <w14:schemeClr w14:val="dk1"/>
                  </w14:solidFill>
                </w14:textFill>
              </w:rPr>
            </w:pPr>
            <w:r>
              <w:rPr>
                <w:rFonts w:hint="default" w:ascii="Arial" w:hAnsi="Arial" w:cs="Arial"/>
                <w:b/>
                <w:i w:val="0"/>
                <w:color w:val="000000" w:themeColor="dark1"/>
                <w:sz w:val="18"/>
                <w:szCs w:val="18"/>
                <w14:textFill>
                  <w14:solidFill>
                    <w14:schemeClr w14:val="dk1"/>
                  </w14:solidFill>
                </w14:textFill>
              </w:rPr>
              <w:t>Age-, sex- and</w:t>
            </w:r>
            <w:r>
              <w:rPr>
                <w:rFonts w:hint="default" w:ascii="Arial" w:hAnsi="Arial" w:cs="Arial"/>
                <w:b/>
                <w:i w:val="0"/>
                <w:color w:val="000000" w:themeColor="dark1"/>
                <w:sz w:val="18"/>
                <w:szCs w:val="18"/>
                <w14:textFill>
                  <w14:solidFill>
                    <w14:schemeClr w14:val="dk1"/>
                  </w14:solidFill>
                </w14:textFill>
              </w:rPr>
              <w:br w:type="textWrapping"/>
            </w:r>
            <w:r>
              <w:rPr>
                <w:rFonts w:hint="default" w:ascii="Arial" w:hAnsi="Arial" w:cs="Arial"/>
                <w:b/>
                <w:i w:val="0"/>
                <w:color w:val="000000" w:themeColor="dark1"/>
                <w:sz w:val="18"/>
                <w:szCs w:val="18"/>
                <w14:textFill>
                  <w14:solidFill>
                    <w14:schemeClr w14:val="dk1"/>
                  </w14:solidFill>
                </w14:textFill>
              </w:rPr>
              <w:t>grade-adjusted model</w:t>
            </w:r>
          </w:p>
        </w:tc>
        <w:tc>
          <w:tcPr>
            <w:tcW w:w="2600" w:type="dxa"/>
            <w:tcBorders>
              <w:top w:val="single" w:color="000000" w:themeColor="dark1" w:sz="12" w:space="0"/>
              <w:left w:val="nil"/>
              <w:bottom w:val="single" w:color="000000" w:themeColor="dark1" w:sz="6" w:space="0"/>
              <w:right w:val="nil"/>
            </w:tcBorders>
            <w:shd w:val="clear" w:color="auto" w:fill="FFFFFF"/>
            <w:vAlign w:val="center"/>
          </w:tcPr>
          <w:p w14:paraId="0B08E7EF">
            <w:pPr>
              <w:spacing w:before="0" w:after="0" w:line="240" w:lineRule="auto"/>
              <w:jc w:val="center"/>
              <w:rPr>
                <w:rFonts w:hint="default" w:ascii="Arial" w:hAnsi="Arial" w:cs="Arial"/>
                <w:b/>
                <w:i w:val="0"/>
                <w:color w:val="000000" w:themeColor="dark1"/>
                <w:sz w:val="18"/>
                <w:szCs w:val="18"/>
                <w14:textFill>
                  <w14:solidFill>
                    <w14:schemeClr w14:val="dk1"/>
                  </w14:solidFill>
                </w14:textFill>
              </w:rPr>
            </w:pPr>
            <w:r>
              <w:rPr>
                <w:rFonts w:hint="default" w:ascii="Arial" w:hAnsi="Arial" w:cs="Arial"/>
                <w:b/>
                <w:i w:val="0"/>
                <w:color w:val="000000" w:themeColor="dark1"/>
                <w:sz w:val="18"/>
                <w:szCs w:val="18"/>
                <w14:textFill>
                  <w14:solidFill>
                    <w14:schemeClr w14:val="dk1"/>
                  </w14:solidFill>
                </w14:textFill>
              </w:rPr>
              <w:t>Five-domain model</w:t>
            </w:r>
            <w:r>
              <w:rPr>
                <w:rFonts w:hint="default" w:ascii="Arial" w:hAnsi="Arial" w:cs="Arial"/>
                <w:b/>
                <w:i w:val="0"/>
                <w:color w:val="000000" w:themeColor="dark1"/>
                <w:sz w:val="18"/>
                <w:szCs w:val="18"/>
                <w14:textFill>
                  <w14:solidFill>
                    <w14:schemeClr w14:val="dk1"/>
                  </w14:solidFill>
                </w14:textFill>
              </w:rPr>
              <w:br w:type="textWrapping"/>
            </w:r>
            <w:r>
              <w:rPr>
                <w:rFonts w:hint="default" w:ascii="Arial" w:hAnsi="Arial" w:cs="Arial"/>
                <w:b/>
                <w:i w:val="0"/>
                <w:color w:val="000000" w:themeColor="dark1"/>
                <w:sz w:val="18"/>
                <w:szCs w:val="18"/>
                <w14:textFill>
                  <w14:solidFill>
                    <w14:schemeClr w14:val="dk1"/>
                  </w14:solidFill>
                </w14:textFill>
              </w:rPr>
              <w:t>excluding DIET</w:t>
            </w:r>
          </w:p>
        </w:tc>
      </w:tr>
      <w:tr w14:paraId="05D7178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1616" w:type="dxa"/>
            <w:tcBorders>
              <w:top w:val="single" w:color="000000" w:themeColor="dark1" w:sz="6" w:space="0"/>
              <w:left w:val="nil"/>
              <w:bottom w:val="nil"/>
              <w:right w:val="nil"/>
            </w:tcBorders>
            <w:shd w:val="clear" w:color="auto" w:fill="FFFFFF"/>
            <w:vAlign w:val="center"/>
          </w:tcPr>
          <w:p w14:paraId="3F65D9A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CIAS</w:t>
            </w:r>
          </w:p>
        </w:tc>
        <w:tc>
          <w:tcPr>
            <w:tcW w:w="1233" w:type="dxa"/>
            <w:tcBorders>
              <w:top w:val="single" w:color="000000" w:themeColor="dark1" w:sz="6" w:space="0"/>
              <w:left w:val="nil"/>
              <w:bottom w:val="nil"/>
              <w:right w:val="nil"/>
            </w:tcBorders>
            <w:shd w:val="clear" w:color="auto" w:fill="FFFFFF"/>
            <w:vAlign w:val="center"/>
          </w:tcPr>
          <w:p w14:paraId="455B4BCC">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−0.061</w:t>
            </w:r>
          </w:p>
        </w:tc>
        <w:tc>
          <w:tcPr>
            <w:tcW w:w="1725" w:type="dxa"/>
            <w:tcBorders>
              <w:top w:val="single" w:color="000000" w:themeColor="dark1" w:sz="6" w:space="0"/>
              <w:left w:val="nil"/>
              <w:bottom w:val="nil"/>
              <w:right w:val="nil"/>
            </w:tcBorders>
            <w:shd w:val="clear" w:color="auto" w:fill="FFFFFF"/>
            <w:vAlign w:val="center"/>
          </w:tcPr>
          <w:p w14:paraId="1E2F62BD">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−0.043</w:t>
            </w:r>
          </w:p>
        </w:tc>
        <w:tc>
          <w:tcPr>
            <w:tcW w:w="2350" w:type="dxa"/>
            <w:tcBorders>
              <w:top w:val="single" w:color="000000" w:themeColor="dark1" w:sz="6" w:space="0"/>
              <w:left w:val="nil"/>
              <w:bottom w:val="nil"/>
              <w:right w:val="nil"/>
            </w:tcBorders>
            <w:shd w:val="clear" w:color="auto" w:fill="FFFFFF"/>
            <w:vAlign w:val="center"/>
          </w:tcPr>
          <w:p w14:paraId="620923D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−0.079</w:t>
            </w:r>
          </w:p>
        </w:tc>
        <w:tc>
          <w:tcPr>
            <w:tcW w:w="2600" w:type="dxa"/>
            <w:tcBorders>
              <w:top w:val="single" w:color="000000" w:themeColor="dark1" w:sz="6" w:space="0"/>
              <w:left w:val="nil"/>
              <w:bottom w:val="nil"/>
              <w:right w:val="nil"/>
            </w:tcBorders>
            <w:shd w:val="clear" w:color="auto" w:fill="FFFFFF"/>
            <w:vAlign w:val="center"/>
          </w:tcPr>
          <w:p w14:paraId="2C323EB5">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−0.082</w:t>
            </w:r>
          </w:p>
        </w:tc>
      </w:tr>
      <w:tr w14:paraId="51E4A53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1616" w:type="dxa"/>
            <w:tcBorders>
              <w:top w:val="nil"/>
              <w:left w:val="nil"/>
              <w:bottom w:val="nil"/>
              <w:right w:val="nil"/>
            </w:tcBorders>
            <w:shd w:val="clear" w:color="auto" w:fill="FFFFFF"/>
            <w:vAlign w:val="center"/>
          </w:tcPr>
          <w:p w14:paraId="1B6F78CE">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DASS</w:t>
            </w:r>
          </w:p>
        </w:tc>
        <w:tc>
          <w:tcPr>
            <w:tcW w:w="1233" w:type="dxa"/>
            <w:tcBorders>
              <w:top w:val="nil"/>
              <w:left w:val="nil"/>
              <w:bottom w:val="nil"/>
              <w:right w:val="nil"/>
            </w:tcBorders>
            <w:shd w:val="clear" w:color="auto" w:fill="FFFFFF"/>
            <w:vAlign w:val="center"/>
          </w:tcPr>
          <w:p w14:paraId="20A71A0C">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0.249</w:t>
            </w:r>
          </w:p>
        </w:tc>
        <w:tc>
          <w:tcPr>
            <w:tcW w:w="1725" w:type="dxa"/>
            <w:tcBorders>
              <w:top w:val="nil"/>
              <w:left w:val="nil"/>
              <w:bottom w:val="nil"/>
              <w:right w:val="nil"/>
            </w:tcBorders>
            <w:shd w:val="clear" w:color="auto" w:fill="FFFFFF"/>
            <w:vAlign w:val="center"/>
          </w:tcPr>
          <w:p w14:paraId="79DC5BEF">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0.202</w:t>
            </w:r>
          </w:p>
        </w:tc>
        <w:tc>
          <w:tcPr>
            <w:tcW w:w="2350" w:type="dxa"/>
            <w:tcBorders>
              <w:top w:val="nil"/>
              <w:left w:val="nil"/>
              <w:bottom w:val="nil"/>
              <w:right w:val="nil"/>
            </w:tcBorders>
            <w:shd w:val="clear" w:color="auto" w:fill="FFFFFF"/>
            <w:vAlign w:val="center"/>
          </w:tcPr>
          <w:p w14:paraId="3F68D02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0.276</w:t>
            </w:r>
          </w:p>
        </w:tc>
        <w:tc>
          <w:tcPr>
            <w:tcW w:w="2600" w:type="dxa"/>
            <w:tcBorders>
              <w:top w:val="nil"/>
              <w:left w:val="nil"/>
              <w:bottom w:val="nil"/>
              <w:right w:val="nil"/>
            </w:tcBorders>
            <w:shd w:val="clear" w:color="auto" w:fill="FFFFFF"/>
            <w:vAlign w:val="center"/>
          </w:tcPr>
          <w:p w14:paraId="78388ACD">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0.202</w:t>
            </w:r>
          </w:p>
        </w:tc>
      </w:tr>
      <w:tr w14:paraId="6FBA857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1616" w:type="dxa"/>
            <w:tcBorders>
              <w:top w:val="nil"/>
              <w:left w:val="nil"/>
              <w:bottom w:val="nil"/>
              <w:right w:val="nil"/>
            </w:tcBorders>
            <w:shd w:val="clear" w:color="auto" w:fill="FFFFFF"/>
            <w:vAlign w:val="center"/>
          </w:tcPr>
          <w:p w14:paraId="61793EA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SDQ</w:t>
            </w:r>
          </w:p>
        </w:tc>
        <w:tc>
          <w:tcPr>
            <w:tcW w:w="1233" w:type="dxa"/>
            <w:tcBorders>
              <w:top w:val="nil"/>
              <w:left w:val="nil"/>
              <w:bottom w:val="nil"/>
              <w:right w:val="nil"/>
            </w:tcBorders>
            <w:shd w:val="clear" w:color="auto" w:fill="FFFFFF"/>
            <w:vAlign w:val="center"/>
          </w:tcPr>
          <w:p w14:paraId="0A79F75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−0.090</w:t>
            </w:r>
          </w:p>
        </w:tc>
        <w:tc>
          <w:tcPr>
            <w:tcW w:w="1725" w:type="dxa"/>
            <w:tcBorders>
              <w:top w:val="nil"/>
              <w:left w:val="nil"/>
              <w:bottom w:val="nil"/>
              <w:right w:val="nil"/>
            </w:tcBorders>
            <w:shd w:val="clear" w:color="auto" w:fill="FFFFFF"/>
            <w:vAlign w:val="center"/>
          </w:tcPr>
          <w:p w14:paraId="20379E5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−0.079</w:t>
            </w:r>
          </w:p>
        </w:tc>
        <w:tc>
          <w:tcPr>
            <w:tcW w:w="2350" w:type="dxa"/>
            <w:tcBorders>
              <w:top w:val="nil"/>
              <w:left w:val="nil"/>
              <w:bottom w:val="nil"/>
              <w:right w:val="nil"/>
            </w:tcBorders>
            <w:shd w:val="clear" w:color="auto" w:fill="FFFFFF"/>
            <w:vAlign w:val="center"/>
          </w:tcPr>
          <w:p w14:paraId="5EC73C53">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−0.096</w:t>
            </w:r>
          </w:p>
        </w:tc>
        <w:tc>
          <w:tcPr>
            <w:tcW w:w="2600" w:type="dxa"/>
            <w:tcBorders>
              <w:top w:val="nil"/>
              <w:left w:val="nil"/>
              <w:bottom w:val="nil"/>
              <w:right w:val="nil"/>
            </w:tcBorders>
            <w:shd w:val="clear" w:color="auto" w:fill="FFFFFF"/>
            <w:vAlign w:val="center"/>
          </w:tcPr>
          <w:p w14:paraId="43AB479B">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−0.054</w:t>
            </w:r>
          </w:p>
        </w:tc>
      </w:tr>
      <w:tr w14:paraId="4EB1F53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1616" w:type="dxa"/>
            <w:tcBorders>
              <w:top w:val="nil"/>
              <w:left w:val="nil"/>
              <w:bottom w:val="nil"/>
              <w:right w:val="nil"/>
            </w:tcBorders>
            <w:shd w:val="clear" w:color="auto" w:fill="FFFFFF"/>
            <w:vAlign w:val="center"/>
          </w:tcPr>
          <w:p w14:paraId="42C2DBF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DIET</w:t>
            </w:r>
          </w:p>
        </w:tc>
        <w:tc>
          <w:tcPr>
            <w:tcW w:w="1233" w:type="dxa"/>
            <w:tcBorders>
              <w:top w:val="nil"/>
              <w:left w:val="nil"/>
              <w:bottom w:val="nil"/>
              <w:right w:val="nil"/>
            </w:tcBorders>
            <w:shd w:val="clear" w:color="auto" w:fill="FFFFFF"/>
            <w:vAlign w:val="center"/>
          </w:tcPr>
          <w:p w14:paraId="7BAB131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−0.014</w:t>
            </w:r>
          </w:p>
        </w:tc>
        <w:tc>
          <w:tcPr>
            <w:tcW w:w="1725" w:type="dxa"/>
            <w:tcBorders>
              <w:top w:val="nil"/>
              <w:left w:val="nil"/>
              <w:bottom w:val="nil"/>
              <w:right w:val="nil"/>
            </w:tcBorders>
            <w:shd w:val="clear" w:color="auto" w:fill="FFFFFF"/>
            <w:vAlign w:val="center"/>
          </w:tcPr>
          <w:p w14:paraId="1995803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0.055</w:t>
            </w:r>
          </w:p>
        </w:tc>
        <w:tc>
          <w:tcPr>
            <w:tcW w:w="2350" w:type="dxa"/>
            <w:tcBorders>
              <w:top w:val="nil"/>
              <w:left w:val="nil"/>
              <w:bottom w:val="nil"/>
              <w:right w:val="nil"/>
            </w:tcBorders>
            <w:shd w:val="clear" w:color="auto" w:fill="FFFFFF"/>
            <w:vAlign w:val="center"/>
          </w:tcPr>
          <w:p w14:paraId="02FFFAB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−0.007</w:t>
            </w:r>
          </w:p>
        </w:tc>
        <w:tc>
          <w:tcPr>
            <w:tcW w:w="2600" w:type="dxa"/>
            <w:tcBorders>
              <w:top w:val="nil"/>
              <w:left w:val="nil"/>
              <w:bottom w:val="nil"/>
              <w:right w:val="nil"/>
            </w:tcBorders>
            <w:shd w:val="clear" w:color="auto" w:fill="FFFFFF"/>
            <w:vAlign w:val="center"/>
          </w:tcPr>
          <w:p w14:paraId="0B4D32D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w:t>
            </w:r>
          </w:p>
        </w:tc>
      </w:tr>
      <w:tr w14:paraId="6C20ADA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1616" w:type="dxa"/>
            <w:tcBorders>
              <w:top w:val="nil"/>
              <w:left w:val="nil"/>
              <w:bottom w:val="nil"/>
              <w:right w:val="nil"/>
            </w:tcBorders>
            <w:shd w:val="clear" w:color="auto" w:fill="FFFFFF"/>
            <w:vAlign w:val="center"/>
          </w:tcPr>
          <w:p w14:paraId="5CFAC6EB">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ISI</w:t>
            </w:r>
          </w:p>
        </w:tc>
        <w:tc>
          <w:tcPr>
            <w:tcW w:w="1233" w:type="dxa"/>
            <w:tcBorders>
              <w:top w:val="nil"/>
              <w:left w:val="nil"/>
              <w:bottom w:val="nil"/>
              <w:right w:val="nil"/>
            </w:tcBorders>
            <w:shd w:val="clear" w:color="auto" w:fill="FFFFFF"/>
            <w:vAlign w:val="center"/>
          </w:tcPr>
          <w:p w14:paraId="2E0CF765">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0.061</w:t>
            </w:r>
          </w:p>
        </w:tc>
        <w:tc>
          <w:tcPr>
            <w:tcW w:w="1725" w:type="dxa"/>
            <w:tcBorders>
              <w:top w:val="nil"/>
              <w:left w:val="nil"/>
              <w:bottom w:val="nil"/>
              <w:right w:val="nil"/>
            </w:tcBorders>
            <w:shd w:val="clear" w:color="auto" w:fill="FFFFFF"/>
            <w:vAlign w:val="center"/>
          </w:tcPr>
          <w:p w14:paraId="15DCE0C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−0.013</w:t>
            </w:r>
          </w:p>
        </w:tc>
        <w:tc>
          <w:tcPr>
            <w:tcW w:w="2350" w:type="dxa"/>
            <w:tcBorders>
              <w:top w:val="nil"/>
              <w:left w:val="nil"/>
              <w:bottom w:val="nil"/>
              <w:right w:val="nil"/>
            </w:tcBorders>
            <w:shd w:val="clear" w:color="auto" w:fill="FFFFFF"/>
            <w:vAlign w:val="center"/>
          </w:tcPr>
          <w:p w14:paraId="5F161AFB">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0.049</w:t>
            </w:r>
          </w:p>
        </w:tc>
        <w:tc>
          <w:tcPr>
            <w:tcW w:w="2600" w:type="dxa"/>
            <w:tcBorders>
              <w:top w:val="nil"/>
              <w:left w:val="nil"/>
              <w:bottom w:val="nil"/>
              <w:right w:val="nil"/>
            </w:tcBorders>
            <w:shd w:val="clear" w:color="auto" w:fill="FFFFFF"/>
            <w:vAlign w:val="center"/>
          </w:tcPr>
          <w:p w14:paraId="0BAAAD4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0.030</w:t>
            </w:r>
          </w:p>
        </w:tc>
      </w:tr>
      <w:tr w14:paraId="32E9580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1616" w:type="dxa"/>
            <w:tcBorders>
              <w:top w:val="nil"/>
              <w:left w:val="nil"/>
              <w:bottom w:val="single" w:color="000000" w:themeColor="dark1" w:sz="12" w:space="0"/>
              <w:right w:val="nil"/>
            </w:tcBorders>
            <w:shd w:val="clear" w:color="auto" w:fill="FFFFFF"/>
            <w:vAlign w:val="center"/>
          </w:tcPr>
          <w:p w14:paraId="31110A2D">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ACT</w:t>
            </w:r>
          </w:p>
        </w:tc>
        <w:tc>
          <w:tcPr>
            <w:tcW w:w="1233" w:type="dxa"/>
            <w:tcBorders>
              <w:top w:val="nil"/>
              <w:left w:val="nil"/>
              <w:bottom w:val="single" w:color="000000" w:themeColor="dark1" w:sz="12" w:space="0"/>
              <w:right w:val="nil"/>
            </w:tcBorders>
            <w:shd w:val="clear" w:color="auto" w:fill="FFFFFF"/>
            <w:vAlign w:val="center"/>
          </w:tcPr>
          <w:p w14:paraId="7D97B51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−0.145</w:t>
            </w:r>
          </w:p>
        </w:tc>
        <w:tc>
          <w:tcPr>
            <w:tcW w:w="1725" w:type="dxa"/>
            <w:tcBorders>
              <w:top w:val="nil"/>
              <w:left w:val="nil"/>
              <w:bottom w:val="single" w:color="000000" w:themeColor="dark1" w:sz="12" w:space="0"/>
              <w:right w:val="nil"/>
            </w:tcBorders>
            <w:shd w:val="clear" w:color="auto" w:fill="FFFFFF"/>
            <w:vAlign w:val="center"/>
          </w:tcPr>
          <w:p w14:paraId="012B559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−0.123</w:t>
            </w:r>
          </w:p>
        </w:tc>
        <w:tc>
          <w:tcPr>
            <w:tcW w:w="2350" w:type="dxa"/>
            <w:tcBorders>
              <w:top w:val="nil"/>
              <w:left w:val="nil"/>
              <w:bottom w:val="single" w:color="000000" w:themeColor="dark1" w:sz="12" w:space="0"/>
              <w:right w:val="nil"/>
            </w:tcBorders>
            <w:shd w:val="clear" w:color="auto" w:fill="FFFFFF"/>
            <w:vAlign w:val="center"/>
          </w:tcPr>
          <w:p w14:paraId="2E825FF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−0.142</w:t>
            </w:r>
          </w:p>
        </w:tc>
        <w:tc>
          <w:tcPr>
            <w:tcW w:w="2600" w:type="dxa"/>
            <w:tcBorders>
              <w:top w:val="nil"/>
              <w:left w:val="nil"/>
              <w:bottom w:val="single" w:color="000000" w:themeColor="dark1" w:sz="12" w:space="0"/>
              <w:right w:val="nil"/>
            </w:tcBorders>
            <w:shd w:val="clear" w:color="auto" w:fill="FFFFFF"/>
            <w:vAlign w:val="center"/>
          </w:tcPr>
          <w:p w14:paraId="35C8979B">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−0.096</w:t>
            </w:r>
          </w:p>
        </w:tc>
      </w:tr>
    </w:tbl>
    <w:p w14:paraId="3333DA18">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i/>
          <w:iCs/>
          <w:sz w:val="20"/>
        </w:rPr>
      </w:pPr>
      <w:r>
        <w:rPr>
          <w:rFonts w:hint="eastAsia"/>
          <w:i/>
          <w:iCs/>
          <w:sz w:val="20"/>
        </w:rPr>
        <w:t xml:space="preserve">Net directionality under four specifications: the primary model, Bonferroni-significant paths only, adjustment for age, sex and grade, and a five-domain model excluding DIET. Net directionality was defined as absolute outgoing minus incoming cross-domain strength, excluding autoregressive paths. All models included 6,092 participants, and DASS had the largest positive value throughout.  </w:t>
      </w:r>
    </w:p>
    <w:p w14:paraId="2116D997">
      <w:pPr>
        <w:keepNext/>
        <w:spacing w:before="120"/>
        <w:rPr>
          <w:b w:val="0"/>
          <w:bCs/>
        </w:rPr>
      </w:pPr>
      <w:r>
        <w:rPr>
          <w:b w:val="0"/>
          <w:bCs/>
        </w:rPr>
        <w:t>S13b. Cross-domain paths with school-cluster-robust inference</w:t>
      </w:r>
    </w:p>
    <w:tbl>
      <w:tblPr>
        <w:tblStyle w:val="32"/>
        <w:tblW w:w="9667" w:type="dxa"/>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48" w:type="dxa"/>
          <w:left w:w="42" w:type="dxa"/>
          <w:bottom w:w="48" w:type="dxa"/>
          <w:right w:w="42" w:type="dxa"/>
        </w:tblCellMar>
      </w:tblPr>
      <w:tblGrid>
        <w:gridCol w:w="991"/>
        <w:gridCol w:w="733"/>
        <w:gridCol w:w="742"/>
        <w:gridCol w:w="900"/>
        <w:gridCol w:w="1708"/>
        <w:gridCol w:w="720"/>
        <w:gridCol w:w="1166"/>
        <w:gridCol w:w="1224"/>
        <w:gridCol w:w="691"/>
        <w:gridCol w:w="792"/>
      </w:tblGrid>
      <w:tr w14:paraId="5813218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tblHeader/>
          <w:jc w:val="center"/>
        </w:trPr>
        <w:tc>
          <w:tcPr>
            <w:tcW w:w="991" w:type="dxa"/>
            <w:tcBorders>
              <w:top w:val="single" w:color="000000" w:themeColor="dark1" w:sz="12" w:space="0"/>
              <w:left w:val="nil"/>
              <w:bottom w:val="single" w:color="000000" w:themeColor="dark1" w:sz="6" w:space="0"/>
              <w:right w:val="nil"/>
            </w:tcBorders>
            <w:shd w:val="clear" w:color="auto" w:fill="FFFFFF"/>
            <w:vAlign w:val="center"/>
          </w:tcPr>
          <w:p w14:paraId="7122B65A">
            <w:pPr>
              <w:spacing w:before="0" w:after="0" w:line="240" w:lineRule="auto"/>
              <w:jc w:val="center"/>
              <w:rPr>
                <w:rFonts w:hint="default" w:ascii="Arial" w:hAnsi="Arial" w:cs="Arial"/>
                <w:b/>
                <w:i w:val="0"/>
                <w:color w:val="000000" w:themeColor="dark1"/>
                <w:sz w:val="18"/>
                <w:szCs w:val="18"/>
                <w14:textFill>
                  <w14:solidFill>
                    <w14:schemeClr w14:val="dk1"/>
                  </w14:solidFill>
                </w14:textFill>
              </w:rPr>
            </w:pPr>
            <w:r>
              <w:rPr>
                <w:rFonts w:hint="default" w:ascii="Arial" w:hAnsi="Arial" w:cs="Arial"/>
                <w:b/>
                <w:i w:val="0"/>
                <w:color w:val="000000" w:themeColor="dark1"/>
                <w:sz w:val="18"/>
                <w:szCs w:val="18"/>
                <w14:textFill>
                  <w14:solidFill>
                    <w14:schemeClr w14:val="dk1"/>
                  </w14:solidFill>
                </w14:textFill>
              </w:rPr>
              <w:t>Predictor</w:t>
            </w:r>
            <w:r>
              <w:rPr>
                <w:rFonts w:hint="default" w:ascii="Arial" w:hAnsi="Arial" w:cs="Arial"/>
                <w:b/>
                <w:i w:val="0"/>
                <w:color w:val="000000" w:themeColor="dark1"/>
                <w:sz w:val="18"/>
                <w:szCs w:val="18"/>
                <w14:textFill>
                  <w14:solidFill>
                    <w14:schemeClr w14:val="dk1"/>
                  </w14:solidFill>
                </w14:textFill>
              </w:rPr>
              <w:br w:type="textWrapping"/>
            </w:r>
            <w:r>
              <w:rPr>
                <w:rFonts w:hint="default" w:ascii="Arial" w:hAnsi="Arial" w:cs="Arial"/>
                <w:b/>
                <w:i w:val="0"/>
                <w:color w:val="000000" w:themeColor="dark1"/>
                <w:sz w:val="18"/>
                <w:szCs w:val="18"/>
                <w14:textFill>
                  <w14:solidFill>
                    <w14:schemeClr w14:val="dk1"/>
                  </w14:solidFill>
                </w14:textFill>
              </w:rPr>
              <w:t>Wave 1</w:t>
            </w:r>
          </w:p>
        </w:tc>
        <w:tc>
          <w:tcPr>
            <w:tcW w:w="733" w:type="dxa"/>
            <w:tcBorders>
              <w:top w:val="single" w:color="000000" w:themeColor="dark1" w:sz="12" w:space="0"/>
              <w:left w:val="nil"/>
              <w:bottom w:val="single" w:color="000000" w:themeColor="dark1" w:sz="6" w:space="0"/>
              <w:right w:val="nil"/>
            </w:tcBorders>
            <w:shd w:val="clear" w:color="auto" w:fill="FFFFFF"/>
            <w:vAlign w:val="center"/>
          </w:tcPr>
          <w:p w14:paraId="642017BD">
            <w:pPr>
              <w:spacing w:before="0" w:after="0" w:line="240" w:lineRule="auto"/>
              <w:jc w:val="center"/>
              <w:rPr>
                <w:rFonts w:hint="default" w:ascii="Arial" w:hAnsi="Arial" w:cs="Arial"/>
                <w:b/>
                <w:i w:val="0"/>
                <w:color w:val="000000" w:themeColor="dark1"/>
                <w:sz w:val="18"/>
                <w:szCs w:val="18"/>
                <w14:textFill>
                  <w14:solidFill>
                    <w14:schemeClr w14:val="dk1"/>
                  </w14:solidFill>
                </w14:textFill>
              </w:rPr>
            </w:pPr>
            <w:r>
              <w:rPr>
                <w:rFonts w:hint="default" w:ascii="Arial" w:hAnsi="Arial" w:cs="Arial"/>
                <w:b/>
                <w:i w:val="0"/>
                <w:color w:val="000000" w:themeColor="dark1"/>
                <w:sz w:val="18"/>
                <w:szCs w:val="18"/>
                <w14:textFill>
                  <w14:solidFill>
                    <w14:schemeClr w14:val="dk1"/>
                  </w14:solidFill>
                </w14:textFill>
              </w:rPr>
              <w:t>Outcome</w:t>
            </w:r>
            <w:r>
              <w:rPr>
                <w:rFonts w:hint="default" w:ascii="Arial" w:hAnsi="Arial" w:cs="Arial"/>
                <w:b/>
                <w:i w:val="0"/>
                <w:color w:val="000000" w:themeColor="dark1"/>
                <w:sz w:val="18"/>
                <w:szCs w:val="18"/>
                <w14:textFill>
                  <w14:solidFill>
                    <w14:schemeClr w14:val="dk1"/>
                  </w14:solidFill>
                </w14:textFill>
              </w:rPr>
              <w:br w:type="textWrapping"/>
            </w:r>
            <w:r>
              <w:rPr>
                <w:rFonts w:hint="default" w:ascii="Arial" w:hAnsi="Arial" w:cs="Arial"/>
                <w:b/>
                <w:i w:val="0"/>
                <w:color w:val="000000" w:themeColor="dark1"/>
                <w:sz w:val="18"/>
                <w:szCs w:val="18"/>
                <w14:textFill>
                  <w14:solidFill>
                    <w14:schemeClr w14:val="dk1"/>
                  </w14:solidFill>
                </w14:textFill>
              </w:rPr>
              <w:t>Wave 3</w:t>
            </w:r>
          </w:p>
        </w:tc>
        <w:tc>
          <w:tcPr>
            <w:tcW w:w="742" w:type="dxa"/>
            <w:tcBorders>
              <w:top w:val="single" w:color="000000" w:themeColor="dark1" w:sz="12" w:space="0"/>
              <w:left w:val="nil"/>
              <w:bottom w:val="single" w:color="000000" w:themeColor="dark1" w:sz="6" w:space="0"/>
              <w:right w:val="nil"/>
            </w:tcBorders>
            <w:shd w:val="clear" w:color="auto" w:fill="FFFFFF"/>
            <w:vAlign w:val="center"/>
          </w:tcPr>
          <w:p w14:paraId="4D041874">
            <w:pPr>
              <w:spacing w:before="0" w:after="0" w:line="240" w:lineRule="auto"/>
              <w:jc w:val="center"/>
              <w:rPr>
                <w:rFonts w:hint="default" w:ascii="Arial" w:hAnsi="Arial" w:cs="Arial"/>
                <w:b/>
                <w:i w:val="0"/>
                <w:color w:val="000000" w:themeColor="dark1"/>
                <w:sz w:val="18"/>
                <w:szCs w:val="18"/>
                <w14:textFill>
                  <w14:solidFill>
                    <w14:schemeClr w14:val="dk1"/>
                  </w14:solidFill>
                </w14:textFill>
              </w:rPr>
            </w:pPr>
            <w:r>
              <w:rPr>
                <w:rFonts w:hint="default" w:ascii="Arial" w:hAnsi="Arial" w:cs="Arial"/>
                <w:b/>
                <w:i w:val="0"/>
                <w:color w:val="000000" w:themeColor="dark1"/>
                <w:sz w:val="18"/>
                <w:szCs w:val="18"/>
                <w14:textFill>
                  <w14:solidFill>
                    <w14:schemeClr w14:val="dk1"/>
                  </w14:solidFill>
                </w14:textFill>
              </w:rPr>
              <w:t>β</w:t>
            </w:r>
          </w:p>
        </w:tc>
        <w:tc>
          <w:tcPr>
            <w:tcW w:w="900" w:type="dxa"/>
            <w:tcBorders>
              <w:top w:val="single" w:color="000000" w:themeColor="dark1" w:sz="12" w:space="0"/>
              <w:left w:val="nil"/>
              <w:bottom w:val="single" w:color="000000" w:themeColor="dark1" w:sz="6" w:space="0"/>
              <w:right w:val="nil"/>
            </w:tcBorders>
            <w:shd w:val="clear" w:color="auto" w:fill="FFFFFF"/>
            <w:vAlign w:val="center"/>
          </w:tcPr>
          <w:p w14:paraId="02AEFB43">
            <w:pPr>
              <w:spacing w:before="0" w:after="0" w:line="240" w:lineRule="auto"/>
              <w:jc w:val="center"/>
              <w:rPr>
                <w:rFonts w:hint="default" w:ascii="Arial" w:hAnsi="Arial" w:cs="Arial"/>
                <w:b/>
                <w:i w:val="0"/>
                <w:color w:val="000000" w:themeColor="dark1"/>
                <w:sz w:val="18"/>
                <w:szCs w:val="18"/>
                <w14:textFill>
                  <w14:solidFill>
                    <w14:schemeClr w14:val="dk1"/>
                  </w14:solidFill>
                </w14:textFill>
              </w:rPr>
            </w:pPr>
            <w:r>
              <w:rPr>
                <w:rFonts w:hint="default" w:ascii="Arial" w:hAnsi="Arial" w:cs="Arial"/>
                <w:b/>
                <w:i w:val="0"/>
                <w:color w:val="000000" w:themeColor="dark1"/>
                <w:sz w:val="18"/>
                <w:szCs w:val="18"/>
                <w14:textFill>
                  <w14:solidFill>
                    <w14:schemeClr w14:val="dk1"/>
                  </w14:solidFill>
                </w14:textFill>
              </w:rPr>
              <w:t>Cluster</w:t>
            </w:r>
            <w:r>
              <w:rPr>
                <w:rFonts w:hint="default" w:ascii="Arial" w:hAnsi="Arial" w:cs="Arial"/>
                <w:b/>
                <w:i w:val="0"/>
                <w:color w:val="000000" w:themeColor="dark1"/>
                <w:sz w:val="18"/>
                <w:szCs w:val="18"/>
                <w14:textFill>
                  <w14:solidFill>
                    <w14:schemeClr w14:val="dk1"/>
                  </w14:solidFill>
                </w14:textFill>
              </w:rPr>
              <w:br w:type="textWrapping"/>
            </w:r>
            <w:r>
              <w:rPr>
                <w:rFonts w:hint="default" w:ascii="Arial" w:hAnsi="Arial" w:cs="Arial"/>
                <w:b/>
                <w:i w:val="0"/>
                <w:color w:val="000000" w:themeColor="dark1"/>
                <w:sz w:val="18"/>
                <w:szCs w:val="18"/>
                <w14:textFill>
                  <w14:solidFill>
                    <w14:schemeClr w14:val="dk1"/>
                  </w14:solidFill>
                </w14:textFill>
              </w:rPr>
              <w:t>SE</w:t>
            </w:r>
          </w:p>
        </w:tc>
        <w:tc>
          <w:tcPr>
            <w:tcW w:w="1708" w:type="dxa"/>
            <w:tcBorders>
              <w:top w:val="single" w:color="000000" w:themeColor="dark1" w:sz="12" w:space="0"/>
              <w:left w:val="nil"/>
              <w:bottom w:val="single" w:color="000000" w:themeColor="dark1" w:sz="6" w:space="0"/>
              <w:right w:val="nil"/>
            </w:tcBorders>
            <w:shd w:val="clear" w:color="auto" w:fill="FFFFFF"/>
            <w:vAlign w:val="center"/>
          </w:tcPr>
          <w:p w14:paraId="2B8BF597">
            <w:pPr>
              <w:spacing w:before="0" w:after="0" w:line="240" w:lineRule="auto"/>
              <w:jc w:val="center"/>
              <w:rPr>
                <w:rFonts w:hint="default" w:ascii="Arial" w:hAnsi="Arial" w:cs="Arial"/>
                <w:b/>
                <w:i w:val="0"/>
                <w:color w:val="000000" w:themeColor="dark1"/>
                <w:sz w:val="18"/>
                <w:szCs w:val="18"/>
                <w14:textFill>
                  <w14:solidFill>
                    <w14:schemeClr w14:val="dk1"/>
                  </w14:solidFill>
                </w14:textFill>
              </w:rPr>
            </w:pPr>
            <w:r>
              <w:rPr>
                <w:rFonts w:hint="default" w:ascii="Arial" w:hAnsi="Arial" w:cs="Arial"/>
                <w:b/>
                <w:i w:val="0"/>
                <w:color w:val="000000" w:themeColor="dark1"/>
                <w:sz w:val="18"/>
                <w:szCs w:val="18"/>
                <w14:textFill>
                  <w14:solidFill>
                    <w14:schemeClr w14:val="dk1"/>
                  </w14:solidFill>
                </w14:textFill>
              </w:rPr>
              <w:t>95% CI</w:t>
            </w:r>
          </w:p>
        </w:tc>
        <w:tc>
          <w:tcPr>
            <w:tcW w:w="720" w:type="dxa"/>
            <w:tcBorders>
              <w:top w:val="single" w:color="000000" w:themeColor="dark1" w:sz="12" w:space="0"/>
              <w:left w:val="nil"/>
              <w:bottom w:val="single" w:color="000000" w:themeColor="dark1" w:sz="6" w:space="0"/>
              <w:right w:val="nil"/>
            </w:tcBorders>
            <w:shd w:val="clear" w:color="auto" w:fill="FFFFFF"/>
            <w:vAlign w:val="center"/>
          </w:tcPr>
          <w:p w14:paraId="40003D4B">
            <w:pPr>
              <w:spacing w:before="0" w:after="0" w:line="240" w:lineRule="auto"/>
              <w:jc w:val="center"/>
              <w:rPr>
                <w:rFonts w:hint="default" w:ascii="Arial" w:hAnsi="Arial" w:cs="Arial"/>
                <w:b/>
                <w:i w:val="0"/>
                <w:color w:val="000000" w:themeColor="dark1"/>
                <w:sz w:val="18"/>
                <w:szCs w:val="18"/>
                <w14:textFill>
                  <w14:solidFill>
                    <w14:schemeClr w14:val="dk1"/>
                  </w14:solidFill>
                </w14:textFill>
              </w:rPr>
            </w:pPr>
            <w:r>
              <w:rPr>
                <w:rFonts w:hint="default" w:ascii="Arial" w:hAnsi="Arial" w:cs="Arial"/>
                <w:b/>
                <w:i w:val="0"/>
                <w:color w:val="000000" w:themeColor="dark1"/>
                <w:sz w:val="18"/>
                <w:szCs w:val="18"/>
                <w14:textFill>
                  <w14:solidFill>
                    <w14:schemeClr w14:val="dk1"/>
                  </w14:solidFill>
                </w14:textFill>
              </w:rPr>
              <w:t>t</w:t>
            </w:r>
            <w:r>
              <w:rPr>
                <w:rFonts w:hint="default" w:ascii="Arial" w:hAnsi="Arial" w:cs="Arial"/>
                <w:b/>
                <w:i w:val="0"/>
                <w:color w:val="000000" w:themeColor="dark1"/>
                <w:sz w:val="18"/>
                <w:szCs w:val="18"/>
                <w14:textFill>
                  <w14:solidFill>
                    <w14:schemeClr w14:val="dk1"/>
                  </w14:solidFill>
                </w14:textFill>
              </w:rPr>
              <w:br w:type="textWrapping"/>
            </w:r>
            <w:r>
              <w:rPr>
                <w:rFonts w:hint="default" w:ascii="Arial" w:hAnsi="Arial" w:cs="Arial"/>
                <w:b/>
                <w:i w:val="0"/>
                <w:color w:val="000000" w:themeColor="dark1"/>
                <w:sz w:val="18"/>
                <w:szCs w:val="18"/>
                <w14:textFill>
                  <w14:solidFill>
                    <w14:schemeClr w14:val="dk1"/>
                  </w14:solidFill>
                </w14:textFill>
              </w:rPr>
              <w:t>(df = 9)</w:t>
            </w:r>
          </w:p>
        </w:tc>
        <w:tc>
          <w:tcPr>
            <w:tcW w:w="1166" w:type="dxa"/>
            <w:tcBorders>
              <w:top w:val="single" w:color="000000" w:themeColor="dark1" w:sz="12" w:space="0"/>
              <w:left w:val="nil"/>
              <w:bottom w:val="single" w:color="000000" w:themeColor="dark1" w:sz="6" w:space="0"/>
              <w:right w:val="nil"/>
            </w:tcBorders>
            <w:shd w:val="clear" w:color="auto" w:fill="FFFFFF"/>
            <w:vAlign w:val="center"/>
          </w:tcPr>
          <w:p w14:paraId="18B196EF">
            <w:pPr>
              <w:spacing w:before="0" w:after="0" w:line="240" w:lineRule="auto"/>
              <w:jc w:val="center"/>
              <w:rPr>
                <w:rFonts w:hint="default" w:ascii="Arial" w:hAnsi="Arial" w:cs="Arial"/>
                <w:b/>
                <w:i w:val="0"/>
                <w:color w:val="000000" w:themeColor="dark1"/>
                <w:sz w:val="18"/>
                <w:szCs w:val="18"/>
                <w14:textFill>
                  <w14:solidFill>
                    <w14:schemeClr w14:val="dk1"/>
                  </w14:solidFill>
                </w14:textFill>
              </w:rPr>
            </w:pPr>
            <w:r>
              <w:rPr>
                <w:rFonts w:hint="default" w:ascii="Arial" w:hAnsi="Arial" w:cs="Arial"/>
                <w:b/>
                <w:i w:val="0"/>
                <w:color w:val="000000" w:themeColor="dark1"/>
                <w:sz w:val="18"/>
                <w:szCs w:val="18"/>
                <w14:textFill>
                  <w14:solidFill>
                    <w14:schemeClr w14:val="dk1"/>
                  </w14:solidFill>
                </w14:textFill>
              </w:rPr>
              <w:t>P</w:t>
            </w:r>
          </w:p>
        </w:tc>
        <w:tc>
          <w:tcPr>
            <w:tcW w:w="1224" w:type="dxa"/>
            <w:tcBorders>
              <w:top w:val="single" w:color="000000" w:themeColor="dark1" w:sz="12" w:space="0"/>
              <w:left w:val="nil"/>
              <w:bottom w:val="single" w:color="000000" w:themeColor="dark1" w:sz="6" w:space="0"/>
              <w:right w:val="nil"/>
            </w:tcBorders>
            <w:shd w:val="clear" w:color="auto" w:fill="FFFFFF"/>
            <w:vAlign w:val="center"/>
          </w:tcPr>
          <w:p w14:paraId="615CB83F">
            <w:pPr>
              <w:spacing w:before="0" w:after="0" w:line="240" w:lineRule="auto"/>
              <w:jc w:val="center"/>
              <w:rPr>
                <w:rFonts w:hint="default" w:ascii="Arial" w:hAnsi="Arial" w:cs="Arial"/>
                <w:b/>
                <w:i w:val="0"/>
                <w:color w:val="000000" w:themeColor="dark1"/>
                <w:sz w:val="18"/>
                <w:szCs w:val="18"/>
                <w14:textFill>
                  <w14:solidFill>
                    <w14:schemeClr w14:val="dk1"/>
                  </w14:solidFill>
                </w14:textFill>
              </w:rPr>
            </w:pPr>
            <w:r>
              <w:rPr>
                <w:rFonts w:hint="default" w:ascii="Arial" w:hAnsi="Arial" w:cs="Arial"/>
                <w:b/>
                <w:i w:val="0"/>
                <w:color w:val="000000" w:themeColor="dark1"/>
                <w:sz w:val="18"/>
                <w:szCs w:val="18"/>
                <w14:textFill>
                  <w14:solidFill>
                    <w14:schemeClr w14:val="dk1"/>
                  </w14:solidFill>
                </w14:textFill>
              </w:rPr>
              <w:t>Bonferroni</w:t>
            </w:r>
            <w:r>
              <w:rPr>
                <w:rFonts w:hint="default" w:ascii="Arial" w:hAnsi="Arial" w:cs="Arial"/>
                <w:b/>
                <w:i w:val="0"/>
                <w:color w:val="000000" w:themeColor="dark1"/>
                <w:sz w:val="18"/>
                <w:szCs w:val="18"/>
                <w14:textFill>
                  <w14:solidFill>
                    <w14:schemeClr w14:val="dk1"/>
                  </w14:solidFill>
                </w14:textFill>
              </w:rPr>
              <w:br w:type="textWrapping"/>
            </w:r>
            <w:r>
              <w:rPr>
                <w:rFonts w:hint="default" w:ascii="Arial" w:hAnsi="Arial" w:cs="Arial"/>
                <w:b/>
                <w:i w:val="0"/>
                <w:color w:val="000000" w:themeColor="dark1"/>
                <w:sz w:val="18"/>
                <w:szCs w:val="18"/>
                <w14:textFill>
                  <w14:solidFill>
                    <w14:schemeClr w14:val="dk1"/>
                  </w14:solidFill>
                </w14:textFill>
              </w:rPr>
              <w:t>P</w:t>
            </w:r>
          </w:p>
        </w:tc>
        <w:tc>
          <w:tcPr>
            <w:tcW w:w="691" w:type="dxa"/>
            <w:tcBorders>
              <w:top w:val="single" w:color="000000" w:themeColor="dark1" w:sz="12" w:space="0"/>
              <w:left w:val="nil"/>
              <w:bottom w:val="single" w:color="000000" w:themeColor="dark1" w:sz="6" w:space="0"/>
              <w:right w:val="nil"/>
            </w:tcBorders>
            <w:shd w:val="clear" w:color="auto" w:fill="FFFFFF"/>
            <w:vAlign w:val="center"/>
          </w:tcPr>
          <w:p w14:paraId="640D9B3E">
            <w:pPr>
              <w:spacing w:before="0" w:after="0" w:line="240" w:lineRule="auto"/>
              <w:jc w:val="center"/>
              <w:rPr>
                <w:rFonts w:hint="default" w:ascii="Arial" w:hAnsi="Arial" w:cs="Arial"/>
                <w:b/>
                <w:i w:val="0"/>
                <w:color w:val="000000" w:themeColor="dark1"/>
                <w:sz w:val="18"/>
                <w:szCs w:val="18"/>
                <w14:textFill>
                  <w14:solidFill>
                    <w14:schemeClr w14:val="dk1"/>
                  </w14:solidFill>
                </w14:textFill>
              </w:rPr>
            </w:pPr>
            <w:r>
              <w:rPr>
                <w:rFonts w:hint="default" w:ascii="Arial" w:hAnsi="Arial" w:cs="Arial"/>
                <w:b/>
                <w:i w:val="0"/>
                <w:color w:val="000000" w:themeColor="dark1"/>
                <w:sz w:val="18"/>
                <w:szCs w:val="18"/>
                <w14:textFill>
                  <w14:solidFill>
                    <w14:schemeClr w14:val="dk1"/>
                  </w14:solidFill>
                </w14:textFill>
              </w:rPr>
              <w:t>N</w:t>
            </w:r>
          </w:p>
        </w:tc>
        <w:tc>
          <w:tcPr>
            <w:tcW w:w="792" w:type="dxa"/>
            <w:tcBorders>
              <w:top w:val="single" w:color="000000" w:themeColor="dark1" w:sz="12" w:space="0"/>
              <w:left w:val="nil"/>
              <w:bottom w:val="single" w:color="000000" w:themeColor="dark1" w:sz="6" w:space="0"/>
              <w:right w:val="nil"/>
            </w:tcBorders>
            <w:shd w:val="clear" w:color="auto" w:fill="FFFFFF"/>
            <w:vAlign w:val="center"/>
          </w:tcPr>
          <w:p w14:paraId="425630CF">
            <w:pPr>
              <w:spacing w:before="0" w:after="0" w:line="240" w:lineRule="auto"/>
              <w:jc w:val="center"/>
              <w:rPr>
                <w:rFonts w:hint="default" w:ascii="Arial" w:hAnsi="Arial" w:cs="Arial"/>
                <w:b/>
                <w:i w:val="0"/>
                <w:color w:val="000000" w:themeColor="dark1"/>
                <w:sz w:val="18"/>
                <w:szCs w:val="18"/>
                <w14:textFill>
                  <w14:solidFill>
                    <w14:schemeClr w14:val="dk1"/>
                  </w14:solidFill>
                </w14:textFill>
              </w:rPr>
            </w:pPr>
            <w:r>
              <w:rPr>
                <w:rFonts w:hint="default" w:ascii="Arial" w:hAnsi="Arial" w:cs="Arial"/>
                <w:b/>
                <w:i w:val="0"/>
                <w:color w:val="000000" w:themeColor="dark1"/>
                <w:sz w:val="18"/>
                <w:szCs w:val="18"/>
                <w14:textFill>
                  <w14:solidFill>
                    <w14:schemeClr w14:val="dk1"/>
                  </w14:solidFill>
                </w14:textFill>
              </w:rPr>
              <w:t>Schools</w:t>
            </w:r>
          </w:p>
        </w:tc>
      </w:tr>
      <w:tr w14:paraId="59EA428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single" w:color="000000" w:themeColor="dark1" w:sz="6" w:space="0"/>
              <w:left w:val="nil"/>
              <w:bottom w:val="nil"/>
              <w:right w:val="nil"/>
            </w:tcBorders>
            <w:shd w:val="clear" w:color="auto" w:fill="FFFFFF"/>
            <w:vAlign w:val="center"/>
          </w:tcPr>
          <w:p w14:paraId="3B4AD471">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CIAS</w:t>
            </w:r>
          </w:p>
        </w:tc>
        <w:tc>
          <w:tcPr>
            <w:tcW w:w="733" w:type="dxa"/>
            <w:tcBorders>
              <w:top w:val="single" w:color="000000" w:themeColor="dark1" w:sz="6" w:space="0"/>
              <w:left w:val="nil"/>
              <w:bottom w:val="nil"/>
              <w:right w:val="nil"/>
            </w:tcBorders>
            <w:shd w:val="clear" w:color="auto" w:fill="FFFFFF"/>
            <w:vAlign w:val="center"/>
          </w:tcPr>
          <w:p w14:paraId="3ABBECF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DASS</w:t>
            </w:r>
          </w:p>
        </w:tc>
        <w:tc>
          <w:tcPr>
            <w:tcW w:w="742" w:type="dxa"/>
            <w:tcBorders>
              <w:top w:val="single" w:color="000000" w:themeColor="dark1" w:sz="6" w:space="0"/>
              <w:left w:val="nil"/>
              <w:bottom w:val="nil"/>
              <w:right w:val="nil"/>
            </w:tcBorders>
            <w:shd w:val="clear" w:color="auto" w:fill="FFFFFF"/>
            <w:vAlign w:val="center"/>
          </w:tcPr>
          <w:p w14:paraId="79A825E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0.0786</w:t>
            </w:r>
          </w:p>
        </w:tc>
        <w:tc>
          <w:tcPr>
            <w:tcW w:w="900" w:type="dxa"/>
            <w:tcBorders>
              <w:top w:val="single" w:color="000000" w:themeColor="dark1" w:sz="6" w:space="0"/>
              <w:left w:val="nil"/>
              <w:bottom w:val="nil"/>
              <w:right w:val="nil"/>
            </w:tcBorders>
            <w:shd w:val="clear" w:color="auto" w:fill="FFFFFF"/>
            <w:vAlign w:val="center"/>
          </w:tcPr>
          <w:p w14:paraId="0D20B13C">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0.0309</w:t>
            </w:r>
          </w:p>
        </w:tc>
        <w:tc>
          <w:tcPr>
            <w:tcW w:w="1708" w:type="dxa"/>
            <w:tcBorders>
              <w:top w:val="single" w:color="000000" w:themeColor="dark1" w:sz="6" w:space="0"/>
              <w:left w:val="nil"/>
              <w:bottom w:val="nil"/>
              <w:right w:val="nil"/>
            </w:tcBorders>
            <w:shd w:val="clear" w:color="auto" w:fill="FFFFFF"/>
            <w:vAlign w:val="center"/>
          </w:tcPr>
          <w:p w14:paraId="6B3A03E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0.0086 to 0.1486</w:t>
            </w:r>
          </w:p>
        </w:tc>
        <w:tc>
          <w:tcPr>
            <w:tcW w:w="720" w:type="dxa"/>
            <w:tcBorders>
              <w:top w:val="single" w:color="000000" w:themeColor="dark1" w:sz="6" w:space="0"/>
              <w:left w:val="nil"/>
              <w:bottom w:val="nil"/>
              <w:right w:val="nil"/>
            </w:tcBorders>
            <w:shd w:val="clear" w:color="auto" w:fill="FFFFFF"/>
            <w:vAlign w:val="center"/>
          </w:tcPr>
          <w:p w14:paraId="371CFE1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2.540</w:t>
            </w:r>
          </w:p>
        </w:tc>
        <w:tc>
          <w:tcPr>
            <w:tcW w:w="1166" w:type="dxa"/>
            <w:tcBorders>
              <w:top w:val="single" w:color="000000" w:themeColor="dark1" w:sz="6" w:space="0"/>
              <w:left w:val="nil"/>
              <w:bottom w:val="nil"/>
              <w:right w:val="nil"/>
            </w:tcBorders>
            <w:shd w:val="clear" w:color="auto" w:fill="FFFFFF"/>
            <w:vAlign w:val="center"/>
          </w:tcPr>
          <w:p w14:paraId="055D5CE0">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0.031713</w:t>
            </w:r>
          </w:p>
        </w:tc>
        <w:tc>
          <w:tcPr>
            <w:tcW w:w="1224" w:type="dxa"/>
            <w:tcBorders>
              <w:top w:val="single" w:color="000000" w:themeColor="dark1" w:sz="6" w:space="0"/>
              <w:left w:val="nil"/>
              <w:bottom w:val="nil"/>
              <w:right w:val="nil"/>
            </w:tcBorders>
            <w:shd w:val="clear" w:color="auto" w:fill="FFFFFF"/>
            <w:vAlign w:val="center"/>
          </w:tcPr>
          <w:p w14:paraId="09C1BAD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0.951380</w:t>
            </w:r>
          </w:p>
        </w:tc>
        <w:tc>
          <w:tcPr>
            <w:tcW w:w="691" w:type="dxa"/>
            <w:tcBorders>
              <w:top w:val="single" w:color="000000" w:themeColor="dark1" w:sz="6" w:space="0"/>
              <w:left w:val="nil"/>
              <w:bottom w:val="nil"/>
              <w:right w:val="nil"/>
            </w:tcBorders>
            <w:shd w:val="clear" w:color="auto" w:fill="FFFFFF"/>
            <w:vAlign w:val="center"/>
          </w:tcPr>
          <w:p w14:paraId="642CA673">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single" w:color="000000" w:themeColor="dark1" w:sz="6" w:space="0"/>
              <w:left w:val="nil"/>
              <w:bottom w:val="nil"/>
              <w:right w:val="nil"/>
            </w:tcBorders>
            <w:shd w:val="clear" w:color="auto" w:fill="FFFFFF"/>
            <w:vAlign w:val="center"/>
          </w:tcPr>
          <w:p w14:paraId="663A7EFF">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3A46E76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62CB55B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CIAS</w:t>
            </w:r>
          </w:p>
        </w:tc>
        <w:tc>
          <w:tcPr>
            <w:tcW w:w="733" w:type="dxa"/>
            <w:tcBorders>
              <w:top w:val="nil"/>
              <w:left w:val="nil"/>
              <w:bottom w:val="nil"/>
              <w:right w:val="nil"/>
            </w:tcBorders>
            <w:shd w:val="clear" w:color="auto" w:fill="FFFFFF"/>
            <w:vAlign w:val="center"/>
          </w:tcPr>
          <w:p w14:paraId="38121BF0">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SDQ</w:t>
            </w:r>
          </w:p>
        </w:tc>
        <w:tc>
          <w:tcPr>
            <w:tcW w:w="742" w:type="dxa"/>
            <w:tcBorders>
              <w:top w:val="nil"/>
              <w:left w:val="nil"/>
              <w:bottom w:val="nil"/>
              <w:right w:val="nil"/>
            </w:tcBorders>
            <w:shd w:val="clear" w:color="auto" w:fill="FFFFFF"/>
            <w:vAlign w:val="center"/>
          </w:tcPr>
          <w:p w14:paraId="6BACDD4C">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−0.0110</w:t>
            </w:r>
          </w:p>
        </w:tc>
        <w:tc>
          <w:tcPr>
            <w:tcW w:w="900" w:type="dxa"/>
            <w:tcBorders>
              <w:top w:val="nil"/>
              <w:left w:val="nil"/>
              <w:bottom w:val="nil"/>
              <w:right w:val="nil"/>
            </w:tcBorders>
            <w:shd w:val="clear" w:color="auto" w:fill="FFFFFF"/>
            <w:vAlign w:val="center"/>
          </w:tcPr>
          <w:p w14:paraId="7B8DB18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0.0167</w:t>
            </w:r>
          </w:p>
        </w:tc>
        <w:tc>
          <w:tcPr>
            <w:tcW w:w="1708" w:type="dxa"/>
            <w:tcBorders>
              <w:top w:val="nil"/>
              <w:left w:val="nil"/>
              <w:bottom w:val="nil"/>
              <w:right w:val="nil"/>
            </w:tcBorders>
            <w:shd w:val="clear" w:color="auto" w:fill="FFFFFF"/>
            <w:vAlign w:val="center"/>
          </w:tcPr>
          <w:p w14:paraId="2CECBF6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−0.0488 to 0.0268</w:t>
            </w:r>
          </w:p>
        </w:tc>
        <w:tc>
          <w:tcPr>
            <w:tcW w:w="720" w:type="dxa"/>
            <w:tcBorders>
              <w:top w:val="nil"/>
              <w:left w:val="nil"/>
              <w:bottom w:val="nil"/>
              <w:right w:val="nil"/>
            </w:tcBorders>
            <w:shd w:val="clear" w:color="auto" w:fill="FFFFFF"/>
            <w:vAlign w:val="center"/>
          </w:tcPr>
          <w:p w14:paraId="7FEBDD9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−0.656</w:t>
            </w:r>
          </w:p>
        </w:tc>
        <w:tc>
          <w:tcPr>
            <w:tcW w:w="1166" w:type="dxa"/>
            <w:tcBorders>
              <w:top w:val="nil"/>
              <w:left w:val="nil"/>
              <w:bottom w:val="nil"/>
              <w:right w:val="nil"/>
            </w:tcBorders>
            <w:shd w:val="clear" w:color="auto" w:fill="FFFFFF"/>
            <w:vAlign w:val="center"/>
          </w:tcPr>
          <w:p w14:paraId="32C26970">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0.528519</w:t>
            </w:r>
          </w:p>
        </w:tc>
        <w:tc>
          <w:tcPr>
            <w:tcW w:w="1224" w:type="dxa"/>
            <w:tcBorders>
              <w:top w:val="nil"/>
              <w:left w:val="nil"/>
              <w:bottom w:val="nil"/>
              <w:right w:val="nil"/>
            </w:tcBorders>
            <w:shd w:val="clear" w:color="auto" w:fill="FFFFFF"/>
            <w:vAlign w:val="center"/>
          </w:tcPr>
          <w:p w14:paraId="5F138A7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1.000000</w:t>
            </w:r>
          </w:p>
        </w:tc>
        <w:tc>
          <w:tcPr>
            <w:tcW w:w="691" w:type="dxa"/>
            <w:tcBorders>
              <w:top w:val="nil"/>
              <w:left w:val="nil"/>
              <w:bottom w:val="nil"/>
              <w:right w:val="nil"/>
            </w:tcBorders>
            <w:shd w:val="clear" w:color="auto" w:fill="FFFFFF"/>
            <w:vAlign w:val="center"/>
          </w:tcPr>
          <w:p w14:paraId="65505DE1">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36846B1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2DC6DA6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079ED62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CIAS</w:t>
            </w:r>
          </w:p>
        </w:tc>
        <w:tc>
          <w:tcPr>
            <w:tcW w:w="733" w:type="dxa"/>
            <w:tcBorders>
              <w:top w:val="nil"/>
              <w:left w:val="nil"/>
              <w:bottom w:val="nil"/>
              <w:right w:val="nil"/>
            </w:tcBorders>
            <w:shd w:val="clear" w:color="auto" w:fill="FFFFFF"/>
            <w:vAlign w:val="center"/>
          </w:tcPr>
          <w:p w14:paraId="57CA863C">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DIET</w:t>
            </w:r>
          </w:p>
        </w:tc>
        <w:tc>
          <w:tcPr>
            <w:tcW w:w="742" w:type="dxa"/>
            <w:tcBorders>
              <w:top w:val="nil"/>
              <w:left w:val="nil"/>
              <w:bottom w:val="nil"/>
              <w:right w:val="nil"/>
            </w:tcBorders>
            <w:shd w:val="clear" w:color="auto" w:fill="FFFFFF"/>
            <w:vAlign w:val="center"/>
          </w:tcPr>
          <w:p w14:paraId="5A7FE121">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0.0817</w:t>
            </w:r>
          </w:p>
        </w:tc>
        <w:tc>
          <w:tcPr>
            <w:tcW w:w="900" w:type="dxa"/>
            <w:tcBorders>
              <w:top w:val="nil"/>
              <w:left w:val="nil"/>
              <w:bottom w:val="nil"/>
              <w:right w:val="nil"/>
            </w:tcBorders>
            <w:shd w:val="clear" w:color="auto" w:fill="FFFFFF"/>
            <w:vAlign w:val="center"/>
          </w:tcPr>
          <w:p w14:paraId="15637DA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0.0410</w:t>
            </w:r>
          </w:p>
        </w:tc>
        <w:tc>
          <w:tcPr>
            <w:tcW w:w="1708" w:type="dxa"/>
            <w:tcBorders>
              <w:top w:val="nil"/>
              <w:left w:val="nil"/>
              <w:bottom w:val="nil"/>
              <w:right w:val="nil"/>
            </w:tcBorders>
            <w:shd w:val="clear" w:color="auto" w:fill="FFFFFF"/>
            <w:vAlign w:val="center"/>
          </w:tcPr>
          <w:p w14:paraId="2ADD7671">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−0.0110 to 0.1744</w:t>
            </w:r>
          </w:p>
        </w:tc>
        <w:tc>
          <w:tcPr>
            <w:tcW w:w="720" w:type="dxa"/>
            <w:tcBorders>
              <w:top w:val="nil"/>
              <w:left w:val="nil"/>
              <w:bottom w:val="nil"/>
              <w:right w:val="nil"/>
            </w:tcBorders>
            <w:shd w:val="clear" w:color="auto" w:fill="FFFFFF"/>
            <w:vAlign w:val="center"/>
          </w:tcPr>
          <w:p w14:paraId="73C32F0B">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1.994</w:t>
            </w:r>
          </w:p>
        </w:tc>
        <w:tc>
          <w:tcPr>
            <w:tcW w:w="1166" w:type="dxa"/>
            <w:tcBorders>
              <w:top w:val="nil"/>
              <w:left w:val="nil"/>
              <w:bottom w:val="nil"/>
              <w:right w:val="nil"/>
            </w:tcBorders>
            <w:shd w:val="clear" w:color="auto" w:fill="FFFFFF"/>
            <w:vAlign w:val="center"/>
          </w:tcPr>
          <w:p w14:paraId="6865B600">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0.077277</w:t>
            </w:r>
          </w:p>
        </w:tc>
        <w:tc>
          <w:tcPr>
            <w:tcW w:w="1224" w:type="dxa"/>
            <w:tcBorders>
              <w:top w:val="nil"/>
              <w:left w:val="nil"/>
              <w:bottom w:val="nil"/>
              <w:right w:val="nil"/>
            </w:tcBorders>
            <w:shd w:val="clear" w:color="auto" w:fill="FFFFFF"/>
            <w:vAlign w:val="center"/>
          </w:tcPr>
          <w:p w14:paraId="4108884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1.000000</w:t>
            </w:r>
          </w:p>
        </w:tc>
        <w:tc>
          <w:tcPr>
            <w:tcW w:w="691" w:type="dxa"/>
            <w:tcBorders>
              <w:top w:val="nil"/>
              <w:left w:val="nil"/>
              <w:bottom w:val="nil"/>
              <w:right w:val="nil"/>
            </w:tcBorders>
            <w:shd w:val="clear" w:color="auto" w:fill="FFFFFF"/>
            <w:vAlign w:val="center"/>
          </w:tcPr>
          <w:p w14:paraId="1DD00AF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64D5F9C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542BFBF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373FB19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CIAS</w:t>
            </w:r>
          </w:p>
        </w:tc>
        <w:tc>
          <w:tcPr>
            <w:tcW w:w="733" w:type="dxa"/>
            <w:tcBorders>
              <w:top w:val="nil"/>
              <w:left w:val="nil"/>
              <w:bottom w:val="nil"/>
              <w:right w:val="nil"/>
            </w:tcBorders>
            <w:shd w:val="clear" w:color="auto" w:fill="FFFFFF"/>
            <w:vAlign w:val="center"/>
          </w:tcPr>
          <w:p w14:paraId="3897C35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ISI</w:t>
            </w:r>
          </w:p>
        </w:tc>
        <w:tc>
          <w:tcPr>
            <w:tcW w:w="742" w:type="dxa"/>
            <w:tcBorders>
              <w:top w:val="nil"/>
              <w:left w:val="nil"/>
              <w:bottom w:val="nil"/>
              <w:right w:val="nil"/>
            </w:tcBorders>
            <w:shd w:val="clear" w:color="auto" w:fill="FFFFFF"/>
            <w:vAlign w:val="center"/>
          </w:tcPr>
          <w:p w14:paraId="5B4BA27F">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0.0808</w:t>
            </w:r>
          </w:p>
        </w:tc>
        <w:tc>
          <w:tcPr>
            <w:tcW w:w="900" w:type="dxa"/>
            <w:tcBorders>
              <w:top w:val="nil"/>
              <w:left w:val="nil"/>
              <w:bottom w:val="nil"/>
              <w:right w:val="nil"/>
            </w:tcBorders>
            <w:shd w:val="clear" w:color="auto" w:fill="FFFFFF"/>
            <w:vAlign w:val="center"/>
          </w:tcPr>
          <w:p w14:paraId="780EB14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0.0327</w:t>
            </w:r>
          </w:p>
        </w:tc>
        <w:tc>
          <w:tcPr>
            <w:tcW w:w="1708" w:type="dxa"/>
            <w:tcBorders>
              <w:top w:val="nil"/>
              <w:left w:val="nil"/>
              <w:bottom w:val="nil"/>
              <w:right w:val="nil"/>
            </w:tcBorders>
            <w:shd w:val="clear" w:color="auto" w:fill="FFFFFF"/>
            <w:vAlign w:val="center"/>
          </w:tcPr>
          <w:p w14:paraId="4D7C4D71">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0.0069 to 0.1547</w:t>
            </w:r>
          </w:p>
        </w:tc>
        <w:tc>
          <w:tcPr>
            <w:tcW w:w="720" w:type="dxa"/>
            <w:tcBorders>
              <w:top w:val="nil"/>
              <w:left w:val="nil"/>
              <w:bottom w:val="nil"/>
              <w:right w:val="nil"/>
            </w:tcBorders>
            <w:shd w:val="clear" w:color="auto" w:fill="FFFFFF"/>
            <w:vAlign w:val="center"/>
          </w:tcPr>
          <w:p w14:paraId="55D474F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2.473</w:t>
            </w:r>
          </w:p>
        </w:tc>
        <w:tc>
          <w:tcPr>
            <w:tcW w:w="1166" w:type="dxa"/>
            <w:tcBorders>
              <w:top w:val="nil"/>
              <w:left w:val="nil"/>
              <w:bottom w:val="nil"/>
              <w:right w:val="nil"/>
            </w:tcBorders>
            <w:shd w:val="clear" w:color="auto" w:fill="FFFFFF"/>
            <w:vAlign w:val="center"/>
          </w:tcPr>
          <w:p w14:paraId="2EDEB8E3">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0.035406</w:t>
            </w:r>
          </w:p>
        </w:tc>
        <w:tc>
          <w:tcPr>
            <w:tcW w:w="1224" w:type="dxa"/>
            <w:tcBorders>
              <w:top w:val="nil"/>
              <w:left w:val="nil"/>
              <w:bottom w:val="nil"/>
              <w:right w:val="nil"/>
            </w:tcBorders>
            <w:shd w:val="clear" w:color="auto" w:fill="FFFFFF"/>
            <w:vAlign w:val="center"/>
          </w:tcPr>
          <w:p w14:paraId="5F83C0C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1.000000</w:t>
            </w:r>
          </w:p>
        </w:tc>
        <w:tc>
          <w:tcPr>
            <w:tcW w:w="691" w:type="dxa"/>
            <w:tcBorders>
              <w:top w:val="nil"/>
              <w:left w:val="nil"/>
              <w:bottom w:val="nil"/>
              <w:right w:val="nil"/>
            </w:tcBorders>
            <w:shd w:val="clear" w:color="auto" w:fill="FFFFFF"/>
            <w:vAlign w:val="center"/>
          </w:tcPr>
          <w:p w14:paraId="7A0A283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570E274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3779026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2976DA4D">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CIAS</w:t>
            </w:r>
          </w:p>
        </w:tc>
        <w:tc>
          <w:tcPr>
            <w:tcW w:w="733" w:type="dxa"/>
            <w:tcBorders>
              <w:top w:val="nil"/>
              <w:left w:val="nil"/>
              <w:bottom w:val="nil"/>
              <w:right w:val="nil"/>
            </w:tcBorders>
            <w:shd w:val="clear" w:color="auto" w:fill="FFFFFF"/>
            <w:vAlign w:val="center"/>
          </w:tcPr>
          <w:p w14:paraId="5E7BD69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ACT</w:t>
            </w:r>
          </w:p>
        </w:tc>
        <w:tc>
          <w:tcPr>
            <w:tcW w:w="742" w:type="dxa"/>
            <w:tcBorders>
              <w:top w:val="nil"/>
              <w:left w:val="nil"/>
              <w:bottom w:val="nil"/>
              <w:right w:val="nil"/>
            </w:tcBorders>
            <w:shd w:val="clear" w:color="auto" w:fill="FFFFFF"/>
            <w:vAlign w:val="center"/>
          </w:tcPr>
          <w:p w14:paraId="0BF0DDE3">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−0.0498</w:t>
            </w:r>
          </w:p>
        </w:tc>
        <w:tc>
          <w:tcPr>
            <w:tcW w:w="900" w:type="dxa"/>
            <w:tcBorders>
              <w:top w:val="nil"/>
              <w:left w:val="nil"/>
              <w:bottom w:val="nil"/>
              <w:right w:val="nil"/>
            </w:tcBorders>
            <w:shd w:val="clear" w:color="auto" w:fill="FFFFFF"/>
            <w:vAlign w:val="center"/>
          </w:tcPr>
          <w:p w14:paraId="2D52B41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0.0133</w:t>
            </w:r>
          </w:p>
        </w:tc>
        <w:tc>
          <w:tcPr>
            <w:tcW w:w="1708" w:type="dxa"/>
            <w:tcBorders>
              <w:top w:val="nil"/>
              <w:left w:val="nil"/>
              <w:bottom w:val="nil"/>
              <w:right w:val="nil"/>
            </w:tcBorders>
            <w:shd w:val="clear" w:color="auto" w:fill="FFFFFF"/>
            <w:vAlign w:val="center"/>
          </w:tcPr>
          <w:p w14:paraId="735FE32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−0.0799 to −0.0197</w:t>
            </w:r>
          </w:p>
        </w:tc>
        <w:tc>
          <w:tcPr>
            <w:tcW w:w="720" w:type="dxa"/>
            <w:tcBorders>
              <w:top w:val="nil"/>
              <w:left w:val="nil"/>
              <w:bottom w:val="nil"/>
              <w:right w:val="nil"/>
            </w:tcBorders>
            <w:shd w:val="clear" w:color="auto" w:fill="FFFFFF"/>
            <w:vAlign w:val="center"/>
          </w:tcPr>
          <w:p w14:paraId="24634385">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−3.738</w:t>
            </w:r>
          </w:p>
        </w:tc>
        <w:tc>
          <w:tcPr>
            <w:tcW w:w="1166" w:type="dxa"/>
            <w:tcBorders>
              <w:top w:val="nil"/>
              <w:left w:val="nil"/>
              <w:bottom w:val="nil"/>
              <w:right w:val="nil"/>
            </w:tcBorders>
            <w:shd w:val="clear" w:color="auto" w:fill="FFFFFF"/>
            <w:vAlign w:val="center"/>
          </w:tcPr>
          <w:p w14:paraId="484382CF">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0.004641</w:t>
            </w:r>
          </w:p>
        </w:tc>
        <w:tc>
          <w:tcPr>
            <w:tcW w:w="1224" w:type="dxa"/>
            <w:tcBorders>
              <w:top w:val="nil"/>
              <w:left w:val="nil"/>
              <w:bottom w:val="nil"/>
              <w:right w:val="nil"/>
            </w:tcBorders>
            <w:shd w:val="clear" w:color="auto" w:fill="FFFFFF"/>
            <w:vAlign w:val="center"/>
          </w:tcPr>
          <w:p w14:paraId="77D33BBF">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0.139222</w:t>
            </w:r>
          </w:p>
        </w:tc>
        <w:tc>
          <w:tcPr>
            <w:tcW w:w="691" w:type="dxa"/>
            <w:tcBorders>
              <w:top w:val="nil"/>
              <w:left w:val="nil"/>
              <w:bottom w:val="nil"/>
              <w:right w:val="nil"/>
            </w:tcBorders>
            <w:shd w:val="clear" w:color="auto" w:fill="FFFFFF"/>
            <w:vAlign w:val="center"/>
          </w:tcPr>
          <w:p w14:paraId="62071B2C">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321D4B65">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648E57D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542C476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DASS</w:t>
            </w:r>
          </w:p>
        </w:tc>
        <w:tc>
          <w:tcPr>
            <w:tcW w:w="733" w:type="dxa"/>
            <w:tcBorders>
              <w:top w:val="nil"/>
              <w:left w:val="nil"/>
              <w:bottom w:val="nil"/>
              <w:right w:val="nil"/>
            </w:tcBorders>
            <w:shd w:val="clear" w:color="auto" w:fill="FFFFFF"/>
            <w:vAlign w:val="center"/>
          </w:tcPr>
          <w:p w14:paraId="47425CCD">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CIAS</w:t>
            </w:r>
          </w:p>
        </w:tc>
        <w:tc>
          <w:tcPr>
            <w:tcW w:w="742" w:type="dxa"/>
            <w:tcBorders>
              <w:top w:val="nil"/>
              <w:left w:val="nil"/>
              <w:bottom w:val="nil"/>
              <w:right w:val="nil"/>
            </w:tcBorders>
            <w:shd w:val="clear" w:color="auto" w:fill="FFFFFF"/>
            <w:vAlign w:val="center"/>
          </w:tcPr>
          <w:p w14:paraId="65D6229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0.1600</w:t>
            </w:r>
          </w:p>
        </w:tc>
        <w:tc>
          <w:tcPr>
            <w:tcW w:w="900" w:type="dxa"/>
            <w:tcBorders>
              <w:top w:val="nil"/>
              <w:left w:val="nil"/>
              <w:bottom w:val="nil"/>
              <w:right w:val="nil"/>
            </w:tcBorders>
            <w:shd w:val="clear" w:color="auto" w:fill="FFFFFF"/>
            <w:vAlign w:val="center"/>
          </w:tcPr>
          <w:p w14:paraId="7A5A0CEF">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0.0371</w:t>
            </w:r>
          </w:p>
        </w:tc>
        <w:tc>
          <w:tcPr>
            <w:tcW w:w="1708" w:type="dxa"/>
            <w:tcBorders>
              <w:top w:val="nil"/>
              <w:left w:val="nil"/>
              <w:bottom w:val="nil"/>
              <w:right w:val="nil"/>
            </w:tcBorders>
            <w:shd w:val="clear" w:color="auto" w:fill="FFFFFF"/>
            <w:vAlign w:val="center"/>
          </w:tcPr>
          <w:p w14:paraId="036679C0">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0.0760 to 0.2440</w:t>
            </w:r>
          </w:p>
        </w:tc>
        <w:tc>
          <w:tcPr>
            <w:tcW w:w="720" w:type="dxa"/>
            <w:tcBorders>
              <w:top w:val="nil"/>
              <w:left w:val="nil"/>
              <w:bottom w:val="nil"/>
              <w:right w:val="nil"/>
            </w:tcBorders>
            <w:shd w:val="clear" w:color="auto" w:fill="FFFFFF"/>
            <w:vAlign w:val="center"/>
          </w:tcPr>
          <w:p w14:paraId="28C997B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4.307</w:t>
            </w:r>
          </w:p>
        </w:tc>
        <w:tc>
          <w:tcPr>
            <w:tcW w:w="1166" w:type="dxa"/>
            <w:tcBorders>
              <w:top w:val="nil"/>
              <w:left w:val="nil"/>
              <w:bottom w:val="nil"/>
              <w:right w:val="nil"/>
            </w:tcBorders>
            <w:shd w:val="clear" w:color="auto" w:fill="FFFFFF"/>
            <w:vAlign w:val="center"/>
          </w:tcPr>
          <w:p w14:paraId="570FE88B">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0.001969</w:t>
            </w:r>
          </w:p>
        </w:tc>
        <w:tc>
          <w:tcPr>
            <w:tcW w:w="1224" w:type="dxa"/>
            <w:tcBorders>
              <w:top w:val="nil"/>
              <w:left w:val="nil"/>
              <w:bottom w:val="nil"/>
              <w:right w:val="nil"/>
            </w:tcBorders>
            <w:shd w:val="clear" w:color="auto" w:fill="FFFFFF"/>
            <w:vAlign w:val="center"/>
          </w:tcPr>
          <w:p w14:paraId="306A7F3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0.059081</w:t>
            </w:r>
          </w:p>
        </w:tc>
        <w:tc>
          <w:tcPr>
            <w:tcW w:w="691" w:type="dxa"/>
            <w:tcBorders>
              <w:top w:val="nil"/>
              <w:left w:val="nil"/>
              <w:bottom w:val="nil"/>
              <w:right w:val="nil"/>
            </w:tcBorders>
            <w:shd w:val="clear" w:color="auto" w:fill="FFFFFF"/>
            <w:vAlign w:val="center"/>
          </w:tcPr>
          <w:p w14:paraId="5B41488E">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0F4C6D7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42B5907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3EA06B4B">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DASS</w:t>
            </w:r>
          </w:p>
        </w:tc>
        <w:tc>
          <w:tcPr>
            <w:tcW w:w="733" w:type="dxa"/>
            <w:tcBorders>
              <w:top w:val="nil"/>
              <w:left w:val="nil"/>
              <w:bottom w:val="nil"/>
              <w:right w:val="nil"/>
            </w:tcBorders>
            <w:shd w:val="clear" w:color="auto" w:fill="FFFFFF"/>
            <w:vAlign w:val="center"/>
          </w:tcPr>
          <w:p w14:paraId="4361E51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SDQ</w:t>
            </w:r>
          </w:p>
        </w:tc>
        <w:tc>
          <w:tcPr>
            <w:tcW w:w="742" w:type="dxa"/>
            <w:tcBorders>
              <w:top w:val="nil"/>
              <w:left w:val="nil"/>
              <w:bottom w:val="nil"/>
              <w:right w:val="nil"/>
            </w:tcBorders>
            <w:shd w:val="clear" w:color="auto" w:fill="FFFFFF"/>
            <w:vAlign w:val="center"/>
          </w:tcPr>
          <w:p w14:paraId="76A3A83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0.1200</w:t>
            </w:r>
          </w:p>
        </w:tc>
        <w:tc>
          <w:tcPr>
            <w:tcW w:w="900" w:type="dxa"/>
            <w:tcBorders>
              <w:top w:val="nil"/>
              <w:left w:val="nil"/>
              <w:bottom w:val="nil"/>
              <w:right w:val="nil"/>
            </w:tcBorders>
            <w:shd w:val="clear" w:color="auto" w:fill="FFFFFF"/>
            <w:vAlign w:val="center"/>
          </w:tcPr>
          <w:p w14:paraId="2186C7D1">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0.0420</w:t>
            </w:r>
          </w:p>
        </w:tc>
        <w:tc>
          <w:tcPr>
            <w:tcW w:w="1708" w:type="dxa"/>
            <w:tcBorders>
              <w:top w:val="nil"/>
              <w:left w:val="nil"/>
              <w:bottom w:val="nil"/>
              <w:right w:val="nil"/>
            </w:tcBorders>
            <w:shd w:val="clear" w:color="auto" w:fill="FFFFFF"/>
            <w:vAlign w:val="center"/>
          </w:tcPr>
          <w:p w14:paraId="231D3241">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0.0249 to 0.2150</w:t>
            </w:r>
          </w:p>
        </w:tc>
        <w:tc>
          <w:tcPr>
            <w:tcW w:w="720" w:type="dxa"/>
            <w:tcBorders>
              <w:top w:val="nil"/>
              <w:left w:val="nil"/>
              <w:bottom w:val="nil"/>
              <w:right w:val="nil"/>
            </w:tcBorders>
            <w:shd w:val="clear" w:color="auto" w:fill="FFFFFF"/>
            <w:vAlign w:val="center"/>
          </w:tcPr>
          <w:p w14:paraId="53549E4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2.856</w:t>
            </w:r>
          </w:p>
        </w:tc>
        <w:tc>
          <w:tcPr>
            <w:tcW w:w="1166" w:type="dxa"/>
            <w:tcBorders>
              <w:top w:val="nil"/>
              <w:left w:val="nil"/>
              <w:bottom w:val="nil"/>
              <w:right w:val="nil"/>
            </w:tcBorders>
            <w:shd w:val="clear" w:color="auto" w:fill="FFFFFF"/>
            <w:vAlign w:val="center"/>
          </w:tcPr>
          <w:p w14:paraId="308FF70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0.018905</w:t>
            </w:r>
          </w:p>
        </w:tc>
        <w:tc>
          <w:tcPr>
            <w:tcW w:w="1224" w:type="dxa"/>
            <w:tcBorders>
              <w:top w:val="nil"/>
              <w:left w:val="nil"/>
              <w:bottom w:val="nil"/>
              <w:right w:val="nil"/>
            </w:tcBorders>
            <w:shd w:val="clear" w:color="auto" w:fill="FFFFFF"/>
            <w:vAlign w:val="center"/>
          </w:tcPr>
          <w:p w14:paraId="797CDBCB">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0.567164</w:t>
            </w:r>
          </w:p>
        </w:tc>
        <w:tc>
          <w:tcPr>
            <w:tcW w:w="691" w:type="dxa"/>
            <w:tcBorders>
              <w:top w:val="nil"/>
              <w:left w:val="nil"/>
              <w:bottom w:val="nil"/>
              <w:right w:val="nil"/>
            </w:tcBorders>
            <w:shd w:val="clear" w:color="auto" w:fill="FFFFFF"/>
            <w:vAlign w:val="center"/>
          </w:tcPr>
          <w:p w14:paraId="45FABAF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7006E82B">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6B20D71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5266DD00">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DASS</w:t>
            </w:r>
          </w:p>
        </w:tc>
        <w:tc>
          <w:tcPr>
            <w:tcW w:w="733" w:type="dxa"/>
            <w:tcBorders>
              <w:top w:val="nil"/>
              <w:left w:val="nil"/>
              <w:bottom w:val="nil"/>
              <w:right w:val="nil"/>
            </w:tcBorders>
            <w:shd w:val="clear" w:color="auto" w:fill="FFFFFF"/>
            <w:vAlign w:val="center"/>
          </w:tcPr>
          <w:p w14:paraId="0F78DAD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DIET</w:t>
            </w:r>
          </w:p>
        </w:tc>
        <w:tc>
          <w:tcPr>
            <w:tcW w:w="742" w:type="dxa"/>
            <w:tcBorders>
              <w:top w:val="nil"/>
              <w:left w:val="nil"/>
              <w:bottom w:val="nil"/>
              <w:right w:val="nil"/>
            </w:tcBorders>
            <w:shd w:val="clear" w:color="auto" w:fill="FFFFFF"/>
            <w:vAlign w:val="center"/>
          </w:tcPr>
          <w:p w14:paraId="54D545F1">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0.1076</w:t>
            </w:r>
          </w:p>
        </w:tc>
        <w:tc>
          <w:tcPr>
            <w:tcW w:w="900" w:type="dxa"/>
            <w:tcBorders>
              <w:top w:val="nil"/>
              <w:left w:val="nil"/>
              <w:bottom w:val="nil"/>
              <w:right w:val="nil"/>
            </w:tcBorders>
            <w:shd w:val="clear" w:color="auto" w:fill="FFFFFF"/>
            <w:vAlign w:val="center"/>
          </w:tcPr>
          <w:p w14:paraId="0DAF54FE">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0.0297</w:t>
            </w:r>
          </w:p>
        </w:tc>
        <w:tc>
          <w:tcPr>
            <w:tcW w:w="1708" w:type="dxa"/>
            <w:tcBorders>
              <w:top w:val="nil"/>
              <w:left w:val="nil"/>
              <w:bottom w:val="nil"/>
              <w:right w:val="nil"/>
            </w:tcBorders>
            <w:shd w:val="clear" w:color="auto" w:fill="FFFFFF"/>
            <w:vAlign w:val="center"/>
          </w:tcPr>
          <w:p w14:paraId="4E3A10E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0.0404 to 0.1749</w:t>
            </w:r>
          </w:p>
        </w:tc>
        <w:tc>
          <w:tcPr>
            <w:tcW w:w="720" w:type="dxa"/>
            <w:tcBorders>
              <w:top w:val="nil"/>
              <w:left w:val="nil"/>
              <w:bottom w:val="nil"/>
              <w:right w:val="nil"/>
            </w:tcBorders>
            <w:shd w:val="clear" w:color="auto" w:fill="FFFFFF"/>
            <w:vAlign w:val="center"/>
          </w:tcPr>
          <w:p w14:paraId="0AD953DD">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3.622</w:t>
            </w:r>
          </w:p>
        </w:tc>
        <w:tc>
          <w:tcPr>
            <w:tcW w:w="1166" w:type="dxa"/>
            <w:tcBorders>
              <w:top w:val="nil"/>
              <w:left w:val="nil"/>
              <w:bottom w:val="nil"/>
              <w:right w:val="nil"/>
            </w:tcBorders>
            <w:shd w:val="clear" w:color="auto" w:fill="FFFFFF"/>
            <w:vAlign w:val="center"/>
          </w:tcPr>
          <w:p w14:paraId="258BBE2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0.005551</w:t>
            </w:r>
          </w:p>
        </w:tc>
        <w:tc>
          <w:tcPr>
            <w:tcW w:w="1224" w:type="dxa"/>
            <w:tcBorders>
              <w:top w:val="nil"/>
              <w:left w:val="nil"/>
              <w:bottom w:val="nil"/>
              <w:right w:val="nil"/>
            </w:tcBorders>
            <w:shd w:val="clear" w:color="auto" w:fill="FFFFFF"/>
            <w:vAlign w:val="center"/>
          </w:tcPr>
          <w:p w14:paraId="4C90491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0.166519</w:t>
            </w:r>
          </w:p>
        </w:tc>
        <w:tc>
          <w:tcPr>
            <w:tcW w:w="691" w:type="dxa"/>
            <w:tcBorders>
              <w:top w:val="nil"/>
              <w:left w:val="nil"/>
              <w:bottom w:val="nil"/>
              <w:right w:val="nil"/>
            </w:tcBorders>
            <w:shd w:val="clear" w:color="auto" w:fill="FFFFFF"/>
            <w:vAlign w:val="center"/>
          </w:tcPr>
          <w:p w14:paraId="1F26F01D">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2A78CD23">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5A29D21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24F5839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DASS</w:t>
            </w:r>
          </w:p>
        </w:tc>
        <w:tc>
          <w:tcPr>
            <w:tcW w:w="733" w:type="dxa"/>
            <w:tcBorders>
              <w:top w:val="nil"/>
              <w:left w:val="nil"/>
              <w:bottom w:val="nil"/>
              <w:right w:val="nil"/>
            </w:tcBorders>
            <w:shd w:val="clear" w:color="auto" w:fill="FFFFFF"/>
            <w:vAlign w:val="center"/>
          </w:tcPr>
          <w:p w14:paraId="0AD251DC">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ISI</w:t>
            </w:r>
          </w:p>
        </w:tc>
        <w:tc>
          <w:tcPr>
            <w:tcW w:w="742" w:type="dxa"/>
            <w:tcBorders>
              <w:top w:val="nil"/>
              <w:left w:val="nil"/>
              <w:bottom w:val="nil"/>
              <w:right w:val="nil"/>
            </w:tcBorders>
            <w:shd w:val="clear" w:color="auto" w:fill="FFFFFF"/>
            <w:vAlign w:val="center"/>
          </w:tcPr>
          <w:p w14:paraId="6A3D275B">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0.1511</w:t>
            </w:r>
          </w:p>
        </w:tc>
        <w:tc>
          <w:tcPr>
            <w:tcW w:w="900" w:type="dxa"/>
            <w:tcBorders>
              <w:top w:val="nil"/>
              <w:left w:val="nil"/>
              <w:bottom w:val="nil"/>
              <w:right w:val="nil"/>
            </w:tcBorders>
            <w:shd w:val="clear" w:color="auto" w:fill="FFFFFF"/>
            <w:vAlign w:val="center"/>
          </w:tcPr>
          <w:p w14:paraId="3BED0BA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0.0328</w:t>
            </w:r>
          </w:p>
        </w:tc>
        <w:tc>
          <w:tcPr>
            <w:tcW w:w="1708" w:type="dxa"/>
            <w:tcBorders>
              <w:top w:val="nil"/>
              <w:left w:val="nil"/>
              <w:bottom w:val="nil"/>
              <w:right w:val="nil"/>
            </w:tcBorders>
            <w:shd w:val="clear" w:color="auto" w:fill="FFFFFF"/>
            <w:vAlign w:val="center"/>
          </w:tcPr>
          <w:p w14:paraId="5D2A799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0.0769 to 0.2253</w:t>
            </w:r>
          </w:p>
        </w:tc>
        <w:tc>
          <w:tcPr>
            <w:tcW w:w="720" w:type="dxa"/>
            <w:tcBorders>
              <w:top w:val="nil"/>
              <w:left w:val="nil"/>
              <w:bottom w:val="nil"/>
              <w:right w:val="nil"/>
            </w:tcBorders>
            <w:shd w:val="clear" w:color="auto" w:fill="FFFFFF"/>
            <w:vAlign w:val="center"/>
          </w:tcPr>
          <w:p w14:paraId="31BA0A6D">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4.607</w:t>
            </w:r>
          </w:p>
        </w:tc>
        <w:tc>
          <w:tcPr>
            <w:tcW w:w="1166" w:type="dxa"/>
            <w:tcBorders>
              <w:top w:val="nil"/>
              <w:left w:val="nil"/>
              <w:bottom w:val="nil"/>
              <w:right w:val="nil"/>
            </w:tcBorders>
            <w:shd w:val="clear" w:color="auto" w:fill="FFFFFF"/>
            <w:vAlign w:val="center"/>
          </w:tcPr>
          <w:p w14:paraId="6EE98945">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0.001278</w:t>
            </w:r>
          </w:p>
        </w:tc>
        <w:tc>
          <w:tcPr>
            <w:tcW w:w="1224" w:type="dxa"/>
            <w:tcBorders>
              <w:top w:val="nil"/>
              <w:left w:val="nil"/>
              <w:bottom w:val="nil"/>
              <w:right w:val="nil"/>
            </w:tcBorders>
            <w:shd w:val="clear" w:color="auto" w:fill="FFFFFF"/>
            <w:vAlign w:val="center"/>
          </w:tcPr>
          <w:p w14:paraId="45F6C4E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0.038330</w:t>
            </w:r>
          </w:p>
        </w:tc>
        <w:tc>
          <w:tcPr>
            <w:tcW w:w="691" w:type="dxa"/>
            <w:tcBorders>
              <w:top w:val="nil"/>
              <w:left w:val="nil"/>
              <w:bottom w:val="nil"/>
              <w:right w:val="nil"/>
            </w:tcBorders>
            <w:shd w:val="clear" w:color="auto" w:fill="FFFFFF"/>
            <w:vAlign w:val="center"/>
          </w:tcPr>
          <w:p w14:paraId="191C91D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6BCF2580">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162FF16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68160B35">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DASS</w:t>
            </w:r>
          </w:p>
        </w:tc>
        <w:tc>
          <w:tcPr>
            <w:tcW w:w="733" w:type="dxa"/>
            <w:tcBorders>
              <w:top w:val="nil"/>
              <w:left w:val="nil"/>
              <w:bottom w:val="nil"/>
              <w:right w:val="nil"/>
            </w:tcBorders>
            <w:shd w:val="clear" w:color="auto" w:fill="FFFFFF"/>
            <w:vAlign w:val="center"/>
          </w:tcPr>
          <w:p w14:paraId="74C41810">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ACT</w:t>
            </w:r>
          </w:p>
        </w:tc>
        <w:tc>
          <w:tcPr>
            <w:tcW w:w="742" w:type="dxa"/>
            <w:tcBorders>
              <w:top w:val="nil"/>
              <w:left w:val="nil"/>
              <w:bottom w:val="nil"/>
              <w:right w:val="nil"/>
            </w:tcBorders>
            <w:shd w:val="clear" w:color="auto" w:fill="FFFFFF"/>
            <w:vAlign w:val="center"/>
          </w:tcPr>
          <w:p w14:paraId="51676AB0">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−0.0563</w:t>
            </w:r>
          </w:p>
        </w:tc>
        <w:tc>
          <w:tcPr>
            <w:tcW w:w="900" w:type="dxa"/>
            <w:tcBorders>
              <w:top w:val="nil"/>
              <w:left w:val="nil"/>
              <w:bottom w:val="nil"/>
              <w:right w:val="nil"/>
            </w:tcBorders>
            <w:shd w:val="clear" w:color="auto" w:fill="FFFFFF"/>
            <w:vAlign w:val="center"/>
          </w:tcPr>
          <w:p w14:paraId="3CFB75B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0.0247</w:t>
            </w:r>
          </w:p>
        </w:tc>
        <w:tc>
          <w:tcPr>
            <w:tcW w:w="1708" w:type="dxa"/>
            <w:tcBorders>
              <w:top w:val="nil"/>
              <w:left w:val="nil"/>
              <w:bottom w:val="nil"/>
              <w:right w:val="nil"/>
            </w:tcBorders>
            <w:shd w:val="clear" w:color="auto" w:fill="FFFFFF"/>
            <w:vAlign w:val="center"/>
          </w:tcPr>
          <w:p w14:paraId="1953FA90">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−0.1123 to −0.0003</w:t>
            </w:r>
          </w:p>
        </w:tc>
        <w:tc>
          <w:tcPr>
            <w:tcW w:w="720" w:type="dxa"/>
            <w:tcBorders>
              <w:top w:val="nil"/>
              <w:left w:val="nil"/>
              <w:bottom w:val="nil"/>
              <w:right w:val="nil"/>
            </w:tcBorders>
            <w:shd w:val="clear" w:color="auto" w:fill="FFFFFF"/>
            <w:vAlign w:val="center"/>
          </w:tcPr>
          <w:p w14:paraId="2C49FF3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−2.276</w:t>
            </w:r>
          </w:p>
        </w:tc>
        <w:tc>
          <w:tcPr>
            <w:tcW w:w="1166" w:type="dxa"/>
            <w:tcBorders>
              <w:top w:val="nil"/>
              <w:left w:val="nil"/>
              <w:bottom w:val="nil"/>
              <w:right w:val="nil"/>
            </w:tcBorders>
            <w:shd w:val="clear" w:color="auto" w:fill="FFFFFF"/>
            <w:vAlign w:val="center"/>
          </w:tcPr>
          <w:p w14:paraId="65B9463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0.048893</w:t>
            </w:r>
          </w:p>
        </w:tc>
        <w:tc>
          <w:tcPr>
            <w:tcW w:w="1224" w:type="dxa"/>
            <w:tcBorders>
              <w:top w:val="nil"/>
              <w:left w:val="nil"/>
              <w:bottom w:val="nil"/>
              <w:right w:val="nil"/>
            </w:tcBorders>
            <w:shd w:val="clear" w:color="auto" w:fill="FFFFFF"/>
            <w:vAlign w:val="center"/>
          </w:tcPr>
          <w:p w14:paraId="75D5AFF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1.000000</w:t>
            </w:r>
          </w:p>
        </w:tc>
        <w:tc>
          <w:tcPr>
            <w:tcW w:w="691" w:type="dxa"/>
            <w:tcBorders>
              <w:top w:val="nil"/>
              <w:left w:val="nil"/>
              <w:bottom w:val="nil"/>
              <w:right w:val="nil"/>
            </w:tcBorders>
            <w:shd w:val="clear" w:color="auto" w:fill="FFFFFF"/>
            <w:vAlign w:val="center"/>
          </w:tcPr>
          <w:p w14:paraId="06E742C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493903BF">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0A3AC9F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3523401F">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SDQ</w:t>
            </w:r>
          </w:p>
        </w:tc>
        <w:tc>
          <w:tcPr>
            <w:tcW w:w="733" w:type="dxa"/>
            <w:tcBorders>
              <w:top w:val="nil"/>
              <w:left w:val="nil"/>
              <w:bottom w:val="nil"/>
              <w:right w:val="nil"/>
            </w:tcBorders>
            <w:shd w:val="clear" w:color="auto" w:fill="FFFFFF"/>
            <w:vAlign w:val="center"/>
          </w:tcPr>
          <w:p w14:paraId="68A09C6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CIAS</w:t>
            </w:r>
          </w:p>
        </w:tc>
        <w:tc>
          <w:tcPr>
            <w:tcW w:w="742" w:type="dxa"/>
            <w:tcBorders>
              <w:top w:val="nil"/>
              <w:left w:val="nil"/>
              <w:bottom w:val="nil"/>
              <w:right w:val="nil"/>
            </w:tcBorders>
            <w:shd w:val="clear" w:color="auto" w:fill="FFFFFF"/>
            <w:vAlign w:val="center"/>
          </w:tcPr>
          <w:p w14:paraId="37B596E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−0.0290</w:t>
            </w:r>
          </w:p>
        </w:tc>
        <w:tc>
          <w:tcPr>
            <w:tcW w:w="900" w:type="dxa"/>
            <w:tcBorders>
              <w:top w:val="nil"/>
              <w:left w:val="nil"/>
              <w:bottom w:val="nil"/>
              <w:right w:val="nil"/>
            </w:tcBorders>
            <w:shd w:val="clear" w:color="auto" w:fill="FFFFFF"/>
            <w:vAlign w:val="center"/>
          </w:tcPr>
          <w:p w14:paraId="5A4B4D1E">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0.0183</w:t>
            </w:r>
          </w:p>
        </w:tc>
        <w:tc>
          <w:tcPr>
            <w:tcW w:w="1708" w:type="dxa"/>
            <w:tcBorders>
              <w:top w:val="nil"/>
              <w:left w:val="nil"/>
              <w:bottom w:val="nil"/>
              <w:right w:val="nil"/>
            </w:tcBorders>
            <w:shd w:val="clear" w:color="auto" w:fill="FFFFFF"/>
            <w:vAlign w:val="center"/>
          </w:tcPr>
          <w:p w14:paraId="09F5B87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−0.0704 to 0.0123</w:t>
            </w:r>
          </w:p>
        </w:tc>
        <w:tc>
          <w:tcPr>
            <w:tcW w:w="720" w:type="dxa"/>
            <w:tcBorders>
              <w:top w:val="nil"/>
              <w:left w:val="nil"/>
              <w:bottom w:val="nil"/>
              <w:right w:val="nil"/>
            </w:tcBorders>
            <w:shd w:val="clear" w:color="auto" w:fill="FFFFFF"/>
            <w:vAlign w:val="center"/>
          </w:tcPr>
          <w:p w14:paraId="3CB91E9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−1.588</w:t>
            </w:r>
          </w:p>
        </w:tc>
        <w:tc>
          <w:tcPr>
            <w:tcW w:w="1166" w:type="dxa"/>
            <w:tcBorders>
              <w:top w:val="nil"/>
              <w:left w:val="nil"/>
              <w:bottom w:val="nil"/>
              <w:right w:val="nil"/>
            </w:tcBorders>
            <w:shd w:val="clear" w:color="auto" w:fill="FFFFFF"/>
            <w:vAlign w:val="center"/>
          </w:tcPr>
          <w:p w14:paraId="3E4D395D">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0.146656</w:t>
            </w:r>
          </w:p>
        </w:tc>
        <w:tc>
          <w:tcPr>
            <w:tcW w:w="1224" w:type="dxa"/>
            <w:tcBorders>
              <w:top w:val="nil"/>
              <w:left w:val="nil"/>
              <w:bottom w:val="nil"/>
              <w:right w:val="nil"/>
            </w:tcBorders>
            <w:shd w:val="clear" w:color="auto" w:fill="FFFFFF"/>
            <w:vAlign w:val="center"/>
          </w:tcPr>
          <w:p w14:paraId="75DE440E">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1.000000</w:t>
            </w:r>
          </w:p>
        </w:tc>
        <w:tc>
          <w:tcPr>
            <w:tcW w:w="691" w:type="dxa"/>
            <w:tcBorders>
              <w:top w:val="nil"/>
              <w:left w:val="nil"/>
              <w:bottom w:val="nil"/>
              <w:right w:val="nil"/>
            </w:tcBorders>
            <w:shd w:val="clear" w:color="auto" w:fill="FFFFFF"/>
            <w:vAlign w:val="center"/>
          </w:tcPr>
          <w:p w14:paraId="28CBBB3F">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27CD88E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01ABCA4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0DEB20F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SDQ</w:t>
            </w:r>
          </w:p>
        </w:tc>
        <w:tc>
          <w:tcPr>
            <w:tcW w:w="733" w:type="dxa"/>
            <w:tcBorders>
              <w:top w:val="nil"/>
              <w:left w:val="nil"/>
              <w:bottom w:val="nil"/>
              <w:right w:val="nil"/>
            </w:tcBorders>
            <w:shd w:val="clear" w:color="auto" w:fill="FFFFFF"/>
            <w:vAlign w:val="center"/>
          </w:tcPr>
          <w:p w14:paraId="02BEC15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DASS</w:t>
            </w:r>
          </w:p>
        </w:tc>
        <w:tc>
          <w:tcPr>
            <w:tcW w:w="742" w:type="dxa"/>
            <w:tcBorders>
              <w:top w:val="nil"/>
              <w:left w:val="nil"/>
              <w:bottom w:val="nil"/>
              <w:right w:val="nil"/>
            </w:tcBorders>
            <w:shd w:val="clear" w:color="auto" w:fill="FFFFFF"/>
            <w:vAlign w:val="center"/>
          </w:tcPr>
          <w:p w14:paraId="33C3A38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0.0496</w:t>
            </w:r>
          </w:p>
        </w:tc>
        <w:tc>
          <w:tcPr>
            <w:tcW w:w="900" w:type="dxa"/>
            <w:tcBorders>
              <w:top w:val="nil"/>
              <w:left w:val="nil"/>
              <w:bottom w:val="nil"/>
              <w:right w:val="nil"/>
            </w:tcBorders>
            <w:shd w:val="clear" w:color="auto" w:fill="FFFFFF"/>
            <w:vAlign w:val="center"/>
          </w:tcPr>
          <w:p w14:paraId="6896F32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0.0101</w:t>
            </w:r>
          </w:p>
        </w:tc>
        <w:tc>
          <w:tcPr>
            <w:tcW w:w="1708" w:type="dxa"/>
            <w:tcBorders>
              <w:top w:val="nil"/>
              <w:left w:val="nil"/>
              <w:bottom w:val="nil"/>
              <w:right w:val="nil"/>
            </w:tcBorders>
            <w:shd w:val="clear" w:color="auto" w:fill="FFFFFF"/>
            <w:vAlign w:val="center"/>
          </w:tcPr>
          <w:p w14:paraId="4010EE3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0.0268 to 0.0724</w:t>
            </w:r>
          </w:p>
        </w:tc>
        <w:tc>
          <w:tcPr>
            <w:tcW w:w="720" w:type="dxa"/>
            <w:tcBorders>
              <w:top w:val="nil"/>
              <w:left w:val="nil"/>
              <w:bottom w:val="nil"/>
              <w:right w:val="nil"/>
            </w:tcBorders>
            <w:shd w:val="clear" w:color="auto" w:fill="FFFFFF"/>
            <w:vAlign w:val="center"/>
          </w:tcPr>
          <w:p w14:paraId="18271F55">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4.916</w:t>
            </w:r>
          </w:p>
        </w:tc>
        <w:tc>
          <w:tcPr>
            <w:tcW w:w="1166" w:type="dxa"/>
            <w:tcBorders>
              <w:top w:val="nil"/>
              <w:left w:val="nil"/>
              <w:bottom w:val="nil"/>
              <w:right w:val="nil"/>
            </w:tcBorders>
            <w:shd w:val="clear" w:color="auto" w:fill="FFFFFF"/>
            <w:vAlign w:val="center"/>
          </w:tcPr>
          <w:p w14:paraId="1CB2DB2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0.000829</w:t>
            </w:r>
          </w:p>
        </w:tc>
        <w:tc>
          <w:tcPr>
            <w:tcW w:w="1224" w:type="dxa"/>
            <w:tcBorders>
              <w:top w:val="nil"/>
              <w:left w:val="nil"/>
              <w:bottom w:val="nil"/>
              <w:right w:val="nil"/>
            </w:tcBorders>
            <w:shd w:val="clear" w:color="auto" w:fill="FFFFFF"/>
            <w:vAlign w:val="center"/>
          </w:tcPr>
          <w:p w14:paraId="6F728D2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0.024865</w:t>
            </w:r>
          </w:p>
        </w:tc>
        <w:tc>
          <w:tcPr>
            <w:tcW w:w="691" w:type="dxa"/>
            <w:tcBorders>
              <w:top w:val="nil"/>
              <w:left w:val="nil"/>
              <w:bottom w:val="nil"/>
              <w:right w:val="nil"/>
            </w:tcBorders>
            <w:shd w:val="clear" w:color="auto" w:fill="FFFFFF"/>
            <w:vAlign w:val="center"/>
          </w:tcPr>
          <w:p w14:paraId="1ACE15E0">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63A77AC1">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597FE5F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0AB542C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SDQ</w:t>
            </w:r>
          </w:p>
        </w:tc>
        <w:tc>
          <w:tcPr>
            <w:tcW w:w="733" w:type="dxa"/>
            <w:tcBorders>
              <w:top w:val="nil"/>
              <w:left w:val="nil"/>
              <w:bottom w:val="nil"/>
              <w:right w:val="nil"/>
            </w:tcBorders>
            <w:shd w:val="clear" w:color="auto" w:fill="FFFFFF"/>
            <w:vAlign w:val="center"/>
          </w:tcPr>
          <w:p w14:paraId="69513AF3">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DIET</w:t>
            </w:r>
          </w:p>
        </w:tc>
        <w:tc>
          <w:tcPr>
            <w:tcW w:w="742" w:type="dxa"/>
            <w:tcBorders>
              <w:top w:val="nil"/>
              <w:left w:val="nil"/>
              <w:bottom w:val="nil"/>
              <w:right w:val="nil"/>
            </w:tcBorders>
            <w:shd w:val="clear" w:color="auto" w:fill="FFFFFF"/>
            <w:vAlign w:val="center"/>
          </w:tcPr>
          <w:p w14:paraId="198772C5">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0.0156</w:t>
            </w:r>
          </w:p>
        </w:tc>
        <w:tc>
          <w:tcPr>
            <w:tcW w:w="900" w:type="dxa"/>
            <w:tcBorders>
              <w:top w:val="nil"/>
              <w:left w:val="nil"/>
              <w:bottom w:val="nil"/>
              <w:right w:val="nil"/>
            </w:tcBorders>
            <w:shd w:val="clear" w:color="auto" w:fill="FFFFFF"/>
            <w:vAlign w:val="center"/>
          </w:tcPr>
          <w:p w14:paraId="6DBAF0C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0.0140</w:t>
            </w:r>
          </w:p>
        </w:tc>
        <w:tc>
          <w:tcPr>
            <w:tcW w:w="1708" w:type="dxa"/>
            <w:tcBorders>
              <w:top w:val="nil"/>
              <w:left w:val="nil"/>
              <w:bottom w:val="nil"/>
              <w:right w:val="nil"/>
            </w:tcBorders>
            <w:shd w:val="clear" w:color="auto" w:fill="FFFFFF"/>
            <w:vAlign w:val="center"/>
          </w:tcPr>
          <w:p w14:paraId="3D9ED53B">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−0.0161 to 0.0473</w:t>
            </w:r>
          </w:p>
        </w:tc>
        <w:tc>
          <w:tcPr>
            <w:tcW w:w="720" w:type="dxa"/>
            <w:tcBorders>
              <w:top w:val="nil"/>
              <w:left w:val="nil"/>
              <w:bottom w:val="nil"/>
              <w:right w:val="nil"/>
            </w:tcBorders>
            <w:shd w:val="clear" w:color="auto" w:fill="FFFFFF"/>
            <w:vAlign w:val="center"/>
          </w:tcPr>
          <w:p w14:paraId="2F30F591">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1.114</w:t>
            </w:r>
          </w:p>
        </w:tc>
        <w:tc>
          <w:tcPr>
            <w:tcW w:w="1166" w:type="dxa"/>
            <w:tcBorders>
              <w:top w:val="nil"/>
              <w:left w:val="nil"/>
              <w:bottom w:val="nil"/>
              <w:right w:val="nil"/>
            </w:tcBorders>
            <w:shd w:val="clear" w:color="auto" w:fill="FFFFFF"/>
            <w:vAlign w:val="center"/>
          </w:tcPr>
          <w:p w14:paraId="00B6C51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0.294025</w:t>
            </w:r>
          </w:p>
        </w:tc>
        <w:tc>
          <w:tcPr>
            <w:tcW w:w="1224" w:type="dxa"/>
            <w:tcBorders>
              <w:top w:val="nil"/>
              <w:left w:val="nil"/>
              <w:bottom w:val="nil"/>
              <w:right w:val="nil"/>
            </w:tcBorders>
            <w:shd w:val="clear" w:color="auto" w:fill="FFFFFF"/>
            <w:vAlign w:val="center"/>
          </w:tcPr>
          <w:p w14:paraId="413DCA6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1.000000</w:t>
            </w:r>
          </w:p>
        </w:tc>
        <w:tc>
          <w:tcPr>
            <w:tcW w:w="691" w:type="dxa"/>
            <w:tcBorders>
              <w:top w:val="nil"/>
              <w:left w:val="nil"/>
              <w:bottom w:val="nil"/>
              <w:right w:val="nil"/>
            </w:tcBorders>
            <w:shd w:val="clear" w:color="auto" w:fill="FFFFFF"/>
            <w:vAlign w:val="center"/>
          </w:tcPr>
          <w:p w14:paraId="45B1698B">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1B0DC75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336E80C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06C8C81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SDQ</w:t>
            </w:r>
          </w:p>
        </w:tc>
        <w:tc>
          <w:tcPr>
            <w:tcW w:w="733" w:type="dxa"/>
            <w:tcBorders>
              <w:top w:val="nil"/>
              <w:left w:val="nil"/>
              <w:bottom w:val="nil"/>
              <w:right w:val="nil"/>
            </w:tcBorders>
            <w:shd w:val="clear" w:color="auto" w:fill="FFFFFF"/>
            <w:vAlign w:val="center"/>
          </w:tcPr>
          <w:p w14:paraId="48572623">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ISI</w:t>
            </w:r>
          </w:p>
        </w:tc>
        <w:tc>
          <w:tcPr>
            <w:tcW w:w="742" w:type="dxa"/>
            <w:tcBorders>
              <w:top w:val="nil"/>
              <w:left w:val="nil"/>
              <w:bottom w:val="nil"/>
              <w:right w:val="nil"/>
            </w:tcBorders>
            <w:shd w:val="clear" w:color="auto" w:fill="FFFFFF"/>
            <w:vAlign w:val="center"/>
          </w:tcPr>
          <w:p w14:paraId="1CACDCB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0.0044</w:t>
            </w:r>
          </w:p>
        </w:tc>
        <w:tc>
          <w:tcPr>
            <w:tcW w:w="900" w:type="dxa"/>
            <w:tcBorders>
              <w:top w:val="nil"/>
              <w:left w:val="nil"/>
              <w:bottom w:val="nil"/>
              <w:right w:val="nil"/>
            </w:tcBorders>
            <w:shd w:val="clear" w:color="auto" w:fill="FFFFFF"/>
            <w:vAlign w:val="center"/>
          </w:tcPr>
          <w:p w14:paraId="5CDD2DE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0.0171</w:t>
            </w:r>
          </w:p>
        </w:tc>
        <w:tc>
          <w:tcPr>
            <w:tcW w:w="1708" w:type="dxa"/>
            <w:tcBorders>
              <w:top w:val="nil"/>
              <w:left w:val="nil"/>
              <w:bottom w:val="nil"/>
              <w:right w:val="nil"/>
            </w:tcBorders>
            <w:shd w:val="clear" w:color="auto" w:fill="FFFFFF"/>
            <w:vAlign w:val="center"/>
          </w:tcPr>
          <w:p w14:paraId="1D5D6B7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−0.0343 to 0.0431</w:t>
            </w:r>
          </w:p>
        </w:tc>
        <w:tc>
          <w:tcPr>
            <w:tcW w:w="720" w:type="dxa"/>
            <w:tcBorders>
              <w:top w:val="nil"/>
              <w:left w:val="nil"/>
              <w:bottom w:val="nil"/>
              <w:right w:val="nil"/>
            </w:tcBorders>
            <w:shd w:val="clear" w:color="auto" w:fill="FFFFFF"/>
            <w:vAlign w:val="center"/>
          </w:tcPr>
          <w:p w14:paraId="0BD2F37D">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0.257</w:t>
            </w:r>
          </w:p>
        </w:tc>
        <w:tc>
          <w:tcPr>
            <w:tcW w:w="1166" w:type="dxa"/>
            <w:tcBorders>
              <w:top w:val="nil"/>
              <w:left w:val="nil"/>
              <w:bottom w:val="nil"/>
              <w:right w:val="nil"/>
            </w:tcBorders>
            <w:shd w:val="clear" w:color="auto" w:fill="FFFFFF"/>
            <w:vAlign w:val="center"/>
          </w:tcPr>
          <w:p w14:paraId="4FDBA54F">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0.803027</w:t>
            </w:r>
          </w:p>
        </w:tc>
        <w:tc>
          <w:tcPr>
            <w:tcW w:w="1224" w:type="dxa"/>
            <w:tcBorders>
              <w:top w:val="nil"/>
              <w:left w:val="nil"/>
              <w:bottom w:val="nil"/>
              <w:right w:val="nil"/>
            </w:tcBorders>
            <w:shd w:val="clear" w:color="auto" w:fill="FFFFFF"/>
            <w:vAlign w:val="center"/>
          </w:tcPr>
          <w:p w14:paraId="1E09BD1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1.000000</w:t>
            </w:r>
          </w:p>
        </w:tc>
        <w:tc>
          <w:tcPr>
            <w:tcW w:w="691" w:type="dxa"/>
            <w:tcBorders>
              <w:top w:val="nil"/>
              <w:left w:val="nil"/>
              <w:bottom w:val="nil"/>
              <w:right w:val="nil"/>
            </w:tcBorders>
            <w:shd w:val="clear" w:color="auto" w:fill="FFFFFF"/>
            <w:vAlign w:val="center"/>
          </w:tcPr>
          <w:p w14:paraId="066E108E">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4D1416C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30579DC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4F1EE513">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SDQ</w:t>
            </w:r>
          </w:p>
        </w:tc>
        <w:tc>
          <w:tcPr>
            <w:tcW w:w="733" w:type="dxa"/>
            <w:tcBorders>
              <w:top w:val="nil"/>
              <w:left w:val="nil"/>
              <w:bottom w:val="nil"/>
              <w:right w:val="nil"/>
            </w:tcBorders>
            <w:shd w:val="clear" w:color="auto" w:fill="FFFFFF"/>
            <w:vAlign w:val="center"/>
          </w:tcPr>
          <w:p w14:paraId="3772F98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ACT</w:t>
            </w:r>
          </w:p>
        </w:tc>
        <w:tc>
          <w:tcPr>
            <w:tcW w:w="742" w:type="dxa"/>
            <w:tcBorders>
              <w:top w:val="nil"/>
              <w:left w:val="nil"/>
              <w:bottom w:val="nil"/>
              <w:right w:val="nil"/>
            </w:tcBorders>
            <w:shd w:val="clear" w:color="auto" w:fill="FFFFFF"/>
            <w:vAlign w:val="center"/>
          </w:tcPr>
          <w:p w14:paraId="6D82154C">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0.0620</w:t>
            </w:r>
          </w:p>
        </w:tc>
        <w:tc>
          <w:tcPr>
            <w:tcW w:w="900" w:type="dxa"/>
            <w:tcBorders>
              <w:top w:val="nil"/>
              <w:left w:val="nil"/>
              <w:bottom w:val="nil"/>
              <w:right w:val="nil"/>
            </w:tcBorders>
            <w:shd w:val="clear" w:color="auto" w:fill="FFFFFF"/>
            <w:vAlign w:val="center"/>
          </w:tcPr>
          <w:p w14:paraId="5920703F">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0.0089</w:t>
            </w:r>
          </w:p>
        </w:tc>
        <w:tc>
          <w:tcPr>
            <w:tcW w:w="1708" w:type="dxa"/>
            <w:tcBorders>
              <w:top w:val="nil"/>
              <w:left w:val="nil"/>
              <w:bottom w:val="nil"/>
              <w:right w:val="nil"/>
            </w:tcBorders>
            <w:shd w:val="clear" w:color="auto" w:fill="FFFFFF"/>
            <w:vAlign w:val="center"/>
          </w:tcPr>
          <w:p w14:paraId="28D1400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0.0418 to 0.0822</w:t>
            </w:r>
          </w:p>
        </w:tc>
        <w:tc>
          <w:tcPr>
            <w:tcW w:w="720" w:type="dxa"/>
            <w:tcBorders>
              <w:top w:val="nil"/>
              <w:left w:val="nil"/>
              <w:bottom w:val="nil"/>
              <w:right w:val="nil"/>
            </w:tcBorders>
            <w:shd w:val="clear" w:color="auto" w:fill="FFFFFF"/>
            <w:vAlign w:val="center"/>
          </w:tcPr>
          <w:p w14:paraId="4665A231">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6.951</w:t>
            </w:r>
          </w:p>
        </w:tc>
        <w:tc>
          <w:tcPr>
            <w:tcW w:w="1166" w:type="dxa"/>
            <w:tcBorders>
              <w:top w:val="nil"/>
              <w:left w:val="nil"/>
              <w:bottom w:val="nil"/>
              <w:right w:val="nil"/>
            </w:tcBorders>
            <w:shd w:val="clear" w:color="auto" w:fill="FFFFFF"/>
            <w:vAlign w:val="center"/>
          </w:tcPr>
          <w:p w14:paraId="131542FB">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6.68e-05</w:t>
            </w:r>
          </w:p>
        </w:tc>
        <w:tc>
          <w:tcPr>
            <w:tcW w:w="1224" w:type="dxa"/>
            <w:tcBorders>
              <w:top w:val="nil"/>
              <w:left w:val="nil"/>
              <w:bottom w:val="nil"/>
              <w:right w:val="nil"/>
            </w:tcBorders>
            <w:shd w:val="clear" w:color="auto" w:fill="FFFFFF"/>
            <w:vAlign w:val="center"/>
          </w:tcPr>
          <w:p w14:paraId="38BB9FC3">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0.002003</w:t>
            </w:r>
          </w:p>
        </w:tc>
        <w:tc>
          <w:tcPr>
            <w:tcW w:w="691" w:type="dxa"/>
            <w:tcBorders>
              <w:top w:val="nil"/>
              <w:left w:val="nil"/>
              <w:bottom w:val="nil"/>
              <w:right w:val="nil"/>
            </w:tcBorders>
            <w:shd w:val="clear" w:color="auto" w:fill="FFFFFF"/>
            <w:vAlign w:val="center"/>
          </w:tcPr>
          <w:p w14:paraId="2BFBD11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22DBCBC3">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12EE0D6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5DA0A5A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DIET</w:t>
            </w:r>
          </w:p>
        </w:tc>
        <w:tc>
          <w:tcPr>
            <w:tcW w:w="733" w:type="dxa"/>
            <w:tcBorders>
              <w:top w:val="nil"/>
              <w:left w:val="nil"/>
              <w:bottom w:val="nil"/>
              <w:right w:val="nil"/>
            </w:tcBorders>
            <w:shd w:val="clear" w:color="auto" w:fill="FFFFFF"/>
            <w:vAlign w:val="center"/>
          </w:tcPr>
          <w:p w14:paraId="50E05B7C">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CIAS</w:t>
            </w:r>
          </w:p>
        </w:tc>
        <w:tc>
          <w:tcPr>
            <w:tcW w:w="742" w:type="dxa"/>
            <w:tcBorders>
              <w:top w:val="nil"/>
              <w:left w:val="nil"/>
              <w:bottom w:val="nil"/>
              <w:right w:val="nil"/>
            </w:tcBorders>
            <w:shd w:val="clear" w:color="auto" w:fill="FFFFFF"/>
            <w:vAlign w:val="center"/>
          </w:tcPr>
          <w:p w14:paraId="3B93311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0.0731</w:t>
            </w:r>
          </w:p>
        </w:tc>
        <w:tc>
          <w:tcPr>
            <w:tcW w:w="900" w:type="dxa"/>
            <w:tcBorders>
              <w:top w:val="nil"/>
              <w:left w:val="nil"/>
              <w:bottom w:val="nil"/>
              <w:right w:val="nil"/>
            </w:tcBorders>
            <w:shd w:val="clear" w:color="auto" w:fill="FFFFFF"/>
            <w:vAlign w:val="center"/>
          </w:tcPr>
          <w:p w14:paraId="612EDE6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0.0121</w:t>
            </w:r>
          </w:p>
        </w:tc>
        <w:tc>
          <w:tcPr>
            <w:tcW w:w="1708" w:type="dxa"/>
            <w:tcBorders>
              <w:top w:val="nil"/>
              <w:left w:val="nil"/>
              <w:bottom w:val="nil"/>
              <w:right w:val="nil"/>
            </w:tcBorders>
            <w:shd w:val="clear" w:color="auto" w:fill="FFFFFF"/>
            <w:vAlign w:val="center"/>
          </w:tcPr>
          <w:p w14:paraId="651D322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0.0457 to 0.1004</w:t>
            </w:r>
          </w:p>
        </w:tc>
        <w:tc>
          <w:tcPr>
            <w:tcW w:w="720" w:type="dxa"/>
            <w:tcBorders>
              <w:top w:val="nil"/>
              <w:left w:val="nil"/>
              <w:bottom w:val="nil"/>
              <w:right w:val="nil"/>
            </w:tcBorders>
            <w:shd w:val="clear" w:color="auto" w:fill="FFFFFF"/>
            <w:vAlign w:val="center"/>
          </w:tcPr>
          <w:p w14:paraId="085AD18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6.048</w:t>
            </w:r>
          </w:p>
        </w:tc>
        <w:tc>
          <w:tcPr>
            <w:tcW w:w="1166" w:type="dxa"/>
            <w:tcBorders>
              <w:top w:val="nil"/>
              <w:left w:val="nil"/>
              <w:bottom w:val="nil"/>
              <w:right w:val="nil"/>
            </w:tcBorders>
            <w:shd w:val="clear" w:color="auto" w:fill="FFFFFF"/>
            <w:vAlign w:val="center"/>
          </w:tcPr>
          <w:p w14:paraId="7187AA7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0.000191</w:t>
            </w:r>
          </w:p>
        </w:tc>
        <w:tc>
          <w:tcPr>
            <w:tcW w:w="1224" w:type="dxa"/>
            <w:tcBorders>
              <w:top w:val="nil"/>
              <w:left w:val="nil"/>
              <w:bottom w:val="nil"/>
              <w:right w:val="nil"/>
            </w:tcBorders>
            <w:shd w:val="clear" w:color="auto" w:fill="FFFFFF"/>
            <w:vAlign w:val="center"/>
          </w:tcPr>
          <w:p w14:paraId="1DE39DD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0.005732</w:t>
            </w:r>
          </w:p>
        </w:tc>
        <w:tc>
          <w:tcPr>
            <w:tcW w:w="691" w:type="dxa"/>
            <w:tcBorders>
              <w:top w:val="nil"/>
              <w:left w:val="nil"/>
              <w:bottom w:val="nil"/>
              <w:right w:val="nil"/>
            </w:tcBorders>
            <w:shd w:val="clear" w:color="auto" w:fill="FFFFFF"/>
            <w:vAlign w:val="center"/>
          </w:tcPr>
          <w:p w14:paraId="3CB1DB7C">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148BD05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4E9D582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58425AEF">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DIET</w:t>
            </w:r>
          </w:p>
        </w:tc>
        <w:tc>
          <w:tcPr>
            <w:tcW w:w="733" w:type="dxa"/>
            <w:tcBorders>
              <w:top w:val="nil"/>
              <w:left w:val="nil"/>
              <w:bottom w:val="nil"/>
              <w:right w:val="nil"/>
            </w:tcBorders>
            <w:shd w:val="clear" w:color="auto" w:fill="FFFFFF"/>
            <w:vAlign w:val="center"/>
          </w:tcPr>
          <w:p w14:paraId="7D049A6B">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DASS</w:t>
            </w:r>
          </w:p>
        </w:tc>
        <w:tc>
          <w:tcPr>
            <w:tcW w:w="742" w:type="dxa"/>
            <w:tcBorders>
              <w:top w:val="nil"/>
              <w:left w:val="nil"/>
              <w:bottom w:val="nil"/>
              <w:right w:val="nil"/>
            </w:tcBorders>
            <w:shd w:val="clear" w:color="auto" w:fill="FFFFFF"/>
            <w:vAlign w:val="center"/>
          </w:tcPr>
          <w:p w14:paraId="3170306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0.0585</w:t>
            </w:r>
          </w:p>
        </w:tc>
        <w:tc>
          <w:tcPr>
            <w:tcW w:w="900" w:type="dxa"/>
            <w:tcBorders>
              <w:top w:val="nil"/>
              <w:left w:val="nil"/>
              <w:bottom w:val="nil"/>
              <w:right w:val="nil"/>
            </w:tcBorders>
            <w:shd w:val="clear" w:color="auto" w:fill="FFFFFF"/>
            <w:vAlign w:val="center"/>
          </w:tcPr>
          <w:p w14:paraId="6A4AEC3C">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0.0217</w:t>
            </w:r>
          </w:p>
        </w:tc>
        <w:tc>
          <w:tcPr>
            <w:tcW w:w="1708" w:type="dxa"/>
            <w:tcBorders>
              <w:top w:val="nil"/>
              <w:left w:val="nil"/>
              <w:bottom w:val="nil"/>
              <w:right w:val="nil"/>
            </w:tcBorders>
            <w:shd w:val="clear" w:color="auto" w:fill="FFFFFF"/>
            <w:vAlign w:val="center"/>
          </w:tcPr>
          <w:p w14:paraId="781886D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0.0095 to 0.1076</w:t>
            </w:r>
          </w:p>
        </w:tc>
        <w:tc>
          <w:tcPr>
            <w:tcW w:w="720" w:type="dxa"/>
            <w:tcBorders>
              <w:top w:val="nil"/>
              <w:left w:val="nil"/>
              <w:bottom w:val="nil"/>
              <w:right w:val="nil"/>
            </w:tcBorders>
            <w:shd w:val="clear" w:color="auto" w:fill="FFFFFF"/>
            <w:vAlign w:val="center"/>
          </w:tcPr>
          <w:p w14:paraId="6A0B065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2.698</w:t>
            </w:r>
          </w:p>
        </w:tc>
        <w:tc>
          <w:tcPr>
            <w:tcW w:w="1166" w:type="dxa"/>
            <w:tcBorders>
              <w:top w:val="nil"/>
              <w:left w:val="nil"/>
              <w:bottom w:val="nil"/>
              <w:right w:val="nil"/>
            </w:tcBorders>
            <w:shd w:val="clear" w:color="auto" w:fill="FFFFFF"/>
            <w:vAlign w:val="center"/>
          </w:tcPr>
          <w:p w14:paraId="71F399E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0.024461</w:t>
            </w:r>
          </w:p>
        </w:tc>
        <w:tc>
          <w:tcPr>
            <w:tcW w:w="1224" w:type="dxa"/>
            <w:tcBorders>
              <w:top w:val="nil"/>
              <w:left w:val="nil"/>
              <w:bottom w:val="nil"/>
              <w:right w:val="nil"/>
            </w:tcBorders>
            <w:shd w:val="clear" w:color="auto" w:fill="FFFFFF"/>
            <w:vAlign w:val="center"/>
          </w:tcPr>
          <w:p w14:paraId="3D9A4AEC">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0.733816</w:t>
            </w:r>
          </w:p>
        </w:tc>
        <w:tc>
          <w:tcPr>
            <w:tcW w:w="691" w:type="dxa"/>
            <w:tcBorders>
              <w:top w:val="nil"/>
              <w:left w:val="nil"/>
              <w:bottom w:val="nil"/>
              <w:right w:val="nil"/>
            </w:tcBorders>
            <w:shd w:val="clear" w:color="auto" w:fill="FFFFFF"/>
            <w:vAlign w:val="center"/>
          </w:tcPr>
          <w:p w14:paraId="127839C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46ED6C1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368D739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77E04BB0">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DIET</w:t>
            </w:r>
          </w:p>
        </w:tc>
        <w:tc>
          <w:tcPr>
            <w:tcW w:w="733" w:type="dxa"/>
            <w:tcBorders>
              <w:top w:val="nil"/>
              <w:left w:val="nil"/>
              <w:bottom w:val="nil"/>
              <w:right w:val="nil"/>
            </w:tcBorders>
            <w:shd w:val="clear" w:color="auto" w:fill="FFFFFF"/>
            <w:vAlign w:val="center"/>
          </w:tcPr>
          <w:p w14:paraId="37EA9AA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SDQ</w:t>
            </w:r>
          </w:p>
        </w:tc>
        <w:tc>
          <w:tcPr>
            <w:tcW w:w="742" w:type="dxa"/>
            <w:tcBorders>
              <w:top w:val="nil"/>
              <w:left w:val="nil"/>
              <w:bottom w:val="nil"/>
              <w:right w:val="nil"/>
            </w:tcBorders>
            <w:shd w:val="clear" w:color="auto" w:fill="FFFFFF"/>
            <w:vAlign w:val="center"/>
          </w:tcPr>
          <w:p w14:paraId="5050895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0.0474</w:t>
            </w:r>
          </w:p>
        </w:tc>
        <w:tc>
          <w:tcPr>
            <w:tcW w:w="900" w:type="dxa"/>
            <w:tcBorders>
              <w:top w:val="nil"/>
              <w:left w:val="nil"/>
              <w:bottom w:val="nil"/>
              <w:right w:val="nil"/>
            </w:tcBorders>
            <w:shd w:val="clear" w:color="auto" w:fill="FFFFFF"/>
            <w:vAlign w:val="center"/>
          </w:tcPr>
          <w:p w14:paraId="57CE8C0D">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0.0146</w:t>
            </w:r>
          </w:p>
        </w:tc>
        <w:tc>
          <w:tcPr>
            <w:tcW w:w="1708" w:type="dxa"/>
            <w:tcBorders>
              <w:top w:val="nil"/>
              <w:left w:val="nil"/>
              <w:bottom w:val="nil"/>
              <w:right w:val="nil"/>
            </w:tcBorders>
            <w:shd w:val="clear" w:color="auto" w:fill="FFFFFF"/>
            <w:vAlign w:val="center"/>
          </w:tcPr>
          <w:p w14:paraId="7349D86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0.0144 to 0.0805</w:t>
            </w:r>
          </w:p>
        </w:tc>
        <w:tc>
          <w:tcPr>
            <w:tcW w:w="720" w:type="dxa"/>
            <w:tcBorders>
              <w:top w:val="nil"/>
              <w:left w:val="nil"/>
              <w:bottom w:val="nil"/>
              <w:right w:val="nil"/>
            </w:tcBorders>
            <w:shd w:val="clear" w:color="auto" w:fill="FFFFFF"/>
            <w:vAlign w:val="center"/>
          </w:tcPr>
          <w:p w14:paraId="24A3194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3.244</w:t>
            </w:r>
          </w:p>
        </w:tc>
        <w:tc>
          <w:tcPr>
            <w:tcW w:w="1166" w:type="dxa"/>
            <w:tcBorders>
              <w:top w:val="nil"/>
              <w:left w:val="nil"/>
              <w:bottom w:val="nil"/>
              <w:right w:val="nil"/>
            </w:tcBorders>
            <w:shd w:val="clear" w:color="auto" w:fill="FFFFFF"/>
            <w:vAlign w:val="center"/>
          </w:tcPr>
          <w:p w14:paraId="269AAD4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0.010089</w:t>
            </w:r>
          </w:p>
        </w:tc>
        <w:tc>
          <w:tcPr>
            <w:tcW w:w="1224" w:type="dxa"/>
            <w:tcBorders>
              <w:top w:val="nil"/>
              <w:left w:val="nil"/>
              <w:bottom w:val="nil"/>
              <w:right w:val="nil"/>
            </w:tcBorders>
            <w:shd w:val="clear" w:color="auto" w:fill="FFFFFF"/>
            <w:vAlign w:val="center"/>
          </w:tcPr>
          <w:p w14:paraId="2E5F216F">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0.302674</w:t>
            </w:r>
          </w:p>
        </w:tc>
        <w:tc>
          <w:tcPr>
            <w:tcW w:w="691" w:type="dxa"/>
            <w:tcBorders>
              <w:top w:val="nil"/>
              <w:left w:val="nil"/>
              <w:bottom w:val="nil"/>
              <w:right w:val="nil"/>
            </w:tcBorders>
            <w:shd w:val="clear" w:color="auto" w:fill="FFFFFF"/>
            <w:vAlign w:val="center"/>
          </w:tcPr>
          <w:p w14:paraId="20BB928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2A7BEA6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6442E41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5C303E3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DIET</w:t>
            </w:r>
          </w:p>
        </w:tc>
        <w:tc>
          <w:tcPr>
            <w:tcW w:w="733" w:type="dxa"/>
            <w:tcBorders>
              <w:top w:val="nil"/>
              <w:left w:val="nil"/>
              <w:bottom w:val="nil"/>
              <w:right w:val="nil"/>
            </w:tcBorders>
            <w:shd w:val="clear" w:color="auto" w:fill="FFFFFF"/>
            <w:vAlign w:val="center"/>
          </w:tcPr>
          <w:p w14:paraId="4593F6EA">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ISI</w:t>
            </w:r>
          </w:p>
        </w:tc>
        <w:tc>
          <w:tcPr>
            <w:tcW w:w="742" w:type="dxa"/>
            <w:tcBorders>
              <w:top w:val="nil"/>
              <w:left w:val="nil"/>
              <w:bottom w:val="nil"/>
              <w:right w:val="nil"/>
            </w:tcBorders>
            <w:shd w:val="clear" w:color="auto" w:fill="FFFFFF"/>
            <w:vAlign w:val="center"/>
          </w:tcPr>
          <w:p w14:paraId="1EAC8FF0">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0.0613</w:t>
            </w:r>
          </w:p>
        </w:tc>
        <w:tc>
          <w:tcPr>
            <w:tcW w:w="900" w:type="dxa"/>
            <w:tcBorders>
              <w:top w:val="nil"/>
              <w:left w:val="nil"/>
              <w:bottom w:val="nil"/>
              <w:right w:val="nil"/>
            </w:tcBorders>
            <w:shd w:val="clear" w:color="auto" w:fill="FFFFFF"/>
            <w:vAlign w:val="center"/>
          </w:tcPr>
          <w:p w14:paraId="633569AB">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0.0180</w:t>
            </w:r>
          </w:p>
        </w:tc>
        <w:tc>
          <w:tcPr>
            <w:tcW w:w="1708" w:type="dxa"/>
            <w:tcBorders>
              <w:top w:val="nil"/>
              <w:left w:val="nil"/>
              <w:bottom w:val="nil"/>
              <w:right w:val="nil"/>
            </w:tcBorders>
            <w:shd w:val="clear" w:color="auto" w:fill="FFFFFF"/>
            <w:vAlign w:val="center"/>
          </w:tcPr>
          <w:p w14:paraId="4BAE860F">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0.0206 to 0.1020</w:t>
            </w:r>
          </w:p>
        </w:tc>
        <w:tc>
          <w:tcPr>
            <w:tcW w:w="720" w:type="dxa"/>
            <w:tcBorders>
              <w:top w:val="nil"/>
              <w:left w:val="nil"/>
              <w:bottom w:val="nil"/>
              <w:right w:val="nil"/>
            </w:tcBorders>
            <w:shd w:val="clear" w:color="auto" w:fill="FFFFFF"/>
            <w:vAlign w:val="center"/>
          </w:tcPr>
          <w:p w14:paraId="1C6EA290">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3.409</w:t>
            </w:r>
          </w:p>
        </w:tc>
        <w:tc>
          <w:tcPr>
            <w:tcW w:w="1166" w:type="dxa"/>
            <w:tcBorders>
              <w:top w:val="nil"/>
              <w:left w:val="nil"/>
              <w:bottom w:val="nil"/>
              <w:right w:val="nil"/>
            </w:tcBorders>
            <w:shd w:val="clear" w:color="auto" w:fill="FFFFFF"/>
            <w:vAlign w:val="center"/>
          </w:tcPr>
          <w:p w14:paraId="7F7B05A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0.007765</w:t>
            </w:r>
          </w:p>
        </w:tc>
        <w:tc>
          <w:tcPr>
            <w:tcW w:w="1224" w:type="dxa"/>
            <w:tcBorders>
              <w:top w:val="nil"/>
              <w:left w:val="nil"/>
              <w:bottom w:val="nil"/>
              <w:right w:val="nil"/>
            </w:tcBorders>
            <w:shd w:val="clear" w:color="auto" w:fill="FFFFFF"/>
            <w:vAlign w:val="center"/>
          </w:tcPr>
          <w:p w14:paraId="4AA8B166">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0.232941</w:t>
            </w:r>
          </w:p>
        </w:tc>
        <w:tc>
          <w:tcPr>
            <w:tcW w:w="691" w:type="dxa"/>
            <w:tcBorders>
              <w:top w:val="nil"/>
              <w:left w:val="nil"/>
              <w:bottom w:val="nil"/>
              <w:right w:val="nil"/>
            </w:tcBorders>
            <w:shd w:val="clear" w:color="auto" w:fill="FFFFFF"/>
            <w:vAlign w:val="center"/>
          </w:tcPr>
          <w:p w14:paraId="0A73B857">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728FD375">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632A7C1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651B1D0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DIET</w:t>
            </w:r>
          </w:p>
        </w:tc>
        <w:tc>
          <w:tcPr>
            <w:tcW w:w="733" w:type="dxa"/>
            <w:tcBorders>
              <w:top w:val="nil"/>
              <w:left w:val="nil"/>
              <w:bottom w:val="nil"/>
              <w:right w:val="nil"/>
            </w:tcBorders>
            <w:shd w:val="clear" w:color="auto" w:fill="FFFFFF"/>
            <w:vAlign w:val="center"/>
          </w:tcPr>
          <w:p w14:paraId="3B3AF061">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ACT</w:t>
            </w:r>
          </w:p>
        </w:tc>
        <w:tc>
          <w:tcPr>
            <w:tcW w:w="742" w:type="dxa"/>
            <w:tcBorders>
              <w:top w:val="nil"/>
              <w:left w:val="nil"/>
              <w:bottom w:val="nil"/>
              <w:right w:val="nil"/>
            </w:tcBorders>
            <w:shd w:val="clear" w:color="auto" w:fill="FFFFFF"/>
            <w:vAlign w:val="center"/>
          </w:tcPr>
          <w:p w14:paraId="41218225">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0.0516</w:t>
            </w:r>
          </w:p>
        </w:tc>
        <w:tc>
          <w:tcPr>
            <w:tcW w:w="900" w:type="dxa"/>
            <w:tcBorders>
              <w:top w:val="nil"/>
              <w:left w:val="nil"/>
              <w:bottom w:val="nil"/>
              <w:right w:val="nil"/>
            </w:tcBorders>
            <w:shd w:val="clear" w:color="auto" w:fill="FFFFFF"/>
            <w:vAlign w:val="center"/>
          </w:tcPr>
          <w:p w14:paraId="4F9026B3">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0.0168</w:t>
            </w:r>
          </w:p>
        </w:tc>
        <w:tc>
          <w:tcPr>
            <w:tcW w:w="1708" w:type="dxa"/>
            <w:tcBorders>
              <w:top w:val="nil"/>
              <w:left w:val="nil"/>
              <w:bottom w:val="nil"/>
              <w:right w:val="nil"/>
            </w:tcBorders>
            <w:shd w:val="clear" w:color="auto" w:fill="FFFFFF"/>
            <w:vAlign w:val="center"/>
          </w:tcPr>
          <w:p w14:paraId="6D092793">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0.0135 to 0.0896</w:t>
            </w:r>
          </w:p>
        </w:tc>
        <w:tc>
          <w:tcPr>
            <w:tcW w:w="720" w:type="dxa"/>
            <w:tcBorders>
              <w:top w:val="nil"/>
              <w:left w:val="nil"/>
              <w:bottom w:val="nil"/>
              <w:right w:val="nil"/>
            </w:tcBorders>
            <w:shd w:val="clear" w:color="auto" w:fill="FFFFFF"/>
            <w:vAlign w:val="center"/>
          </w:tcPr>
          <w:p w14:paraId="53A65505">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3.067</w:t>
            </w:r>
          </w:p>
        </w:tc>
        <w:tc>
          <w:tcPr>
            <w:tcW w:w="1166" w:type="dxa"/>
            <w:tcBorders>
              <w:top w:val="nil"/>
              <w:left w:val="nil"/>
              <w:bottom w:val="nil"/>
              <w:right w:val="nil"/>
            </w:tcBorders>
            <w:shd w:val="clear" w:color="auto" w:fill="FFFFFF"/>
            <w:vAlign w:val="center"/>
          </w:tcPr>
          <w:p w14:paraId="2D8B0C42">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0.013414</w:t>
            </w:r>
          </w:p>
        </w:tc>
        <w:tc>
          <w:tcPr>
            <w:tcW w:w="1224" w:type="dxa"/>
            <w:tcBorders>
              <w:top w:val="nil"/>
              <w:left w:val="nil"/>
              <w:bottom w:val="nil"/>
              <w:right w:val="nil"/>
            </w:tcBorders>
            <w:shd w:val="clear" w:color="auto" w:fill="FFFFFF"/>
            <w:vAlign w:val="center"/>
          </w:tcPr>
          <w:p w14:paraId="7BC43B48">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0.402430</w:t>
            </w:r>
          </w:p>
        </w:tc>
        <w:tc>
          <w:tcPr>
            <w:tcW w:w="691" w:type="dxa"/>
            <w:tcBorders>
              <w:top w:val="nil"/>
              <w:left w:val="nil"/>
              <w:bottom w:val="nil"/>
              <w:right w:val="nil"/>
            </w:tcBorders>
            <w:shd w:val="clear" w:color="auto" w:fill="FFFFFF"/>
            <w:vAlign w:val="center"/>
          </w:tcPr>
          <w:p w14:paraId="426BCA89">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79AD5834">
            <w:pPr>
              <w:spacing w:before="0" w:after="0" w:line="240" w:lineRule="auto"/>
              <w:jc w:val="center"/>
              <w:rPr>
                <w:rFonts w:hint="default" w:ascii="Arial" w:hAnsi="Arial" w:cs="Arial"/>
                <w:b w:val="0"/>
                <w:i w:val="0"/>
                <w:color w:val="08090C"/>
                <w:sz w:val="18"/>
                <w:szCs w:val="18"/>
              </w:rPr>
            </w:pPr>
            <w:r>
              <w:rPr>
                <w:rFonts w:hint="default" w:ascii="Arial" w:hAnsi="Arial" w:cs="Arial"/>
                <w:b w:val="0"/>
                <w:i w:val="0"/>
                <w:color w:val="08090C"/>
                <w:sz w:val="18"/>
                <w:szCs w:val="18"/>
              </w:rPr>
              <w:t>10</w:t>
            </w:r>
          </w:p>
        </w:tc>
      </w:tr>
      <w:tr w14:paraId="6B3FF78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991" w:type="dxa"/>
            <w:tcBorders>
              <w:top w:val="nil"/>
              <w:left w:val="nil"/>
              <w:bottom w:val="nil"/>
              <w:right w:val="nil"/>
            </w:tcBorders>
            <w:shd w:val="clear" w:color="auto" w:fill="FFFFFF"/>
            <w:vAlign w:val="center"/>
          </w:tcPr>
          <w:p w14:paraId="3979A389">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ISI</w:t>
            </w:r>
          </w:p>
        </w:tc>
        <w:tc>
          <w:tcPr>
            <w:tcW w:w="733" w:type="dxa"/>
            <w:tcBorders>
              <w:top w:val="nil"/>
              <w:left w:val="nil"/>
              <w:bottom w:val="nil"/>
              <w:right w:val="nil"/>
            </w:tcBorders>
            <w:shd w:val="clear" w:color="auto" w:fill="FFFFFF"/>
            <w:vAlign w:val="center"/>
          </w:tcPr>
          <w:p w14:paraId="3B1D238F">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CIAS</w:t>
            </w:r>
          </w:p>
        </w:tc>
        <w:tc>
          <w:tcPr>
            <w:tcW w:w="742" w:type="dxa"/>
            <w:tcBorders>
              <w:top w:val="nil"/>
              <w:left w:val="nil"/>
              <w:bottom w:val="nil"/>
              <w:right w:val="nil"/>
            </w:tcBorders>
            <w:shd w:val="clear" w:color="auto" w:fill="FFFFFF"/>
            <w:vAlign w:val="center"/>
          </w:tcPr>
          <w:p w14:paraId="51F04512">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0.0603</w:t>
            </w:r>
          </w:p>
        </w:tc>
        <w:tc>
          <w:tcPr>
            <w:tcW w:w="900" w:type="dxa"/>
            <w:tcBorders>
              <w:top w:val="nil"/>
              <w:left w:val="nil"/>
              <w:bottom w:val="nil"/>
              <w:right w:val="nil"/>
            </w:tcBorders>
            <w:shd w:val="clear" w:color="auto" w:fill="FFFFFF"/>
            <w:vAlign w:val="center"/>
          </w:tcPr>
          <w:p w14:paraId="4C4A9F4D">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0.0208</w:t>
            </w:r>
          </w:p>
        </w:tc>
        <w:tc>
          <w:tcPr>
            <w:tcW w:w="1708" w:type="dxa"/>
            <w:tcBorders>
              <w:top w:val="nil"/>
              <w:left w:val="nil"/>
              <w:bottom w:val="nil"/>
              <w:right w:val="nil"/>
            </w:tcBorders>
            <w:shd w:val="clear" w:color="auto" w:fill="FFFFFF"/>
            <w:vAlign w:val="center"/>
          </w:tcPr>
          <w:p w14:paraId="7AFB1CCE">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0.0133 to 0.1073</w:t>
            </w:r>
          </w:p>
        </w:tc>
        <w:tc>
          <w:tcPr>
            <w:tcW w:w="720" w:type="dxa"/>
            <w:tcBorders>
              <w:top w:val="nil"/>
              <w:left w:val="nil"/>
              <w:bottom w:val="nil"/>
              <w:right w:val="nil"/>
            </w:tcBorders>
            <w:shd w:val="clear" w:color="auto" w:fill="FFFFFF"/>
            <w:vAlign w:val="center"/>
          </w:tcPr>
          <w:p w14:paraId="30F4F701">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2.900</w:t>
            </w:r>
          </w:p>
        </w:tc>
        <w:tc>
          <w:tcPr>
            <w:tcW w:w="1166" w:type="dxa"/>
            <w:tcBorders>
              <w:top w:val="nil"/>
              <w:left w:val="nil"/>
              <w:bottom w:val="nil"/>
              <w:right w:val="nil"/>
            </w:tcBorders>
            <w:shd w:val="clear" w:color="auto" w:fill="FFFFFF"/>
            <w:vAlign w:val="center"/>
          </w:tcPr>
          <w:p w14:paraId="153F1B4F">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0.017590</w:t>
            </w:r>
          </w:p>
        </w:tc>
        <w:tc>
          <w:tcPr>
            <w:tcW w:w="1224" w:type="dxa"/>
            <w:tcBorders>
              <w:top w:val="nil"/>
              <w:left w:val="nil"/>
              <w:bottom w:val="nil"/>
              <w:right w:val="nil"/>
            </w:tcBorders>
            <w:shd w:val="clear" w:color="auto" w:fill="FFFFFF"/>
            <w:vAlign w:val="center"/>
          </w:tcPr>
          <w:p w14:paraId="042DDAC5">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0.527713</w:t>
            </w:r>
          </w:p>
        </w:tc>
        <w:tc>
          <w:tcPr>
            <w:tcW w:w="691" w:type="dxa"/>
            <w:tcBorders>
              <w:top w:val="nil"/>
              <w:left w:val="nil"/>
              <w:bottom w:val="nil"/>
              <w:right w:val="nil"/>
            </w:tcBorders>
            <w:shd w:val="clear" w:color="auto" w:fill="FFFFFF"/>
            <w:vAlign w:val="center"/>
          </w:tcPr>
          <w:p w14:paraId="1A190DD7">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6,092</w:t>
            </w:r>
          </w:p>
        </w:tc>
        <w:tc>
          <w:tcPr>
            <w:tcW w:w="792" w:type="dxa"/>
            <w:tcBorders>
              <w:top w:val="nil"/>
              <w:left w:val="nil"/>
              <w:bottom w:val="nil"/>
              <w:right w:val="nil"/>
            </w:tcBorders>
            <w:shd w:val="clear" w:color="auto" w:fill="FFFFFF"/>
            <w:vAlign w:val="center"/>
          </w:tcPr>
          <w:p w14:paraId="785E5DD9">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w:t>
            </w:r>
          </w:p>
        </w:tc>
      </w:tr>
      <w:tr w14:paraId="539DDB3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0" w:type="auto"/>
            <w:tcBorders>
              <w:top w:val="nil"/>
              <w:left w:val="nil"/>
              <w:bottom w:val="nil"/>
              <w:right w:val="nil"/>
            </w:tcBorders>
            <w:shd w:val="clear" w:color="auto" w:fill="FFFFFF"/>
            <w:vAlign w:val="center"/>
          </w:tcPr>
          <w:p w14:paraId="718B5829">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ISI</w:t>
            </w:r>
          </w:p>
        </w:tc>
        <w:tc>
          <w:tcPr>
            <w:tcW w:w="0" w:type="auto"/>
            <w:tcBorders>
              <w:top w:val="nil"/>
              <w:left w:val="nil"/>
              <w:bottom w:val="nil"/>
              <w:right w:val="nil"/>
            </w:tcBorders>
            <w:shd w:val="clear" w:color="auto" w:fill="FFFFFF"/>
            <w:vAlign w:val="center"/>
          </w:tcPr>
          <w:p w14:paraId="687A1C75">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DASS</w:t>
            </w:r>
          </w:p>
        </w:tc>
        <w:tc>
          <w:tcPr>
            <w:tcW w:w="0" w:type="auto"/>
            <w:tcBorders>
              <w:top w:val="nil"/>
              <w:left w:val="nil"/>
              <w:bottom w:val="nil"/>
              <w:right w:val="nil"/>
            </w:tcBorders>
            <w:shd w:val="clear" w:color="auto" w:fill="FFFFFF"/>
            <w:vAlign w:val="center"/>
          </w:tcPr>
          <w:p w14:paraId="7D7739BC">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0.1498</w:t>
            </w:r>
          </w:p>
        </w:tc>
        <w:tc>
          <w:tcPr>
            <w:tcW w:w="0" w:type="auto"/>
            <w:tcBorders>
              <w:top w:val="nil"/>
              <w:left w:val="nil"/>
              <w:bottom w:val="nil"/>
              <w:right w:val="nil"/>
            </w:tcBorders>
            <w:shd w:val="clear" w:color="auto" w:fill="FFFFFF"/>
            <w:vAlign w:val="center"/>
          </w:tcPr>
          <w:p w14:paraId="4E70D95C">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0.0171</w:t>
            </w:r>
          </w:p>
        </w:tc>
        <w:tc>
          <w:tcPr>
            <w:tcW w:w="0" w:type="auto"/>
            <w:tcBorders>
              <w:top w:val="nil"/>
              <w:left w:val="nil"/>
              <w:bottom w:val="nil"/>
              <w:right w:val="nil"/>
            </w:tcBorders>
            <w:shd w:val="clear" w:color="auto" w:fill="FFFFFF"/>
            <w:vAlign w:val="center"/>
          </w:tcPr>
          <w:p w14:paraId="1C142275">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0.1111 to 0.1885</w:t>
            </w:r>
          </w:p>
        </w:tc>
        <w:tc>
          <w:tcPr>
            <w:tcW w:w="0" w:type="auto"/>
            <w:tcBorders>
              <w:top w:val="nil"/>
              <w:left w:val="nil"/>
              <w:bottom w:val="nil"/>
              <w:right w:val="nil"/>
            </w:tcBorders>
            <w:shd w:val="clear" w:color="auto" w:fill="FFFFFF"/>
            <w:vAlign w:val="center"/>
          </w:tcPr>
          <w:p w14:paraId="1664DDBB">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8.757</w:t>
            </w:r>
          </w:p>
        </w:tc>
        <w:tc>
          <w:tcPr>
            <w:tcW w:w="0" w:type="auto"/>
            <w:tcBorders>
              <w:top w:val="nil"/>
              <w:left w:val="nil"/>
              <w:bottom w:val="nil"/>
              <w:right w:val="nil"/>
            </w:tcBorders>
            <w:shd w:val="clear" w:color="auto" w:fill="FFFFFF"/>
            <w:vAlign w:val="center"/>
          </w:tcPr>
          <w:p w14:paraId="10816EFF">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1.07e-05</w:t>
            </w:r>
          </w:p>
        </w:tc>
        <w:tc>
          <w:tcPr>
            <w:tcW w:w="0" w:type="auto"/>
            <w:tcBorders>
              <w:top w:val="nil"/>
              <w:left w:val="nil"/>
              <w:bottom w:val="nil"/>
              <w:right w:val="nil"/>
            </w:tcBorders>
            <w:shd w:val="clear" w:color="auto" w:fill="FFFFFF"/>
            <w:vAlign w:val="center"/>
          </w:tcPr>
          <w:p w14:paraId="0DC901BE">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0.000320</w:t>
            </w:r>
          </w:p>
        </w:tc>
        <w:tc>
          <w:tcPr>
            <w:tcW w:w="0" w:type="auto"/>
            <w:tcBorders>
              <w:top w:val="nil"/>
              <w:left w:val="nil"/>
              <w:bottom w:val="nil"/>
              <w:right w:val="nil"/>
            </w:tcBorders>
            <w:shd w:val="clear" w:color="auto" w:fill="FFFFFF"/>
            <w:vAlign w:val="center"/>
          </w:tcPr>
          <w:p w14:paraId="74BD785B">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6,092</w:t>
            </w:r>
          </w:p>
        </w:tc>
        <w:tc>
          <w:tcPr>
            <w:tcW w:w="0" w:type="auto"/>
            <w:tcBorders>
              <w:top w:val="nil"/>
              <w:left w:val="nil"/>
              <w:bottom w:val="nil"/>
              <w:right w:val="nil"/>
            </w:tcBorders>
            <w:shd w:val="clear" w:color="auto" w:fill="FFFFFF"/>
            <w:vAlign w:val="center"/>
          </w:tcPr>
          <w:p w14:paraId="3B1AE59A">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w:t>
            </w:r>
          </w:p>
        </w:tc>
      </w:tr>
      <w:tr w14:paraId="4BC0F56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0" w:type="auto"/>
            <w:tcBorders>
              <w:top w:val="nil"/>
              <w:left w:val="nil"/>
              <w:bottom w:val="nil"/>
              <w:right w:val="nil"/>
            </w:tcBorders>
            <w:shd w:val="clear" w:color="auto" w:fill="FFFFFF"/>
            <w:vAlign w:val="center"/>
          </w:tcPr>
          <w:p w14:paraId="188D5910">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ISI</w:t>
            </w:r>
          </w:p>
        </w:tc>
        <w:tc>
          <w:tcPr>
            <w:tcW w:w="0" w:type="auto"/>
            <w:tcBorders>
              <w:top w:val="nil"/>
              <w:left w:val="nil"/>
              <w:bottom w:val="nil"/>
              <w:right w:val="nil"/>
            </w:tcBorders>
            <w:shd w:val="clear" w:color="auto" w:fill="FFFFFF"/>
            <w:vAlign w:val="center"/>
          </w:tcPr>
          <w:p w14:paraId="0E16A31B">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SDQ</w:t>
            </w:r>
          </w:p>
        </w:tc>
        <w:tc>
          <w:tcPr>
            <w:tcW w:w="0" w:type="auto"/>
            <w:tcBorders>
              <w:top w:val="nil"/>
              <w:left w:val="nil"/>
              <w:bottom w:val="nil"/>
              <w:right w:val="nil"/>
            </w:tcBorders>
            <w:shd w:val="clear" w:color="auto" w:fill="FFFFFF"/>
            <w:vAlign w:val="center"/>
          </w:tcPr>
          <w:p w14:paraId="4E789596">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0.0702</w:t>
            </w:r>
          </w:p>
        </w:tc>
        <w:tc>
          <w:tcPr>
            <w:tcW w:w="0" w:type="auto"/>
            <w:tcBorders>
              <w:top w:val="nil"/>
              <w:left w:val="nil"/>
              <w:bottom w:val="nil"/>
              <w:right w:val="nil"/>
            </w:tcBorders>
            <w:shd w:val="clear" w:color="auto" w:fill="FFFFFF"/>
            <w:vAlign w:val="center"/>
          </w:tcPr>
          <w:p w14:paraId="2CF10AF4">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0.0140</w:t>
            </w:r>
          </w:p>
        </w:tc>
        <w:tc>
          <w:tcPr>
            <w:tcW w:w="0" w:type="auto"/>
            <w:tcBorders>
              <w:top w:val="nil"/>
              <w:left w:val="nil"/>
              <w:bottom w:val="nil"/>
              <w:right w:val="nil"/>
            </w:tcBorders>
            <w:shd w:val="clear" w:color="auto" w:fill="FFFFFF"/>
            <w:vAlign w:val="center"/>
          </w:tcPr>
          <w:p w14:paraId="096615EE">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0.0385 to 0.1019</w:t>
            </w:r>
          </w:p>
        </w:tc>
        <w:tc>
          <w:tcPr>
            <w:tcW w:w="0" w:type="auto"/>
            <w:tcBorders>
              <w:top w:val="nil"/>
              <w:left w:val="nil"/>
              <w:bottom w:val="nil"/>
              <w:right w:val="nil"/>
            </w:tcBorders>
            <w:shd w:val="clear" w:color="auto" w:fill="FFFFFF"/>
            <w:vAlign w:val="center"/>
          </w:tcPr>
          <w:p w14:paraId="667BD685">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5.008</w:t>
            </w:r>
          </w:p>
        </w:tc>
        <w:tc>
          <w:tcPr>
            <w:tcW w:w="0" w:type="auto"/>
            <w:tcBorders>
              <w:top w:val="nil"/>
              <w:left w:val="nil"/>
              <w:bottom w:val="nil"/>
              <w:right w:val="nil"/>
            </w:tcBorders>
            <w:shd w:val="clear" w:color="auto" w:fill="FFFFFF"/>
            <w:vAlign w:val="center"/>
          </w:tcPr>
          <w:p w14:paraId="3F58310C">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0.000731</w:t>
            </w:r>
          </w:p>
        </w:tc>
        <w:tc>
          <w:tcPr>
            <w:tcW w:w="0" w:type="auto"/>
            <w:tcBorders>
              <w:top w:val="nil"/>
              <w:left w:val="nil"/>
              <w:bottom w:val="nil"/>
              <w:right w:val="nil"/>
            </w:tcBorders>
            <w:shd w:val="clear" w:color="auto" w:fill="FFFFFF"/>
            <w:vAlign w:val="center"/>
          </w:tcPr>
          <w:p w14:paraId="239EEFBF">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0.021930</w:t>
            </w:r>
          </w:p>
        </w:tc>
        <w:tc>
          <w:tcPr>
            <w:tcW w:w="0" w:type="auto"/>
            <w:tcBorders>
              <w:top w:val="nil"/>
              <w:left w:val="nil"/>
              <w:bottom w:val="nil"/>
              <w:right w:val="nil"/>
            </w:tcBorders>
            <w:shd w:val="clear" w:color="auto" w:fill="FFFFFF"/>
            <w:vAlign w:val="center"/>
          </w:tcPr>
          <w:p w14:paraId="556EF76D">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6,092</w:t>
            </w:r>
          </w:p>
        </w:tc>
        <w:tc>
          <w:tcPr>
            <w:tcW w:w="0" w:type="auto"/>
            <w:tcBorders>
              <w:top w:val="nil"/>
              <w:left w:val="nil"/>
              <w:bottom w:val="nil"/>
              <w:right w:val="nil"/>
            </w:tcBorders>
            <w:shd w:val="clear" w:color="auto" w:fill="FFFFFF"/>
            <w:vAlign w:val="center"/>
          </w:tcPr>
          <w:p w14:paraId="3BAF10B8">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w:t>
            </w:r>
          </w:p>
        </w:tc>
      </w:tr>
      <w:tr w14:paraId="61F8AEC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0" w:type="auto"/>
            <w:tcBorders>
              <w:top w:val="nil"/>
              <w:left w:val="nil"/>
              <w:bottom w:val="nil"/>
              <w:right w:val="nil"/>
            </w:tcBorders>
            <w:shd w:val="clear" w:color="auto" w:fill="FFFFFF"/>
            <w:vAlign w:val="center"/>
          </w:tcPr>
          <w:p w14:paraId="737653A1">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ISI</w:t>
            </w:r>
          </w:p>
        </w:tc>
        <w:tc>
          <w:tcPr>
            <w:tcW w:w="0" w:type="auto"/>
            <w:tcBorders>
              <w:top w:val="nil"/>
              <w:left w:val="nil"/>
              <w:bottom w:val="nil"/>
              <w:right w:val="nil"/>
            </w:tcBorders>
            <w:shd w:val="clear" w:color="auto" w:fill="FFFFFF"/>
            <w:vAlign w:val="center"/>
          </w:tcPr>
          <w:p w14:paraId="3C81720A">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DIET</w:t>
            </w:r>
          </w:p>
        </w:tc>
        <w:tc>
          <w:tcPr>
            <w:tcW w:w="0" w:type="auto"/>
            <w:tcBorders>
              <w:top w:val="nil"/>
              <w:left w:val="nil"/>
              <w:bottom w:val="nil"/>
              <w:right w:val="nil"/>
            </w:tcBorders>
            <w:shd w:val="clear" w:color="auto" w:fill="FFFFFF"/>
            <w:vAlign w:val="center"/>
          </w:tcPr>
          <w:p w14:paraId="50B04A28">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0.0739</w:t>
            </w:r>
          </w:p>
        </w:tc>
        <w:tc>
          <w:tcPr>
            <w:tcW w:w="0" w:type="auto"/>
            <w:tcBorders>
              <w:top w:val="nil"/>
              <w:left w:val="nil"/>
              <w:bottom w:val="nil"/>
              <w:right w:val="nil"/>
            </w:tcBorders>
            <w:shd w:val="clear" w:color="auto" w:fill="FFFFFF"/>
            <w:vAlign w:val="center"/>
          </w:tcPr>
          <w:p w14:paraId="116C1647">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0.0183</w:t>
            </w:r>
          </w:p>
        </w:tc>
        <w:tc>
          <w:tcPr>
            <w:tcW w:w="0" w:type="auto"/>
            <w:tcBorders>
              <w:top w:val="nil"/>
              <w:left w:val="nil"/>
              <w:bottom w:val="nil"/>
              <w:right w:val="nil"/>
            </w:tcBorders>
            <w:shd w:val="clear" w:color="auto" w:fill="FFFFFF"/>
            <w:vAlign w:val="center"/>
          </w:tcPr>
          <w:p w14:paraId="4444B458">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0.0325 to 0.1152</w:t>
            </w:r>
          </w:p>
        </w:tc>
        <w:tc>
          <w:tcPr>
            <w:tcW w:w="0" w:type="auto"/>
            <w:tcBorders>
              <w:top w:val="nil"/>
              <w:left w:val="nil"/>
              <w:bottom w:val="nil"/>
              <w:right w:val="nil"/>
            </w:tcBorders>
            <w:shd w:val="clear" w:color="auto" w:fill="FFFFFF"/>
            <w:vAlign w:val="center"/>
          </w:tcPr>
          <w:p w14:paraId="3BCFF28F">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4.044</w:t>
            </w:r>
          </w:p>
        </w:tc>
        <w:tc>
          <w:tcPr>
            <w:tcW w:w="0" w:type="auto"/>
            <w:tcBorders>
              <w:top w:val="nil"/>
              <w:left w:val="nil"/>
              <w:bottom w:val="nil"/>
              <w:right w:val="nil"/>
            </w:tcBorders>
            <w:shd w:val="clear" w:color="auto" w:fill="FFFFFF"/>
            <w:vAlign w:val="center"/>
          </w:tcPr>
          <w:p w14:paraId="3656BE6A">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0.002912</w:t>
            </w:r>
          </w:p>
        </w:tc>
        <w:tc>
          <w:tcPr>
            <w:tcW w:w="0" w:type="auto"/>
            <w:tcBorders>
              <w:top w:val="nil"/>
              <w:left w:val="nil"/>
              <w:bottom w:val="nil"/>
              <w:right w:val="nil"/>
            </w:tcBorders>
            <w:shd w:val="clear" w:color="auto" w:fill="FFFFFF"/>
            <w:vAlign w:val="center"/>
          </w:tcPr>
          <w:p w14:paraId="757CFCEB">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0.087362</w:t>
            </w:r>
          </w:p>
        </w:tc>
        <w:tc>
          <w:tcPr>
            <w:tcW w:w="0" w:type="auto"/>
            <w:tcBorders>
              <w:top w:val="nil"/>
              <w:left w:val="nil"/>
              <w:bottom w:val="nil"/>
              <w:right w:val="nil"/>
            </w:tcBorders>
            <w:shd w:val="clear" w:color="auto" w:fill="FFFFFF"/>
            <w:vAlign w:val="center"/>
          </w:tcPr>
          <w:p w14:paraId="6C4D7DA1">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6,092</w:t>
            </w:r>
          </w:p>
        </w:tc>
        <w:tc>
          <w:tcPr>
            <w:tcW w:w="0" w:type="auto"/>
            <w:tcBorders>
              <w:top w:val="nil"/>
              <w:left w:val="nil"/>
              <w:bottom w:val="nil"/>
              <w:right w:val="nil"/>
            </w:tcBorders>
            <w:shd w:val="clear" w:color="auto" w:fill="FFFFFF"/>
            <w:vAlign w:val="center"/>
          </w:tcPr>
          <w:p w14:paraId="1D1EAC4E">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w:t>
            </w:r>
          </w:p>
        </w:tc>
      </w:tr>
      <w:tr w14:paraId="5C5CC17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0" w:type="auto"/>
            <w:tcBorders>
              <w:top w:val="nil"/>
              <w:left w:val="nil"/>
              <w:bottom w:val="nil"/>
              <w:right w:val="nil"/>
            </w:tcBorders>
            <w:shd w:val="clear" w:color="auto" w:fill="FFFFFF"/>
            <w:vAlign w:val="center"/>
          </w:tcPr>
          <w:p w14:paraId="6B461C81">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ISI</w:t>
            </w:r>
          </w:p>
        </w:tc>
        <w:tc>
          <w:tcPr>
            <w:tcW w:w="0" w:type="auto"/>
            <w:tcBorders>
              <w:top w:val="nil"/>
              <w:left w:val="nil"/>
              <w:bottom w:val="nil"/>
              <w:right w:val="nil"/>
            </w:tcBorders>
            <w:shd w:val="clear" w:color="auto" w:fill="FFFFFF"/>
            <w:vAlign w:val="center"/>
          </w:tcPr>
          <w:p w14:paraId="7F25009C">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ACT</w:t>
            </w:r>
          </w:p>
        </w:tc>
        <w:tc>
          <w:tcPr>
            <w:tcW w:w="0" w:type="auto"/>
            <w:tcBorders>
              <w:top w:val="nil"/>
              <w:left w:val="nil"/>
              <w:bottom w:val="nil"/>
              <w:right w:val="nil"/>
            </w:tcBorders>
            <w:shd w:val="clear" w:color="auto" w:fill="FFFFFF"/>
            <w:vAlign w:val="center"/>
          </w:tcPr>
          <w:p w14:paraId="68431F3B">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−0.0176</w:t>
            </w:r>
          </w:p>
        </w:tc>
        <w:tc>
          <w:tcPr>
            <w:tcW w:w="0" w:type="auto"/>
            <w:tcBorders>
              <w:top w:val="nil"/>
              <w:left w:val="nil"/>
              <w:bottom w:val="nil"/>
              <w:right w:val="nil"/>
            </w:tcBorders>
            <w:shd w:val="clear" w:color="auto" w:fill="FFFFFF"/>
            <w:vAlign w:val="center"/>
          </w:tcPr>
          <w:p w14:paraId="7C7126C5">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0.0203</w:t>
            </w:r>
          </w:p>
        </w:tc>
        <w:tc>
          <w:tcPr>
            <w:tcW w:w="0" w:type="auto"/>
            <w:tcBorders>
              <w:top w:val="nil"/>
              <w:left w:val="nil"/>
              <w:bottom w:val="nil"/>
              <w:right w:val="nil"/>
            </w:tcBorders>
            <w:shd w:val="clear" w:color="auto" w:fill="FFFFFF"/>
            <w:vAlign w:val="center"/>
          </w:tcPr>
          <w:p w14:paraId="26E7FB00">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−0.0636 to 0.0283</w:t>
            </w:r>
          </w:p>
        </w:tc>
        <w:tc>
          <w:tcPr>
            <w:tcW w:w="0" w:type="auto"/>
            <w:tcBorders>
              <w:top w:val="nil"/>
              <w:left w:val="nil"/>
              <w:bottom w:val="nil"/>
              <w:right w:val="nil"/>
            </w:tcBorders>
            <w:shd w:val="clear" w:color="auto" w:fill="FFFFFF"/>
            <w:vAlign w:val="center"/>
          </w:tcPr>
          <w:p w14:paraId="3D852A07">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−0.868</w:t>
            </w:r>
          </w:p>
        </w:tc>
        <w:tc>
          <w:tcPr>
            <w:tcW w:w="0" w:type="auto"/>
            <w:tcBorders>
              <w:top w:val="nil"/>
              <w:left w:val="nil"/>
              <w:bottom w:val="nil"/>
              <w:right w:val="nil"/>
            </w:tcBorders>
            <w:shd w:val="clear" w:color="auto" w:fill="FFFFFF"/>
            <w:vAlign w:val="center"/>
          </w:tcPr>
          <w:p w14:paraId="0C4E23F2">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0.407740</w:t>
            </w:r>
          </w:p>
        </w:tc>
        <w:tc>
          <w:tcPr>
            <w:tcW w:w="0" w:type="auto"/>
            <w:tcBorders>
              <w:top w:val="nil"/>
              <w:left w:val="nil"/>
              <w:bottom w:val="nil"/>
              <w:right w:val="nil"/>
            </w:tcBorders>
            <w:shd w:val="clear" w:color="auto" w:fill="FFFFFF"/>
            <w:vAlign w:val="center"/>
          </w:tcPr>
          <w:p w14:paraId="29807A87">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1.000000</w:t>
            </w:r>
          </w:p>
        </w:tc>
        <w:tc>
          <w:tcPr>
            <w:tcW w:w="0" w:type="auto"/>
            <w:tcBorders>
              <w:top w:val="nil"/>
              <w:left w:val="nil"/>
              <w:bottom w:val="nil"/>
              <w:right w:val="nil"/>
            </w:tcBorders>
            <w:shd w:val="clear" w:color="auto" w:fill="FFFFFF"/>
            <w:vAlign w:val="center"/>
          </w:tcPr>
          <w:p w14:paraId="68952768">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6,092</w:t>
            </w:r>
          </w:p>
        </w:tc>
        <w:tc>
          <w:tcPr>
            <w:tcW w:w="0" w:type="auto"/>
            <w:tcBorders>
              <w:top w:val="nil"/>
              <w:left w:val="nil"/>
              <w:bottom w:val="nil"/>
              <w:right w:val="nil"/>
            </w:tcBorders>
            <w:shd w:val="clear" w:color="auto" w:fill="FFFFFF"/>
            <w:vAlign w:val="center"/>
          </w:tcPr>
          <w:p w14:paraId="2824CAA0">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w:t>
            </w:r>
          </w:p>
        </w:tc>
      </w:tr>
      <w:tr w14:paraId="22891DE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0" w:type="auto"/>
            <w:tcBorders>
              <w:top w:val="nil"/>
              <w:left w:val="nil"/>
              <w:bottom w:val="nil"/>
              <w:right w:val="nil"/>
            </w:tcBorders>
            <w:shd w:val="clear" w:color="auto" w:fill="FFFFFF"/>
            <w:vAlign w:val="center"/>
          </w:tcPr>
          <w:p w14:paraId="035AB16E">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ACT</w:t>
            </w:r>
          </w:p>
        </w:tc>
        <w:tc>
          <w:tcPr>
            <w:tcW w:w="0" w:type="auto"/>
            <w:tcBorders>
              <w:top w:val="nil"/>
              <w:left w:val="nil"/>
              <w:bottom w:val="nil"/>
              <w:right w:val="nil"/>
            </w:tcBorders>
            <w:shd w:val="clear" w:color="auto" w:fill="FFFFFF"/>
            <w:vAlign w:val="center"/>
          </w:tcPr>
          <w:p w14:paraId="1009BE0D">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CIAS</w:t>
            </w:r>
          </w:p>
        </w:tc>
        <w:tc>
          <w:tcPr>
            <w:tcW w:w="0" w:type="auto"/>
            <w:tcBorders>
              <w:top w:val="nil"/>
              <w:left w:val="nil"/>
              <w:bottom w:val="nil"/>
              <w:right w:val="nil"/>
            </w:tcBorders>
            <w:shd w:val="clear" w:color="auto" w:fill="FFFFFF"/>
            <w:vAlign w:val="center"/>
          </w:tcPr>
          <w:p w14:paraId="03D0A343">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−0.0406</w:t>
            </w:r>
          </w:p>
        </w:tc>
        <w:tc>
          <w:tcPr>
            <w:tcW w:w="0" w:type="auto"/>
            <w:tcBorders>
              <w:top w:val="nil"/>
              <w:left w:val="nil"/>
              <w:bottom w:val="nil"/>
              <w:right w:val="nil"/>
            </w:tcBorders>
            <w:shd w:val="clear" w:color="auto" w:fill="FFFFFF"/>
            <w:vAlign w:val="center"/>
          </w:tcPr>
          <w:p w14:paraId="302E6138">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0.0235</w:t>
            </w:r>
          </w:p>
        </w:tc>
        <w:tc>
          <w:tcPr>
            <w:tcW w:w="0" w:type="auto"/>
            <w:tcBorders>
              <w:top w:val="nil"/>
              <w:left w:val="nil"/>
              <w:bottom w:val="nil"/>
              <w:right w:val="nil"/>
            </w:tcBorders>
            <w:shd w:val="clear" w:color="auto" w:fill="FFFFFF"/>
            <w:vAlign w:val="center"/>
          </w:tcPr>
          <w:p w14:paraId="3506762C">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−0.0937 to 0.0125</w:t>
            </w:r>
          </w:p>
        </w:tc>
        <w:tc>
          <w:tcPr>
            <w:tcW w:w="0" w:type="auto"/>
            <w:tcBorders>
              <w:top w:val="nil"/>
              <w:left w:val="nil"/>
              <w:bottom w:val="nil"/>
              <w:right w:val="nil"/>
            </w:tcBorders>
            <w:shd w:val="clear" w:color="auto" w:fill="FFFFFF"/>
            <w:vAlign w:val="center"/>
          </w:tcPr>
          <w:p w14:paraId="7A3F59AB">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−1.730</w:t>
            </w:r>
          </w:p>
        </w:tc>
        <w:tc>
          <w:tcPr>
            <w:tcW w:w="0" w:type="auto"/>
            <w:tcBorders>
              <w:top w:val="nil"/>
              <w:left w:val="nil"/>
              <w:bottom w:val="nil"/>
              <w:right w:val="nil"/>
            </w:tcBorders>
            <w:shd w:val="clear" w:color="auto" w:fill="FFFFFF"/>
            <w:vAlign w:val="center"/>
          </w:tcPr>
          <w:p w14:paraId="597CB2CA">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0.117763</w:t>
            </w:r>
          </w:p>
        </w:tc>
        <w:tc>
          <w:tcPr>
            <w:tcW w:w="0" w:type="auto"/>
            <w:tcBorders>
              <w:top w:val="nil"/>
              <w:left w:val="nil"/>
              <w:bottom w:val="nil"/>
              <w:right w:val="nil"/>
            </w:tcBorders>
            <w:shd w:val="clear" w:color="auto" w:fill="FFFFFF"/>
            <w:vAlign w:val="center"/>
          </w:tcPr>
          <w:p w14:paraId="3293DEEB">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1.000000</w:t>
            </w:r>
          </w:p>
        </w:tc>
        <w:tc>
          <w:tcPr>
            <w:tcW w:w="0" w:type="auto"/>
            <w:tcBorders>
              <w:top w:val="nil"/>
              <w:left w:val="nil"/>
              <w:bottom w:val="nil"/>
              <w:right w:val="nil"/>
            </w:tcBorders>
            <w:shd w:val="clear" w:color="auto" w:fill="FFFFFF"/>
            <w:vAlign w:val="center"/>
          </w:tcPr>
          <w:p w14:paraId="0BC12C2A">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6,092</w:t>
            </w:r>
          </w:p>
        </w:tc>
        <w:tc>
          <w:tcPr>
            <w:tcW w:w="0" w:type="auto"/>
            <w:tcBorders>
              <w:top w:val="nil"/>
              <w:left w:val="nil"/>
              <w:bottom w:val="nil"/>
              <w:right w:val="nil"/>
            </w:tcBorders>
            <w:shd w:val="clear" w:color="auto" w:fill="FFFFFF"/>
            <w:vAlign w:val="center"/>
          </w:tcPr>
          <w:p w14:paraId="2DE68C20">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w:t>
            </w:r>
          </w:p>
        </w:tc>
      </w:tr>
      <w:tr w14:paraId="63A9BC4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0" w:type="auto"/>
            <w:tcBorders>
              <w:top w:val="nil"/>
              <w:left w:val="nil"/>
              <w:bottom w:val="nil"/>
              <w:right w:val="nil"/>
            </w:tcBorders>
            <w:shd w:val="clear" w:color="auto" w:fill="FFFFFF"/>
            <w:vAlign w:val="center"/>
          </w:tcPr>
          <w:p w14:paraId="4F8AE44E">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ACT</w:t>
            </w:r>
          </w:p>
        </w:tc>
        <w:tc>
          <w:tcPr>
            <w:tcW w:w="0" w:type="auto"/>
            <w:tcBorders>
              <w:top w:val="nil"/>
              <w:left w:val="nil"/>
              <w:bottom w:val="nil"/>
              <w:right w:val="nil"/>
            </w:tcBorders>
            <w:shd w:val="clear" w:color="auto" w:fill="FFFFFF"/>
            <w:vAlign w:val="center"/>
          </w:tcPr>
          <w:p w14:paraId="45DD7799">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DASS</w:t>
            </w:r>
          </w:p>
        </w:tc>
        <w:tc>
          <w:tcPr>
            <w:tcW w:w="0" w:type="auto"/>
            <w:tcBorders>
              <w:top w:val="nil"/>
              <w:left w:val="nil"/>
              <w:bottom w:val="nil"/>
              <w:right w:val="nil"/>
            </w:tcBorders>
            <w:shd w:val="clear" w:color="auto" w:fill="FFFFFF"/>
            <w:vAlign w:val="center"/>
          </w:tcPr>
          <w:p w14:paraId="19FE30A4">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−0.0099</w:t>
            </w:r>
          </w:p>
        </w:tc>
        <w:tc>
          <w:tcPr>
            <w:tcW w:w="0" w:type="auto"/>
            <w:tcBorders>
              <w:top w:val="nil"/>
              <w:left w:val="nil"/>
              <w:bottom w:val="nil"/>
              <w:right w:val="nil"/>
            </w:tcBorders>
            <w:shd w:val="clear" w:color="auto" w:fill="FFFFFF"/>
            <w:vAlign w:val="center"/>
          </w:tcPr>
          <w:p w14:paraId="6FEC7F3B">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0.0214</w:t>
            </w:r>
          </w:p>
        </w:tc>
        <w:tc>
          <w:tcPr>
            <w:tcW w:w="0" w:type="auto"/>
            <w:tcBorders>
              <w:top w:val="nil"/>
              <w:left w:val="nil"/>
              <w:bottom w:val="nil"/>
              <w:right w:val="nil"/>
            </w:tcBorders>
            <w:shd w:val="clear" w:color="auto" w:fill="FFFFFF"/>
            <w:vAlign w:val="center"/>
          </w:tcPr>
          <w:p w14:paraId="52D685C2">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−0.0583 to 0.0385</w:t>
            </w:r>
          </w:p>
        </w:tc>
        <w:tc>
          <w:tcPr>
            <w:tcW w:w="0" w:type="auto"/>
            <w:tcBorders>
              <w:top w:val="nil"/>
              <w:left w:val="nil"/>
              <w:bottom w:val="nil"/>
              <w:right w:val="nil"/>
            </w:tcBorders>
            <w:shd w:val="clear" w:color="auto" w:fill="FFFFFF"/>
            <w:vAlign w:val="center"/>
          </w:tcPr>
          <w:p w14:paraId="73B5156A">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−0.463</w:t>
            </w:r>
          </w:p>
        </w:tc>
        <w:tc>
          <w:tcPr>
            <w:tcW w:w="0" w:type="auto"/>
            <w:tcBorders>
              <w:top w:val="nil"/>
              <w:left w:val="nil"/>
              <w:bottom w:val="nil"/>
              <w:right w:val="nil"/>
            </w:tcBorders>
            <w:shd w:val="clear" w:color="auto" w:fill="FFFFFF"/>
            <w:vAlign w:val="center"/>
          </w:tcPr>
          <w:p w14:paraId="011BC7F9">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0.654606</w:t>
            </w:r>
          </w:p>
        </w:tc>
        <w:tc>
          <w:tcPr>
            <w:tcW w:w="0" w:type="auto"/>
            <w:tcBorders>
              <w:top w:val="nil"/>
              <w:left w:val="nil"/>
              <w:bottom w:val="nil"/>
              <w:right w:val="nil"/>
            </w:tcBorders>
            <w:shd w:val="clear" w:color="auto" w:fill="FFFFFF"/>
            <w:vAlign w:val="center"/>
          </w:tcPr>
          <w:p w14:paraId="2F664A41">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1.000000</w:t>
            </w:r>
          </w:p>
        </w:tc>
        <w:tc>
          <w:tcPr>
            <w:tcW w:w="0" w:type="auto"/>
            <w:tcBorders>
              <w:top w:val="nil"/>
              <w:left w:val="nil"/>
              <w:bottom w:val="nil"/>
              <w:right w:val="nil"/>
            </w:tcBorders>
            <w:shd w:val="clear" w:color="auto" w:fill="FFFFFF"/>
            <w:vAlign w:val="center"/>
          </w:tcPr>
          <w:p w14:paraId="76F37355">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6,092</w:t>
            </w:r>
          </w:p>
        </w:tc>
        <w:tc>
          <w:tcPr>
            <w:tcW w:w="0" w:type="auto"/>
            <w:tcBorders>
              <w:top w:val="nil"/>
              <w:left w:val="nil"/>
              <w:bottom w:val="nil"/>
              <w:right w:val="nil"/>
            </w:tcBorders>
            <w:shd w:val="clear" w:color="auto" w:fill="FFFFFF"/>
            <w:vAlign w:val="center"/>
          </w:tcPr>
          <w:p w14:paraId="4C3B4D34">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w:t>
            </w:r>
          </w:p>
        </w:tc>
      </w:tr>
      <w:tr w14:paraId="4B7D9C9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0" w:type="auto"/>
            <w:tcBorders>
              <w:top w:val="nil"/>
              <w:left w:val="nil"/>
              <w:bottom w:val="nil"/>
              <w:right w:val="nil"/>
            </w:tcBorders>
            <w:shd w:val="clear" w:color="auto" w:fill="FFFFFF"/>
            <w:vAlign w:val="center"/>
          </w:tcPr>
          <w:p w14:paraId="54C5FACD">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ACT</w:t>
            </w:r>
          </w:p>
        </w:tc>
        <w:tc>
          <w:tcPr>
            <w:tcW w:w="0" w:type="auto"/>
            <w:tcBorders>
              <w:top w:val="nil"/>
              <w:left w:val="nil"/>
              <w:bottom w:val="nil"/>
              <w:right w:val="nil"/>
            </w:tcBorders>
            <w:shd w:val="clear" w:color="auto" w:fill="FFFFFF"/>
            <w:vAlign w:val="center"/>
          </w:tcPr>
          <w:p w14:paraId="746B42E6">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SDQ</w:t>
            </w:r>
          </w:p>
        </w:tc>
        <w:tc>
          <w:tcPr>
            <w:tcW w:w="0" w:type="auto"/>
            <w:tcBorders>
              <w:top w:val="nil"/>
              <w:left w:val="nil"/>
              <w:bottom w:val="nil"/>
              <w:right w:val="nil"/>
            </w:tcBorders>
            <w:shd w:val="clear" w:color="auto" w:fill="FFFFFF"/>
            <w:vAlign w:val="center"/>
          </w:tcPr>
          <w:p w14:paraId="40073413">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−0.0017</w:t>
            </w:r>
          </w:p>
        </w:tc>
        <w:tc>
          <w:tcPr>
            <w:tcW w:w="0" w:type="auto"/>
            <w:tcBorders>
              <w:top w:val="nil"/>
              <w:left w:val="nil"/>
              <w:bottom w:val="nil"/>
              <w:right w:val="nil"/>
            </w:tcBorders>
            <w:shd w:val="clear" w:color="auto" w:fill="FFFFFF"/>
            <w:vAlign w:val="center"/>
          </w:tcPr>
          <w:p w14:paraId="6BC5DF23">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0.0180</w:t>
            </w:r>
          </w:p>
        </w:tc>
        <w:tc>
          <w:tcPr>
            <w:tcW w:w="0" w:type="auto"/>
            <w:tcBorders>
              <w:top w:val="nil"/>
              <w:left w:val="nil"/>
              <w:bottom w:val="nil"/>
              <w:right w:val="nil"/>
            </w:tcBorders>
            <w:shd w:val="clear" w:color="auto" w:fill="FFFFFF"/>
            <w:vAlign w:val="center"/>
          </w:tcPr>
          <w:p w14:paraId="6884CF66">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−0.0425 to 0.0391</w:t>
            </w:r>
          </w:p>
        </w:tc>
        <w:tc>
          <w:tcPr>
            <w:tcW w:w="0" w:type="auto"/>
            <w:tcBorders>
              <w:top w:val="nil"/>
              <w:left w:val="nil"/>
              <w:bottom w:val="nil"/>
              <w:right w:val="nil"/>
            </w:tcBorders>
            <w:shd w:val="clear" w:color="auto" w:fill="FFFFFF"/>
            <w:vAlign w:val="center"/>
          </w:tcPr>
          <w:p w14:paraId="7FD300B8">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−0.096</w:t>
            </w:r>
          </w:p>
        </w:tc>
        <w:tc>
          <w:tcPr>
            <w:tcW w:w="0" w:type="auto"/>
            <w:tcBorders>
              <w:top w:val="nil"/>
              <w:left w:val="nil"/>
              <w:bottom w:val="nil"/>
              <w:right w:val="nil"/>
            </w:tcBorders>
            <w:shd w:val="clear" w:color="auto" w:fill="FFFFFF"/>
            <w:vAlign w:val="center"/>
          </w:tcPr>
          <w:p w14:paraId="2D299BDE">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0.925676</w:t>
            </w:r>
          </w:p>
        </w:tc>
        <w:tc>
          <w:tcPr>
            <w:tcW w:w="0" w:type="auto"/>
            <w:tcBorders>
              <w:top w:val="nil"/>
              <w:left w:val="nil"/>
              <w:bottom w:val="nil"/>
              <w:right w:val="nil"/>
            </w:tcBorders>
            <w:shd w:val="clear" w:color="auto" w:fill="FFFFFF"/>
            <w:vAlign w:val="center"/>
          </w:tcPr>
          <w:p w14:paraId="77A6CF5F">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1.000000</w:t>
            </w:r>
          </w:p>
        </w:tc>
        <w:tc>
          <w:tcPr>
            <w:tcW w:w="0" w:type="auto"/>
            <w:tcBorders>
              <w:top w:val="nil"/>
              <w:left w:val="nil"/>
              <w:bottom w:val="nil"/>
              <w:right w:val="nil"/>
            </w:tcBorders>
            <w:shd w:val="clear" w:color="auto" w:fill="FFFFFF"/>
            <w:vAlign w:val="center"/>
          </w:tcPr>
          <w:p w14:paraId="5E55CBCE">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6,092</w:t>
            </w:r>
          </w:p>
        </w:tc>
        <w:tc>
          <w:tcPr>
            <w:tcW w:w="0" w:type="auto"/>
            <w:tcBorders>
              <w:top w:val="nil"/>
              <w:left w:val="nil"/>
              <w:bottom w:val="nil"/>
              <w:right w:val="nil"/>
            </w:tcBorders>
            <w:shd w:val="clear" w:color="auto" w:fill="FFFFFF"/>
            <w:vAlign w:val="center"/>
          </w:tcPr>
          <w:p w14:paraId="57FC819A">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w:t>
            </w:r>
          </w:p>
        </w:tc>
      </w:tr>
      <w:tr w14:paraId="77CEA56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0" w:type="auto"/>
            <w:tcBorders>
              <w:top w:val="nil"/>
              <w:left w:val="nil"/>
              <w:bottom w:val="nil"/>
              <w:right w:val="nil"/>
            </w:tcBorders>
            <w:shd w:val="clear" w:color="auto" w:fill="FFFFFF"/>
            <w:vAlign w:val="center"/>
          </w:tcPr>
          <w:p w14:paraId="2FCF67A0">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ACT</w:t>
            </w:r>
          </w:p>
        </w:tc>
        <w:tc>
          <w:tcPr>
            <w:tcW w:w="0" w:type="auto"/>
            <w:tcBorders>
              <w:top w:val="nil"/>
              <w:left w:val="nil"/>
              <w:bottom w:val="nil"/>
              <w:right w:val="nil"/>
            </w:tcBorders>
            <w:shd w:val="clear" w:color="auto" w:fill="FFFFFF"/>
            <w:vAlign w:val="center"/>
          </w:tcPr>
          <w:p w14:paraId="57A2E86D">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DIET</w:t>
            </w:r>
          </w:p>
        </w:tc>
        <w:tc>
          <w:tcPr>
            <w:tcW w:w="0" w:type="auto"/>
            <w:tcBorders>
              <w:top w:val="nil"/>
              <w:left w:val="nil"/>
              <w:bottom w:val="nil"/>
              <w:right w:val="nil"/>
            </w:tcBorders>
            <w:shd w:val="clear" w:color="auto" w:fill="FFFFFF"/>
            <w:vAlign w:val="center"/>
          </w:tcPr>
          <w:p w14:paraId="2CEC7B7E">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0.0267</w:t>
            </w:r>
          </w:p>
        </w:tc>
        <w:tc>
          <w:tcPr>
            <w:tcW w:w="0" w:type="auto"/>
            <w:tcBorders>
              <w:top w:val="nil"/>
              <w:left w:val="nil"/>
              <w:bottom w:val="nil"/>
              <w:right w:val="nil"/>
            </w:tcBorders>
            <w:shd w:val="clear" w:color="auto" w:fill="FFFFFF"/>
            <w:vAlign w:val="center"/>
          </w:tcPr>
          <w:p w14:paraId="4438CEBD">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0.0218</w:t>
            </w:r>
          </w:p>
        </w:tc>
        <w:tc>
          <w:tcPr>
            <w:tcW w:w="0" w:type="auto"/>
            <w:tcBorders>
              <w:top w:val="nil"/>
              <w:left w:val="nil"/>
              <w:bottom w:val="nil"/>
              <w:right w:val="nil"/>
            </w:tcBorders>
            <w:shd w:val="clear" w:color="auto" w:fill="FFFFFF"/>
            <w:vAlign w:val="center"/>
          </w:tcPr>
          <w:p w14:paraId="3CF05CF9">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−0.0226 to 0.0761</w:t>
            </w:r>
          </w:p>
        </w:tc>
        <w:tc>
          <w:tcPr>
            <w:tcW w:w="0" w:type="auto"/>
            <w:tcBorders>
              <w:top w:val="nil"/>
              <w:left w:val="nil"/>
              <w:bottom w:val="nil"/>
              <w:right w:val="nil"/>
            </w:tcBorders>
            <w:shd w:val="clear" w:color="auto" w:fill="FFFFFF"/>
            <w:vAlign w:val="center"/>
          </w:tcPr>
          <w:p w14:paraId="141D52C8">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1.225</w:t>
            </w:r>
          </w:p>
        </w:tc>
        <w:tc>
          <w:tcPr>
            <w:tcW w:w="0" w:type="auto"/>
            <w:tcBorders>
              <w:top w:val="nil"/>
              <w:left w:val="nil"/>
              <w:bottom w:val="nil"/>
              <w:right w:val="nil"/>
            </w:tcBorders>
            <w:shd w:val="clear" w:color="auto" w:fill="FFFFFF"/>
            <w:vAlign w:val="center"/>
          </w:tcPr>
          <w:p w14:paraId="1471E585">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0.251500</w:t>
            </w:r>
          </w:p>
        </w:tc>
        <w:tc>
          <w:tcPr>
            <w:tcW w:w="0" w:type="auto"/>
            <w:tcBorders>
              <w:top w:val="nil"/>
              <w:left w:val="nil"/>
              <w:bottom w:val="nil"/>
              <w:right w:val="nil"/>
            </w:tcBorders>
            <w:shd w:val="clear" w:color="auto" w:fill="FFFFFF"/>
            <w:vAlign w:val="center"/>
          </w:tcPr>
          <w:p w14:paraId="14B3DF7B">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1.000000</w:t>
            </w:r>
          </w:p>
        </w:tc>
        <w:tc>
          <w:tcPr>
            <w:tcW w:w="0" w:type="auto"/>
            <w:tcBorders>
              <w:top w:val="nil"/>
              <w:left w:val="nil"/>
              <w:bottom w:val="nil"/>
              <w:right w:val="nil"/>
            </w:tcBorders>
            <w:shd w:val="clear" w:color="auto" w:fill="FFFFFF"/>
            <w:vAlign w:val="center"/>
          </w:tcPr>
          <w:p w14:paraId="4216C0DA">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6,092</w:t>
            </w:r>
          </w:p>
        </w:tc>
        <w:tc>
          <w:tcPr>
            <w:tcW w:w="0" w:type="auto"/>
            <w:tcBorders>
              <w:top w:val="nil"/>
              <w:left w:val="nil"/>
              <w:bottom w:val="nil"/>
              <w:right w:val="nil"/>
            </w:tcBorders>
            <w:shd w:val="clear" w:color="auto" w:fill="FFFFFF"/>
            <w:vAlign w:val="center"/>
          </w:tcPr>
          <w:p w14:paraId="7C5C2451">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w:t>
            </w:r>
          </w:p>
        </w:tc>
      </w:tr>
      <w:tr w14:paraId="36A1300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48" w:type="dxa"/>
            <w:left w:w="42" w:type="dxa"/>
            <w:bottom w:w="48" w:type="dxa"/>
            <w:right w:w="42" w:type="dxa"/>
          </w:tblCellMar>
        </w:tblPrEx>
        <w:trPr>
          <w:cantSplit/>
          <w:jc w:val="center"/>
        </w:trPr>
        <w:tc>
          <w:tcPr>
            <w:tcW w:w="0" w:type="auto"/>
            <w:tcBorders>
              <w:top w:val="nil"/>
              <w:left w:val="nil"/>
              <w:bottom w:val="single" w:color="000000" w:themeColor="dark1" w:sz="12" w:space="0"/>
              <w:right w:val="nil"/>
            </w:tcBorders>
            <w:shd w:val="clear" w:color="auto" w:fill="FFFFFF"/>
            <w:vAlign w:val="center"/>
          </w:tcPr>
          <w:p w14:paraId="75430883">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ACT</w:t>
            </w:r>
          </w:p>
        </w:tc>
        <w:tc>
          <w:tcPr>
            <w:tcW w:w="0" w:type="auto"/>
            <w:tcBorders>
              <w:top w:val="nil"/>
              <w:left w:val="nil"/>
              <w:bottom w:val="single" w:color="000000" w:themeColor="dark1" w:sz="12" w:space="0"/>
              <w:right w:val="nil"/>
            </w:tcBorders>
            <w:shd w:val="clear" w:color="auto" w:fill="FFFFFF"/>
            <w:vAlign w:val="center"/>
          </w:tcPr>
          <w:p w14:paraId="749095D8">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ISI</w:t>
            </w:r>
          </w:p>
        </w:tc>
        <w:tc>
          <w:tcPr>
            <w:tcW w:w="0" w:type="auto"/>
            <w:tcBorders>
              <w:top w:val="nil"/>
              <w:left w:val="nil"/>
              <w:bottom w:val="single" w:color="000000" w:themeColor="dark1" w:sz="12" w:space="0"/>
              <w:right w:val="nil"/>
            </w:tcBorders>
            <w:shd w:val="clear" w:color="auto" w:fill="FFFFFF"/>
            <w:vAlign w:val="center"/>
          </w:tcPr>
          <w:p w14:paraId="03E08D8A">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0.0137</w:t>
            </w:r>
          </w:p>
        </w:tc>
        <w:tc>
          <w:tcPr>
            <w:tcW w:w="0" w:type="auto"/>
            <w:tcBorders>
              <w:top w:val="nil"/>
              <w:left w:val="nil"/>
              <w:bottom w:val="single" w:color="000000" w:themeColor="dark1" w:sz="12" w:space="0"/>
              <w:right w:val="nil"/>
            </w:tcBorders>
            <w:shd w:val="clear" w:color="auto" w:fill="FFFFFF"/>
            <w:vAlign w:val="center"/>
          </w:tcPr>
          <w:p w14:paraId="099CE824">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0.0164</w:t>
            </w:r>
          </w:p>
        </w:tc>
        <w:tc>
          <w:tcPr>
            <w:tcW w:w="0" w:type="auto"/>
            <w:tcBorders>
              <w:top w:val="nil"/>
              <w:left w:val="nil"/>
              <w:bottom w:val="single" w:color="000000" w:themeColor="dark1" w:sz="12" w:space="0"/>
              <w:right w:val="nil"/>
            </w:tcBorders>
            <w:shd w:val="clear" w:color="auto" w:fill="FFFFFF"/>
            <w:vAlign w:val="center"/>
          </w:tcPr>
          <w:p w14:paraId="28026D8E">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−0.0233 to 0.0508</w:t>
            </w:r>
          </w:p>
        </w:tc>
        <w:tc>
          <w:tcPr>
            <w:tcW w:w="0" w:type="auto"/>
            <w:tcBorders>
              <w:top w:val="nil"/>
              <w:left w:val="nil"/>
              <w:bottom w:val="single" w:color="000000" w:themeColor="dark1" w:sz="12" w:space="0"/>
              <w:right w:val="nil"/>
            </w:tcBorders>
            <w:shd w:val="clear" w:color="auto" w:fill="FFFFFF"/>
            <w:vAlign w:val="center"/>
          </w:tcPr>
          <w:p w14:paraId="4B1B7660">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0.839</w:t>
            </w:r>
          </w:p>
        </w:tc>
        <w:tc>
          <w:tcPr>
            <w:tcW w:w="0" w:type="auto"/>
            <w:tcBorders>
              <w:top w:val="nil"/>
              <w:left w:val="nil"/>
              <w:bottom w:val="single" w:color="000000" w:themeColor="dark1" w:sz="12" w:space="0"/>
              <w:right w:val="nil"/>
            </w:tcBorders>
            <w:shd w:val="clear" w:color="auto" w:fill="FFFFFF"/>
            <w:vAlign w:val="center"/>
          </w:tcPr>
          <w:p w14:paraId="72C4703E">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0.423280</w:t>
            </w:r>
          </w:p>
        </w:tc>
        <w:tc>
          <w:tcPr>
            <w:tcW w:w="0" w:type="auto"/>
            <w:tcBorders>
              <w:top w:val="nil"/>
              <w:left w:val="nil"/>
              <w:bottom w:val="single" w:color="000000" w:themeColor="dark1" w:sz="12" w:space="0"/>
              <w:right w:val="nil"/>
            </w:tcBorders>
            <w:shd w:val="clear" w:color="auto" w:fill="FFFFFF"/>
            <w:vAlign w:val="center"/>
          </w:tcPr>
          <w:p w14:paraId="4FBAEF51">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1.000000</w:t>
            </w:r>
          </w:p>
        </w:tc>
        <w:tc>
          <w:tcPr>
            <w:tcW w:w="0" w:type="auto"/>
            <w:tcBorders>
              <w:top w:val="nil"/>
              <w:left w:val="nil"/>
              <w:bottom w:val="single" w:color="000000" w:themeColor="dark1" w:sz="12" w:space="0"/>
              <w:right w:val="nil"/>
            </w:tcBorders>
            <w:shd w:val="clear" w:color="auto" w:fill="FFFFFF"/>
            <w:vAlign w:val="center"/>
          </w:tcPr>
          <w:p w14:paraId="68EAF3CC">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6,092</w:t>
            </w:r>
          </w:p>
        </w:tc>
        <w:tc>
          <w:tcPr>
            <w:tcW w:w="0" w:type="auto"/>
            <w:tcBorders>
              <w:top w:val="nil"/>
              <w:left w:val="nil"/>
              <w:bottom w:val="single" w:color="000000" w:themeColor="dark1" w:sz="12" w:space="0"/>
              <w:right w:val="nil"/>
            </w:tcBorders>
            <w:shd w:val="clear" w:color="auto" w:fill="FFFFFF"/>
            <w:vAlign w:val="center"/>
          </w:tcPr>
          <w:p w14:paraId="60D26251">
            <w:pPr>
              <w:spacing w:before="0" w:after="0" w:line="240" w:lineRule="auto"/>
              <w:jc w:val="center"/>
              <w:rPr>
                <w:rFonts w:hint="default" w:ascii="Arial" w:hAnsi="Arial" w:cs="Arial" w:eastAsiaTheme="minorEastAsia"/>
                <w:b w:val="0"/>
                <w:i w:val="0"/>
                <w:color w:val="08090C"/>
                <w:sz w:val="18"/>
                <w:szCs w:val="18"/>
                <w:lang w:val="en-GB" w:eastAsia="en-US" w:bidi="ar-SA"/>
              </w:rPr>
            </w:pPr>
            <w:r>
              <w:rPr>
                <w:rFonts w:hint="default" w:ascii="Arial" w:hAnsi="Arial" w:cs="Arial"/>
                <w:b w:val="0"/>
                <w:i w:val="0"/>
                <w:color w:val="08090C"/>
                <w:sz w:val="18"/>
                <w:szCs w:val="18"/>
              </w:rPr>
              <w:t>10</w:t>
            </w:r>
          </w:p>
        </w:tc>
      </w:tr>
    </w:tbl>
    <w:p w14:paraId="45178D68">
      <w:pPr>
        <w:keepNext w:val="0"/>
        <w:keepLines w:val="0"/>
        <w:pageBreakBefore w:val="0"/>
        <w:widowControl/>
        <w:kinsoku/>
        <w:wordWrap/>
        <w:overflowPunct/>
        <w:topLinePunct w:val="0"/>
        <w:autoSpaceDE/>
        <w:autoSpaceDN/>
        <w:bidi w:val="0"/>
        <w:adjustRightInd/>
        <w:snapToGrid/>
        <w:spacing w:after="0" w:line="360" w:lineRule="auto"/>
        <w:jc w:val="both"/>
        <w:textAlignment w:val="auto"/>
        <w:rPr>
          <w:rFonts w:hint="eastAsia"/>
          <w:i/>
          <w:iCs/>
          <w:sz w:val="20"/>
        </w:rPr>
      </w:pPr>
      <w:r>
        <w:rPr>
          <w:rFonts w:hint="eastAsia"/>
          <w:i/>
          <w:iCs/>
          <w:sz w:val="20"/>
        </w:rPr>
        <w:t>School-cluster-robust inference for all 30 cross-domain paths in the original six-domain model. CR1 standard errors were clustered across 10 baseline schools; 95% confidence intervals and two-sided P values used t(9), with Bonferroni correction across 30 paths. This model did not include age, sex or grade. Normal-reference results are provided in Supplementary Data 1.</w:t>
      </w:r>
    </w:p>
    <w:p w14:paraId="17BE8BF3">
      <w:pPr>
        <w:jc w:val="both"/>
        <w:rPr>
          <w:rFonts w:hint="eastAsia"/>
          <w:sz w:val="20"/>
        </w:rPr>
      </w:pPr>
    </w:p>
    <w:p w14:paraId="2BDDEC0D">
      <w:pPr>
        <w:jc w:val="both"/>
        <w:rPr>
          <w:rFonts w:hint="eastAsia"/>
          <w:sz w:val="20"/>
        </w:rPr>
      </w:pPr>
    </w:p>
    <w:p w14:paraId="605123DD">
      <w:pPr>
        <w:jc w:val="both"/>
        <w:rPr>
          <w:rFonts w:hint="eastAsia"/>
          <w:sz w:val="20"/>
        </w:rPr>
      </w:pPr>
    </w:p>
    <w:p w14:paraId="56D9E007">
      <w:pPr>
        <w:jc w:val="both"/>
        <w:rPr>
          <w:rFonts w:hint="eastAsia"/>
          <w:sz w:val="20"/>
        </w:rPr>
      </w:pPr>
    </w:p>
    <w:p w14:paraId="2FF5914B">
      <w:pPr>
        <w:jc w:val="both"/>
        <w:rPr>
          <w:rFonts w:hint="eastAsia"/>
          <w:sz w:val="20"/>
        </w:rPr>
      </w:pPr>
    </w:p>
    <w:p w14:paraId="0174BF13">
      <w:pPr>
        <w:jc w:val="both"/>
        <w:rPr>
          <w:rFonts w:hint="eastAsia"/>
          <w:sz w:val="20"/>
        </w:rPr>
      </w:pPr>
    </w:p>
    <w:p w14:paraId="04478B39">
      <w:pPr>
        <w:jc w:val="both"/>
        <w:rPr>
          <w:rFonts w:hint="eastAsia"/>
          <w:sz w:val="20"/>
        </w:rPr>
      </w:pPr>
    </w:p>
    <w:p w14:paraId="2C688AD0">
      <w:pPr>
        <w:keepNext/>
        <w:spacing w:before="160" w:after="40"/>
        <w:jc w:val="left"/>
        <w:rPr>
          <w:rFonts w:hint="default" w:ascii="Arial" w:hAnsi="Arial" w:cs="Arial"/>
          <w:b/>
          <w:color w:val="auto"/>
          <w:sz w:val="22"/>
          <w:szCs w:val="22"/>
        </w:rPr>
      </w:pPr>
      <w:r>
        <w:rPr>
          <w:rFonts w:hint="default" w:ascii="Arial" w:hAnsi="Arial" w:cs="Arial"/>
          <w:color w:val="auto"/>
        </w:rPr>
        <w:t>Supplementary Table S14. Domain-level structural strength versus net cross-lagged directionality</w:t>
      </w:r>
    </w:p>
    <w:tbl>
      <w:tblPr>
        <w:tblStyle w:val="32"/>
        <w:tblW w:w="0" w:type="auto"/>
        <w:jc w:val="center"/>
        <w:tblLayout w:type="fixed"/>
        <w:tblCellMar>
          <w:top w:w="0" w:type="dxa"/>
          <w:left w:w="108" w:type="dxa"/>
          <w:bottom w:w="0" w:type="dxa"/>
          <w:right w:w="108" w:type="dxa"/>
        </w:tblCellMar>
      </w:tblPr>
      <w:tblGrid>
        <w:gridCol w:w="1872"/>
        <w:gridCol w:w="1872"/>
        <w:gridCol w:w="1872"/>
        <w:gridCol w:w="1872"/>
        <w:gridCol w:w="1872"/>
      </w:tblGrid>
      <w:tr w14:paraId="76AE08CC">
        <w:tblPrEx>
          <w:tblCellMar>
            <w:top w:w="0" w:type="dxa"/>
            <w:left w:w="108" w:type="dxa"/>
            <w:bottom w:w="0" w:type="dxa"/>
            <w:right w:w="108" w:type="dxa"/>
          </w:tblCellMar>
        </w:tblPrEx>
        <w:trPr>
          <w:cantSplit/>
          <w:tblHeader/>
          <w:jc w:val="center"/>
        </w:trPr>
        <w:tc>
          <w:tcPr>
            <w:tcW w:w="1872"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388F6F55">
            <w:pPr>
              <w:spacing w:before="0" w:after="0" w:line="240" w:lineRule="auto"/>
              <w:rPr>
                <w:rFonts w:hint="default" w:ascii="Arial" w:hAnsi="Arial" w:cs="Arial"/>
                <w:color w:val="auto"/>
              </w:rPr>
            </w:pPr>
            <w:r>
              <w:rPr>
                <w:rFonts w:hint="default" w:ascii="Arial" w:hAnsi="Arial" w:cs="Arial"/>
                <w:color w:val="auto"/>
              </w:rPr>
              <w:t>Domain</w:t>
            </w:r>
          </w:p>
        </w:tc>
        <w:tc>
          <w:tcPr>
            <w:tcW w:w="1872"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257CA88F">
            <w:pPr>
              <w:spacing w:before="0" w:after="0" w:line="240" w:lineRule="auto"/>
              <w:rPr>
                <w:rFonts w:hint="default" w:ascii="Arial" w:hAnsi="Arial" w:cs="Arial"/>
                <w:color w:val="auto"/>
              </w:rPr>
            </w:pPr>
            <w:r>
              <w:rPr>
                <w:rFonts w:hint="default" w:ascii="Arial" w:hAnsi="Arial" w:cs="Arial"/>
                <w:color w:val="auto"/>
              </w:rPr>
              <w:t>Baseline domain strength</w:t>
            </w:r>
          </w:p>
        </w:tc>
        <w:tc>
          <w:tcPr>
            <w:tcW w:w="1872"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719C7CBB">
            <w:pPr>
              <w:spacing w:before="0" w:after="0" w:line="240" w:lineRule="auto"/>
              <w:rPr>
                <w:rFonts w:hint="default" w:ascii="Arial" w:hAnsi="Arial" w:cs="Arial"/>
                <w:color w:val="auto"/>
              </w:rPr>
            </w:pPr>
            <w:r>
              <w:rPr>
                <w:rFonts w:hint="default" w:ascii="Arial" w:hAnsi="Arial" w:cs="Arial"/>
                <w:color w:val="auto"/>
              </w:rPr>
              <w:t>CLPN net directionality</w:t>
            </w:r>
          </w:p>
        </w:tc>
        <w:tc>
          <w:tcPr>
            <w:tcW w:w="1872"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02E29B00">
            <w:pPr>
              <w:spacing w:before="0" w:after="0" w:line="240" w:lineRule="auto"/>
              <w:rPr>
                <w:rFonts w:hint="default" w:ascii="Arial" w:hAnsi="Arial" w:cs="Arial"/>
                <w:color w:val="auto"/>
              </w:rPr>
            </w:pPr>
            <w:r>
              <w:rPr>
                <w:rFonts w:hint="default" w:ascii="Arial" w:hAnsi="Arial" w:cs="Arial"/>
                <w:color w:val="auto"/>
              </w:rPr>
              <w:t>Structural rank</w:t>
            </w:r>
          </w:p>
        </w:tc>
        <w:tc>
          <w:tcPr>
            <w:tcW w:w="1872"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211A8AFA">
            <w:pPr>
              <w:spacing w:before="0" w:after="0" w:line="240" w:lineRule="auto"/>
              <w:rPr>
                <w:rFonts w:hint="default" w:ascii="Arial" w:hAnsi="Arial" w:cs="Arial"/>
                <w:color w:val="auto"/>
              </w:rPr>
            </w:pPr>
            <w:r>
              <w:rPr>
                <w:rFonts w:hint="default" w:ascii="Arial" w:hAnsi="Arial" w:cs="Arial"/>
                <w:color w:val="auto"/>
              </w:rPr>
              <w:t>Temporal rank</w:t>
            </w:r>
          </w:p>
        </w:tc>
      </w:tr>
      <w:tr w14:paraId="15E4D70C">
        <w:tblPrEx>
          <w:tblCellMar>
            <w:top w:w="0" w:type="dxa"/>
            <w:left w:w="108" w:type="dxa"/>
            <w:bottom w:w="0" w:type="dxa"/>
            <w:right w:w="108" w:type="dxa"/>
          </w:tblCellMar>
        </w:tblPrEx>
        <w:trPr>
          <w:cantSplit/>
          <w:jc w:val="center"/>
        </w:trPr>
        <w:tc>
          <w:tcPr>
            <w:tcW w:w="1872"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0D9474E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CIAS</w:t>
            </w:r>
          </w:p>
        </w:tc>
        <w:tc>
          <w:tcPr>
            <w:tcW w:w="1872"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13562A2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0.965</w:t>
            </w:r>
          </w:p>
        </w:tc>
        <w:tc>
          <w:tcPr>
            <w:tcW w:w="1872"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6B9ABD6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-0.061</w:t>
            </w:r>
          </w:p>
        </w:tc>
        <w:tc>
          <w:tcPr>
            <w:tcW w:w="1872"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2A61FA7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w:t>
            </w:r>
          </w:p>
        </w:tc>
        <w:tc>
          <w:tcPr>
            <w:tcW w:w="1872"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0BD217B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4</w:t>
            </w:r>
          </w:p>
        </w:tc>
      </w:tr>
      <w:tr w14:paraId="72F197FF">
        <w:tblPrEx>
          <w:tblCellMar>
            <w:top w:w="0" w:type="dxa"/>
            <w:left w:w="108" w:type="dxa"/>
            <w:bottom w:w="0" w:type="dxa"/>
            <w:right w:w="108" w:type="dxa"/>
          </w:tblCellMar>
        </w:tblPrEx>
        <w:trPr>
          <w:cantSplit/>
          <w:jc w:val="center"/>
        </w:trPr>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071A9BB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DASS</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22D553D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1.388</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6CFF139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0.249</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109F343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46A2E9D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w:t>
            </w:r>
          </w:p>
        </w:tc>
      </w:tr>
      <w:tr w14:paraId="23F35D75">
        <w:tblPrEx>
          <w:tblCellMar>
            <w:top w:w="0" w:type="dxa"/>
            <w:left w:w="108" w:type="dxa"/>
            <w:bottom w:w="0" w:type="dxa"/>
            <w:right w:w="108" w:type="dxa"/>
          </w:tblCellMar>
        </w:tblPrEx>
        <w:trPr>
          <w:cantSplit/>
          <w:jc w:val="center"/>
        </w:trPr>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3961090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SDQ</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5AA3061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0.732</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3B2E5A7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-0.09</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7C50FEC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4</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4A4A6AE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5</w:t>
            </w:r>
          </w:p>
        </w:tc>
      </w:tr>
      <w:tr w14:paraId="584849FE">
        <w:tblPrEx>
          <w:tblCellMar>
            <w:top w:w="0" w:type="dxa"/>
            <w:left w:w="108" w:type="dxa"/>
            <w:bottom w:w="0" w:type="dxa"/>
            <w:right w:w="108" w:type="dxa"/>
          </w:tblCellMar>
        </w:tblPrEx>
        <w:trPr>
          <w:cantSplit/>
          <w:jc w:val="center"/>
        </w:trPr>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4A5526E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DIET</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3FC3084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0.512</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3821256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-0.014</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6AA5585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5</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643B76C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3</w:t>
            </w:r>
          </w:p>
        </w:tc>
      </w:tr>
      <w:tr w14:paraId="096BA15B">
        <w:tblPrEx>
          <w:tblCellMar>
            <w:top w:w="0" w:type="dxa"/>
            <w:left w:w="108" w:type="dxa"/>
            <w:bottom w:w="0" w:type="dxa"/>
            <w:right w:w="108" w:type="dxa"/>
          </w:tblCellMar>
        </w:tblPrEx>
        <w:trPr>
          <w:cantSplit/>
          <w:jc w:val="center"/>
        </w:trPr>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684B7AB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ISI</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32B0092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0.781</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265C50B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0.061</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3E909E9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3</w:t>
            </w:r>
          </w:p>
        </w:tc>
        <w:tc>
          <w:tcPr>
            <w:tcW w:w="1872" w:type="dxa"/>
            <w:tcBorders>
              <w:top w:val="nil"/>
              <w:left w:val="nil"/>
              <w:bottom w:val="nil"/>
              <w:right w:val="nil"/>
            </w:tcBorders>
            <w:shd w:val="clear" w:color="auto" w:fill="FFFFFF"/>
            <w:tcMar>
              <w:top w:w="40" w:type="dxa"/>
              <w:left w:w="80" w:type="dxa"/>
              <w:bottom w:w="40" w:type="dxa"/>
              <w:right w:w="80" w:type="dxa"/>
            </w:tcMar>
            <w:vAlign w:val="center"/>
          </w:tcPr>
          <w:p w14:paraId="4D21169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w:t>
            </w:r>
          </w:p>
        </w:tc>
      </w:tr>
      <w:tr w14:paraId="67157EFD">
        <w:tblPrEx>
          <w:tblCellMar>
            <w:top w:w="0" w:type="dxa"/>
            <w:left w:w="108" w:type="dxa"/>
            <w:bottom w:w="0" w:type="dxa"/>
            <w:right w:w="108" w:type="dxa"/>
          </w:tblCellMar>
        </w:tblPrEx>
        <w:trPr>
          <w:cantSplit/>
          <w:jc w:val="center"/>
        </w:trPr>
        <w:tc>
          <w:tcPr>
            <w:tcW w:w="1872"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0119CA0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ACT</w:t>
            </w:r>
          </w:p>
        </w:tc>
        <w:tc>
          <w:tcPr>
            <w:tcW w:w="1872"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5567F0D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0.412</w:t>
            </w:r>
          </w:p>
        </w:tc>
        <w:tc>
          <w:tcPr>
            <w:tcW w:w="1872"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0F90405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-0.145</w:t>
            </w:r>
          </w:p>
        </w:tc>
        <w:tc>
          <w:tcPr>
            <w:tcW w:w="1872"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2C00A6F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6</w:t>
            </w:r>
          </w:p>
        </w:tc>
        <w:tc>
          <w:tcPr>
            <w:tcW w:w="1872"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301314E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6</w:t>
            </w:r>
          </w:p>
        </w:tc>
      </w:tr>
    </w:tbl>
    <w:p w14:paraId="582FBCDD">
      <w:pPr>
        <w:jc w:val="both"/>
        <w:rPr>
          <w:rFonts w:hint="default" w:ascii="Arial" w:hAnsi="Arial" w:cs="Arial"/>
          <w:i/>
          <w:color w:val="auto"/>
          <w:sz w:val="18"/>
        </w:rPr>
      </w:pPr>
      <w:r>
        <w:rPr>
          <w:rFonts w:hint="default" w:ascii="Arial" w:hAnsi="Arial" w:cs="Arial"/>
          <w:i/>
          <w:color w:val="auto"/>
          <w:sz w:val="18"/>
        </w:rPr>
        <w:t xml:space="preserve">Aggregated to six domains, </w:t>
      </w:r>
      <w:r>
        <w:rPr>
          <w:rFonts w:hint="eastAsia" w:eastAsia="宋体" w:cs="Arial"/>
          <w:i/>
          <w:color w:val="auto"/>
          <w:sz w:val="18"/>
          <w:lang w:val="en-US" w:eastAsia="zh-CN"/>
        </w:rPr>
        <w:t>b</w:t>
      </w:r>
      <w:r>
        <w:rPr>
          <w:rFonts w:hint="default" w:ascii="Arial" w:hAnsi="Arial" w:cs="Arial"/>
          <w:i/>
          <w:color w:val="auto"/>
          <w:sz w:val="18"/>
        </w:rPr>
        <w:t>aseline domain strength and CLPN net directionality both ranked DASS first and ACT last; ranks of the remaining domains differed (Spearman ρ = 0.71 across six domains).</w:t>
      </w:r>
    </w:p>
    <w:p w14:paraId="5BBF942B">
      <w:pPr>
        <w:jc w:val="both"/>
        <w:rPr>
          <w:rFonts w:hint="default" w:ascii="Arial" w:hAnsi="Arial" w:cs="Arial"/>
          <w:i/>
          <w:color w:val="auto"/>
          <w:sz w:val="18"/>
        </w:rPr>
      </w:pPr>
    </w:p>
    <w:p w14:paraId="18CD73D8">
      <w:pPr>
        <w:jc w:val="both"/>
        <w:rPr>
          <w:rFonts w:hint="default" w:ascii="Arial" w:hAnsi="Arial" w:cs="Arial"/>
          <w:i/>
          <w:color w:val="auto"/>
          <w:sz w:val="18"/>
        </w:rPr>
      </w:pPr>
    </w:p>
    <w:p w14:paraId="05371793">
      <w:pPr>
        <w:jc w:val="both"/>
        <w:rPr>
          <w:rFonts w:hint="default" w:ascii="Arial" w:hAnsi="Arial" w:cs="Arial"/>
          <w:i/>
          <w:color w:val="auto"/>
          <w:sz w:val="18"/>
        </w:rPr>
      </w:pPr>
    </w:p>
    <w:p w14:paraId="0F8D9532">
      <w:pPr>
        <w:spacing w:before="160" w:after="40"/>
        <w:jc w:val="left"/>
        <w:rPr>
          <w:rFonts w:hint="default" w:ascii="Arial" w:hAnsi="Arial" w:cs="Arial"/>
          <w:b/>
          <w:color w:val="auto"/>
          <w:sz w:val="22"/>
          <w:szCs w:val="22"/>
        </w:rPr>
      </w:pPr>
    </w:p>
    <w:p w14:paraId="3A6D61F2">
      <w:pPr>
        <w:keepNext/>
        <w:spacing w:before="160" w:after="40"/>
        <w:jc w:val="left"/>
        <w:rPr>
          <w:rFonts w:hint="default" w:ascii="Arial" w:hAnsi="Arial" w:cs="Arial"/>
          <w:color w:val="auto"/>
        </w:rPr>
      </w:pPr>
      <w:r>
        <w:rPr>
          <w:rFonts w:hint="default" w:ascii="Arial" w:hAnsi="Arial" w:cs="Arial"/>
          <w:color w:val="auto"/>
        </w:rPr>
        <w:t>Supplementary Table S15. Exploratory CLPN–DAG directional comparison</w:t>
      </w:r>
    </w:p>
    <w:tbl>
      <w:tblPr>
        <w:tblStyle w:val="32"/>
        <w:tblW w:w="0" w:type="auto"/>
        <w:jc w:val="center"/>
        <w:tblLayout w:type="fixed"/>
        <w:tblCellMar>
          <w:top w:w="0" w:type="dxa"/>
          <w:left w:w="108" w:type="dxa"/>
          <w:bottom w:w="0" w:type="dxa"/>
          <w:right w:w="108" w:type="dxa"/>
        </w:tblCellMar>
      </w:tblPr>
      <w:tblGrid>
        <w:gridCol w:w="3168"/>
        <w:gridCol w:w="6192"/>
      </w:tblGrid>
      <w:tr w14:paraId="1E8D40EE">
        <w:tblPrEx>
          <w:tblCellMar>
            <w:top w:w="0" w:type="dxa"/>
            <w:left w:w="108" w:type="dxa"/>
            <w:bottom w:w="0" w:type="dxa"/>
            <w:right w:w="108" w:type="dxa"/>
          </w:tblCellMar>
        </w:tblPrEx>
        <w:trPr>
          <w:cantSplit/>
          <w:tblHeader/>
          <w:jc w:val="center"/>
        </w:trPr>
        <w:tc>
          <w:tcPr>
            <w:tcW w:w="3168"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11535DD4">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statistic</w:t>
            </w:r>
          </w:p>
        </w:tc>
        <w:tc>
          <w:tcPr>
            <w:tcW w:w="6192"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46434A7C">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value</w:t>
            </w:r>
          </w:p>
        </w:tc>
      </w:tr>
      <w:tr w14:paraId="66BB6CD8">
        <w:tblPrEx>
          <w:tblCellMar>
            <w:top w:w="0" w:type="dxa"/>
            <w:left w:w="108" w:type="dxa"/>
            <w:bottom w:w="0" w:type="dxa"/>
            <w:right w:w="108" w:type="dxa"/>
          </w:tblCellMar>
        </w:tblPrEx>
        <w:trPr>
          <w:cantSplit/>
          <w:jc w:val="center"/>
        </w:trPr>
        <w:tc>
          <w:tcPr>
            <w:tcW w:w="3168"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34C91CAB">
            <w:pPr>
              <w:keepNext w:val="0"/>
              <w:keepLines w:val="0"/>
              <w:widowControl/>
              <w:suppressLineNumbers w:val="0"/>
              <w:snapToGrid w:val="0"/>
              <w:spacing w:line="240" w:lineRule="auto"/>
              <w:ind w:left="0" w:leftChars="0" w:right="0" w:rightChars="0" w:firstLine="0" w:firstLineChars="0"/>
              <w:jc w:val="center"/>
            </w:pPr>
            <w:r>
              <w:rPr>
                <w:rFonts w:hint="default" w:ascii="Arial" w:hAnsi="Arial" w:eastAsia="宋体" w:cs="Arial"/>
                <w:b w:val="0"/>
                <w:i w:val="0"/>
                <w:color w:val="08090C"/>
                <w:kern w:val="0"/>
                <w:sz w:val="18"/>
                <w:szCs w:val="18"/>
                <w:lang w:val="en-US" w:eastAsia="zh-CN" w:bidi="ar"/>
              </w:rPr>
              <w:t>Number of paired domain-level estimates</w:t>
            </w:r>
          </w:p>
        </w:tc>
        <w:tc>
          <w:tcPr>
            <w:tcW w:w="6192"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4CF33D28">
            <w:pPr>
              <w:keepNext w:val="0"/>
              <w:keepLines w:val="0"/>
              <w:widowControl/>
              <w:suppressLineNumbers w:val="0"/>
              <w:snapToGrid w:val="0"/>
              <w:spacing w:line="240" w:lineRule="auto"/>
              <w:ind w:left="0" w:leftChars="0" w:right="0" w:rightChars="0" w:firstLine="0" w:firstLineChars="0"/>
              <w:jc w:val="center"/>
            </w:pPr>
            <w:r>
              <w:rPr>
                <w:rFonts w:hint="default" w:ascii="Arial" w:hAnsi="Arial" w:eastAsia="宋体" w:cs="Arial"/>
                <w:b w:val="0"/>
                <w:i w:val="0"/>
                <w:color w:val="08090C"/>
                <w:kern w:val="0"/>
                <w:sz w:val="18"/>
                <w:szCs w:val="18"/>
                <w:lang w:val="en-US" w:eastAsia="zh-CN" w:bidi="ar"/>
              </w:rPr>
              <w:t>6</w:t>
            </w:r>
          </w:p>
        </w:tc>
      </w:tr>
      <w:tr w14:paraId="7B037D83">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4137E216">
            <w:pPr>
              <w:keepNext w:val="0"/>
              <w:keepLines w:val="0"/>
              <w:widowControl/>
              <w:suppressLineNumbers w:val="0"/>
              <w:snapToGrid w:val="0"/>
              <w:spacing w:line="240" w:lineRule="auto"/>
              <w:ind w:left="0" w:leftChars="0" w:right="0" w:rightChars="0" w:firstLine="0" w:firstLineChars="0"/>
              <w:jc w:val="center"/>
            </w:pPr>
            <w:r>
              <w:rPr>
                <w:rFonts w:hint="default" w:ascii="Arial" w:hAnsi="Arial" w:eastAsia="宋体" w:cs="Arial"/>
                <w:b w:val="0"/>
                <w:i w:val="0"/>
                <w:color w:val="08090C"/>
                <w:kern w:val="0"/>
                <w:sz w:val="18"/>
                <w:szCs w:val="18"/>
                <w:lang w:val="en-US" w:eastAsia="zh-CN" w:bidi="ar"/>
              </w:rPr>
              <w:t>Pearson r</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43C4BE00">
            <w:pPr>
              <w:keepNext w:val="0"/>
              <w:keepLines w:val="0"/>
              <w:widowControl/>
              <w:suppressLineNumbers w:val="0"/>
              <w:snapToGrid w:val="0"/>
              <w:spacing w:line="240" w:lineRule="auto"/>
              <w:ind w:left="0" w:leftChars="0" w:right="0" w:rightChars="0" w:firstLine="0" w:firstLineChars="0"/>
              <w:jc w:val="center"/>
            </w:pPr>
            <w:r>
              <w:rPr>
                <w:rFonts w:hint="default" w:ascii="Arial" w:hAnsi="Arial" w:eastAsia="宋体" w:cs="Arial"/>
                <w:b w:val="0"/>
                <w:i w:val="0"/>
                <w:color w:val="08090C"/>
                <w:kern w:val="0"/>
                <w:sz w:val="18"/>
                <w:szCs w:val="18"/>
                <w:lang w:val="en-US" w:eastAsia="zh-CN" w:bidi="ar"/>
              </w:rPr>
              <w:t>0.750</w:t>
            </w:r>
          </w:p>
        </w:tc>
      </w:tr>
      <w:tr w14:paraId="1AF7851D">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191A59F9">
            <w:pPr>
              <w:keepNext w:val="0"/>
              <w:keepLines w:val="0"/>
              <w:widowControl/>
              <w:suppressLineNumbers w:val="0"/>
              <w:snapToGrid w:val="0"/>
              <w:spacing w:line="240" w:lineRule="auto"/>
              <w:ind w:left="0" w:leftChars="0" w:right="0" w:rightChars="0" w:firstLine="0" w:firstLineChars="0"/>
              <w:jc w:val="center"/>
            </w:pPr>
            <w:r>
              <w:rPr>
                <w:rFonts w:hint="default" w:ascii="Arial" w:hAnsi="Arial" w:eastAsia="宋体" w:cs="Arial"/>
                <w:b w:val="0"/>
                <w:i w:val="0"/>
                <w:color w:val="08090C"/>
                <w:kern w:val="0"/>
                <w:sz w:val="18"/>
                <w:szCs w:val="18"/>
                <w:lang w:val="en-US" w:eastAsia="zh-CN" w:bidi="ar"/>
              </w:rPr>
              <w:t>Pearson df</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7F6A22A0">
            <w:pPr>
              <w:keepNext w:val="0"/>
              <w:keepLines w:val="0"/>
              <w:widowControl/>
              <w:suppressLineNumbers w:val="0"/>
              <w:snapToGrid w:val="0"/>
              <w:spacing w:line="240" w:lineRule="auto"/>
              <w:ind w:left="0" w:leftChars="0" w:right="0" w:rightChars="0" w:firstLine="0" w:firstLineChars="0"/>
              <w:jc w:val="center"/>
            </w:pPr>
            <w:r>
              <w:rPr>
                <w:rFonts w:hint="default" w:ascii="Arial" w:hAnsi="Arial" w:eastAsia="宋体" w:cs="Arial"/>
                <w:b w:val="0"/>
                <w:i w:val="0"/>
                <w:color w:val="08090C"/>
                <w:kern w:val="0"/>
                <w:sz w:val="18"/>
                <w:szCs w:val="18"/>
                <w:lang w:val="en-US" w:eastAsia="zh-CN" w:bidi="ar"/>
              </w:rPr>
              <w:t>4</w:t>
            </w:r>
          </w:p>
        </w:tc>
      </w:tr>
      <w:tr w14:paraId="03294981">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21A56DC4">
            <w:pPr>
              <w:keepNext w:val="0"/>
              <w:keepLines w:val="0"/>
              <w:widowControl/>
              <w:suppressLineNumbers w:val="0"/>
              <w:snapToGrid w:val="0"/>
              <w:spacing w:line="240" w:lineRule="auto"/>
              <w:ind w:left="0" w:leftChars="0" w:right="0" w:rightChars="0" w:firstLine="0" w:firstLineChars="0"/>
              <w:jc w:val="center"/>
            </w:pPr>
            <w:r>
              <w:rPr>
                <w:rFonts w:hint="default" w:ascii="Arial" w:hAnsi="Arial" w:eastAsia="宋体" w:cs="Arial"/>
                <w:b w:val="0"/>
                <w:i w:val="0"/>
                <w:color w:val="08090C"/>
                <w:kern w:val="0"/>
                <w:sz w:val="18"/>
                <w:szCs w:val="18"/>
                <w:lang w:val="en-US" w:eastAsia="zh-CN" w:bidi="ar"/>
              </w:rPr>
              <w:t>Pearson P (two-sided)</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3FA91DD6">
            <w:pPr>
              <w:keepNext w:val="0"/>
              <w:keepLines w:val="0"/>
              <w:widowControl/>
              <w:suppressLineNumbers w:val="0"/>
              <w:snapToGrid w:val="0"/>
              <w:spacing w:line="240" w:lineRule="auto"/>
              <w:ind w:left="0" w:leftChars="0" w:right="0" w:rightChars="0" w:firstLine="0" w:firstLineChars="0"/>
              <w:jc w:val="center"/>
            </w:pPr>
            <w:r>
              <w:rPr>
                <w:rFonts w:hint="default" w:ascii="Arial" w:hAnsi="Arial" w:eastAsia="宋体" w:cs="Arial"/>
                <w:b w:val="0"/>
                <w:i w:val="0"/>
                <w:color w:val="08090C"/>
                <w:kern w:val="0"/>
                <w:sz w:val="18"/>
                <w:szCs w:val="18"/>
                <w:lang w:val="en-US" w:eastAsia="zh-CN" w:bidi="ar"/>
              </w:rPr>
              <w:t>0.086</w:t>
            </w:r>
          </w:p>
        </w:tc>
      </w:tr>
      <w:tr w14:paraId="5A485A1F">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4FF2FC68">
            <w:pPr>
              <w:keepNext w:val="0"/>
              <w:keepLines w:val="0"/>
              <w:widowControl/>
              <w:suppressLineNumbers w:val="0"/>
              <w:snapToGrid w:val="0"/>
              <w:spacing w:line="240" w:lineRule="auto"/>
              <w:ind w:left="0" w:leftChars="0" w:right="0" w:rightChars="0" w:firstLine="0" w:firstLineChars="0"/>
              <w:jc w:val="center"/>
              <w:rPr>
                <w:rFonts w:hint="default" w:ascii="Arial" w:hAnsi="Arial" w:eastAsia="宋体" w:cs="Arial"/>
                <w:b w:val="0"/>
                <w:i w:val="0"/>
                <w:color w:val="auto"/>
                <w:sz w:val="18"/>
                <w:szCs w:val="18"/>
                <w:lang w:val="en-GB" w:eastAsia="zh-CN"/>
              </w:rPr>
            </w:pPr>
            <w:r>
              <w:rPr>
                <w:rFonts w:hint="default" w:ascii="Arial" w:hAnsi="Arial" w:eastAsia="宋体" w:cs="Arial"/>
                <w:b w:val="0"/>
                <w:i w:val="0"/>
                <w:color w:val="08090C"/>
                <w:kern w:val="0"/>
                <w:sz w:val="18"/>
                <w:szCs w:val="18"/>
                <w:lang w:val="en-US" w:eastAsia="zh-CN" w:bidi="ar"/>
              </w:rPr>
              <w:t>Pearson bootstrap 95% CI</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37C9F853">
            <w:pPr>
              <w:keepNext w:val="0"/>
              <w:keepLines w:val="0"/>
              <w:widowControl/>
              <w:suppressLineNumbers w:val="0"/>
              <w:snapToGrid w:val="0"/>
              <w:spacing w:line="240" w:lineRule="auto"/>
              <w:ind w:left="0" w:leftChars="0" w:right="0" w:rightChars="0" w:firstLine="0" w:firstLineChars="0"/>
              <w:jc w:val="center"/>
              <w:rPr>
                <w:rFonts w:hint="default" w:ascii="Arial" w:hAnsi="Arial" w:cs="Arial"/>
                <w:b w:val="0"/>
                <w:i w:val="0"/>
                <w:color w:val="auto"/>
                <w:sz w:val="18"/>
                <w:szCs w:val="18"/>
              </w:rPr>
            </w:pPr>
            <w:r>
              <w:rPr>
                <w:rFonts w:hint="default" w:ascii="Arial" w:hAnsi="Arial" w:eastAsia="宋体" w:cs="Arial"/>
                <w:b w:val="0"/>
                <w:i w:val="0"/>
                <w:color w:val="08090C"/>
                <w:kern w:val="0"/>
                <w:sz w:val="18"/>
                <w:szCs w:val="18"/>
                <w:lang w:val="en-US" w:eastAsia="zh-CN" w:bidi="ar"/>
              </w:rPr>
              <w:t>−0.604 to 0.995</w:t>
            </w:r>
          </w:p>
        </w:tc>
      </w:tr>
      <w:tr w14:paraId="7832B044">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24B64C87">
            <w:pPr>
              <w:keepNext w:val="0"/>
              <w:keepLines w:val="0"/>
              <w:widowControl/>
              <w:suppressLineNumbers w:val="0"/>
              <w:snapToGrid w:val="0"/>
              <w:spacing w:line="240" w:lineRule="auto"/>
              <w:ind w:left="0" w:leftChars="0" w:right="0" w:rightChars="0" w:firstLine="0" w:firstLineChars="0"/>
              <w:jc w:val="center"/>
              <w:rPr>
                <w:rFonts w:hint="default" w:ascii="Arial" w:hAnsi="Arial" w:cs="Arial"/>
                <w:b w:val="0"/>
                <w:i w:val="0"/>
                <w:color w:val="auto"/>
                <w:sz w:val="18"/>
                <w:szCs w:val="18"/>
              </w:rPr>
            </w:pPr>
            <w:r>
              <w:rPr>
                <w:rFonts w:hint="default" w:ascii="Arial" w:hAnsi="Arial" w:eastAsia="宋体" w:cs="Arial"/>
                <w:b w:val="0"/>
                <w:i w:val="0"/>
                <w:color w:val="08090C"/>
                <w:kern w:val="0"/>
                <w:sz w:val="18"/>
                <w:szCs w:val="18"/>
                <w:lang w:val="en-US" w:eastAsia="zh-CN" w:bidi="ar"/>
              </w:rPr>
              <w:t>Spearman ρ</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00A294CA">
            <w:pPr>
              <w:keepNext w:val="0"/>
              <w:keepLines w:val="0"/>
              <w:widowControl/>
              <w:suppressLineNumbers w:val="0"/>
              <w:snapToGrid w:val="0"/>
              <w:spacing w:line="240" w:lineRule="auto"/>
              <w:ind w:left="0" w:leftChars="0" w:right="0" w:rightChars="0" w:firstLine="0" w:firstLineChars="0"/>
              <w:jc w:val="center"/>
              <w:rPr>
                <w:rFonts w:hint="default" w:ascii="Arial" w:hAnsi="Arial" w:cs="Arial"/>
                <w:b w:val="0"/>
                <w:i w:val="0"/>
                <w:color w:val="auto"/>
                <w:sz w:val="18"/>
                <w:szCs w:val="18"/>
              </w:rPr>
            </w:pPr>
            <w:r>
              <w:rPr>
                <w:rFonts w:hint="default" w:ascii="Arial" w:hAnsi="Arial" w:eastAsia="宋体" w:cs="Arial"/>
                <w:b w:val="0"/>
                <w:i w:val="0"/>
                <w:color w:val="08090C"/>
                <w:kern w:val="0"/>
                <w:sz w:val="18"/>
                <w:szCs w:val="18"/>
                <w:lang w:val="en-US" w:eastAsia="zh-CN" w:bidi="ar"/>
              </w:rPr>
              <w:t>0.618</w:t>
            </w:r>
          </w:p>
        </w:tc>
      </w:tr>
      <w:tr w14:paraId="23B0D5EB">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4E6C7B3B">
            <w:pPr>
              <w:keepNext w:val="0"/>
              <w:keepLines w:val="0"/>
              <w:widowControl/>
              <w:suppressLineNumbers w:val="0"/>
              <w:snapToGrid w:val="0"/>
              <w:spacing w:line="240" w:lineRule="auto"/>
              <w:ind w:left="0" w:leftChars="0" w:right="0" w:rightChars="0" w:firstLine="0" w:firstLineChars="0"/>
              <w:jc w:val="center"/>
            </w:pPr>
            <w:r>
              <w:rPr>
                <w:rFonts w:hint="default" w:ascii="Arial" w:hAnsi="Arial" w:eastAsia="宋体" w:cs="Arial"/>
                <w:b w:val="0"/>
                <w:i w:val="0"/>
                <w:color w:val="08090C"/>
                <w:kern w:val="0"/>
                <w:sz w:val="18"/>
                <w:szCs w:val="18"/>
                <w:lang w:val="en-US" w:eastAsia="zh-CN" w:bidi="ar"/>
              </w:rPr>
              <w:t>Spearman P (two-sided)</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0837658F">
            <w:pPr>
              <w:keepNext w:val="0"/>
              <w:keepLines w:val="0"/>
              <w:widowControl/>
              <w:suppressLineNumbers w:val="0"/>
              <w:snapToGrid w:val="0"/>
              <w:spacing w:line="240" w:lineRule="auto"/>
              <w:ind w:left="0" w:leftChars="0" w:right="0" w:rightChars="0" w:firstLine="0" w:firstLineChars="0"/>
              <w:jc w:val="center"/>
            </w:pPr>
            <w:r>
              <w:rPr>
                <w:rFonts w:hint="default" w:ascii="Arial" w:hAnsi="Arial" w:eastAsia="宋体" w:cs="Arial"/>
                <w:b w:val="0"/>
                <w:i w:val="0"/>
                <w:color w:val="08090C"/>
                <w:kern w:val="0"/>
                <w:sz w:val="18"/>
                <w:szCs w:val="18"/>
                <w:lang w:val="en-US" w:eastAsia="zh-CN" w:bidi="ar"/>
              </w:rPr>
              <w:t>0.191</w:t>
            </w:r>
          </w:p>
        </w:tc>
      </w:tr>
      <w:tr w14:paraId="4962EACB">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520B5F7A">
            <w:pPr>
              <w:keepNext w:val="0"/>
              <w:keepLines w:val="0"/>
              <w:widowControl/>
              <w:suppressLineNumbers w:val="0"/>
              <w:snapToGrid w:val="0"/>
              <w:spacing w:line="240" w:lineRule="auto"/>
              <w:ind w:left="0" w:leftChars="0" w:right="0" w:rightChars="0" w:firstLine="0" w:firstLineChars="0"/>
              <w:jc w:val="center"/>
              <w:rPr>
                <w:rFonts w:hint="default" w:ascii="Arial" w:hAnsi="Arial" w:cs="Arial"/>
                <w:b w:val="0"/>
                <w:i w:val="0"/>
                <w:color w:val="auto"/>
                <w:sz w:val="18"/>
                <w:szCs w:val="18"/>
              </w:rPr>
            </w:pPr>
            <w:r>
              <w:rPr>
                <w:rFonts w:hint="default" w:ascii="Arial" w:hAnsi="Arial" w:eastAsia="宋体" w:cs="Arial"/>
                <w:b w:val="0"/>
                <w:i w:val="0"/>
                <w:color w:val="08090C"/>
                <w:kern w:val="0"/>
                <w:sz w:val="18"/>
                <w:szCs w:val="18"/>
                <w:lang w:val="en-US" w:eastAsia="zh-CN" w:bidi="ar"/>
              </w:rPr>
              <w:t>Exact Pearson permutation P (two-sided; 720 permutations)</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195ABF20">
            <w:pPr>
              <w:keepNext w:val="0"/>
              <w:keepLines w:val="0"/>
              <w:widowControl/>
              <w:suppressLineNumbers w:val="0"/>
              <w:snapToGrid w:val="0"/>
              <w:spacing w:line="240" w:lineRule="auto"/>
              <w:ind w:left="0" w:leftChars="0" w:right="0" w:rightChars="0" w:firstLine="0" w:firstLineChars="0"/>
              <w:jc w:val="center"/>
              <w:rPr>
                <w:rFonts w:hint="default" w:ascii="Arial" w:hAnsi="Arial" w:cs="Arial"/>
                <w:b w:val="0"/>
                <w:i w:val="0"/>
                <w:color w:val="auto"/>
                <w:sz w:val="18"/>
                <w:szCs w:val="18"/>
              </w:rPr>
            </w:pPr>
            <w:r>
              <w:rPr>
                <w:rFonts w:hint="default" w:ascii="Arial" w:hAnsi="Arial" w:eastAsia="宋体" w:cs="Arial"/>
                <w:b w:val="0"/>
                <w:i w:val="0"/>
                <w:color w:val="08090C"/>
                <w:kern w:val="0"/>
                <w:sz w:val="18"/>
                <w:szCs w:val="18"/>
                <w:lang w:val="en-US" w:eastAsia="zh-CN" w:bidi="ar"/>
              </w:rPr>
              <w:t>0.0778</w:t>
            </w:r>
          </w:p>
        </w:tc>
      </w:tr>
      <w:tr w14:paraId="17C24DB5">
        <w:tblPrEx>
          <w:tblCellMar>
            <w:top w:w="0" w:type="dxa"/>
            <w:left w:w="108" w:type="dxa"/>
            <w:bottom w:w="0" w:type="dxa"/>
            <w:right w:w="108" w:type="dxa"/>
          </w:tblCellMar>
        </w:tblPrEx>
        <w:trPr>
          <w:cantSplit/>
          <w:jc w:val="center"/>
        </w:trPr>
        <w:tc>
          <w:tcPr>
            <w:tcW w:w="3168"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72D6421D">
            <w:pPr>
              <w:keepNext w:val="0"/>
              <w:keepLines w:val="0"/>
              <w:widowControl/>
              <w:suppressLineNumbers w:val="0"/>
              <w:snapToGrid w:val="0"/>
              <w:spacing w:line="240" w:lineRule="auto"/>
              <w:ind w:left="0" w:leftChars="0" w:right="0" w:rightChars="0" w:firstLine="0" w:firstLineChars="0"/>
              <w:jc w:val="center"/>
              <w:rPr>
                <w:rFonts w:hint="default" w:ascii="Arial" w:hAnsi="Arial" w:cs="Arial"/>
                <w:b w:val="0"/>
                <w:i w:val="0"/>
                <w:color w:val="auto"/>
                <w:sz w:val="18"/>
                <w:szCs w:val="18"/>
              </w:rPr>
            </w:pPr>
            <w:r>
              <w:rPr>
                <w:rFonts w:hint="default" w:ascii="Arial" w:hAnsi="Arial" w:eastAsia="宋体" w:cs="Arial"/>
                <w:b w:val="0"/>
                <w:i w:val="0"/>
                <w:color w:val="08090C"/>
                <w:kern w:val="0"/>
                <w:sz w:val="18"/>
                <w:szCs w:val="18"/>
                <w:lang w:val="en-US" w:eastAsia="zh-CN" w:bidi="ar"/>
              </w:rPr>
              <w:t>Paired bootstrap attempts</w:t>
            </w:r>
          </w:p>
        </w:tc>
        <w:tc>
          <w:tcPr>
            <w:tcW w:w="6192"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20B3409B">
            <w:pPr>
              <w:keepNext w:val="0"/>
              <w:keepLines w:val="0"/>
              <w:widowControl/>
              <w:suppressLineNumbers w:val="0"/>
              <w:snapToGrid w:val="0"/>
              <w:spacing w:line="240" w:lineRule="auto"/>
              <w:ind w:left="0" w:leftChars="0" w:right="0" w:rightChars="0" w:firstLine="0" w:firstLineChars="0"/>
              <w:jc w:val="center"/>
              <w:rPr>
                <w:rFonts w:hint="default" w:ascii="Arial" w:hAnsi="Arial" w:cs="Arial"/>
                <w:b w:val="0"/>
                <w:i w:val="0"/>
                <w:color w:val="auto"/>
                <w:sz w:val="18"/>
                <w:szCs w:val="18"/>
              </w:rPr>
            </w:pPr>
            <w:r>
              <w:rPr>
                <w:rFonts w:hint="default" w:ascii="Arial" w:hAnsi="Arial" w:eastAsia="宋体" w:cs="Arial"/>
                <w:b w:val="0"/>
                <w:i w:val="0"/>
                <w:color w:val="08090C"/>
                <w:kern w:val="0"/>
                <w:sz w:val="18"/>
                <w:szCs w:val="18"/>
                <w:lang w:val="en-US" w:eastAsia="zh-CN" w:bidi="ar"/>
              </w:rPr>
              <w:t>5,000</w:t>
            </w:r>
          </w:p>
        </w:tc>
      </w:tr>
    </w:tbl>
    <w:p w14:paraId="703B1A1C">
      <w:pPr>
        <w:jc w:val="both"/>
        <w:rPr>
          <w:rFonts w:hint="default" w:ascii="Arial" w:hAnsi="Arial" w:cs="Arial"/>
          <w:i/>
          <w:color w:val="auto"/>
          <w:sz w:val="18"/>
        </w:rPr>
      </w:pPr>
      <w:r>
        <w:rPr>
          <w:rFonts w:hint="default" w:ascii="Arial" w:hAnsi="Arial" w:cs="Arial"/>
          <w:i/>
          <w:color w:val="auto"/>
          <w:sz w:val="18"/>
        </w:rPr>
        <w:t>Across six paired domain-level estimates, Pearson r = 0.750 (df = 4, two-sided P = 0.086; bootstrap 95% CI, −0.604 to 0.995), Spearman ρ = 0.618 (two-sided P = 0.191), and the exact two-sided Pearson permutation P was 0.0778.</w:t>
      </w:r>
    </w:p>
    <w:p w14:paraId="23D1AE2A">
      <w:pPr>
        <w:jc w:val="both"/>
        <w:rPr>
          <w:rFonts w:hint="default" w:ascii="Arial" w:hAnsi="Arial" w:cs="Arial"/>
          <w:i/>
          <w:color w:val="auto"/>
          <w:sz w:val="18"/>
        </w:rPr>
      </w:pPr>
    </w:p>
    <w:p w14:paraId="26659EE8">
      <w:pPr>
        <w:keepNext/>
        <w:spacing w:before="160" w:after="40"/>
        <w:jc w:val="left"/>
        <w:rPr>
          <w:rFonts w:hint="default" w:ascii="Arial" w:hAnsi="Arial" w:cs="Arial"/>
          <w:b/>
          <w:color w:val="auto"/>
          <w:sz w:val="22"/>
          <w:szCs w:val="22"/>
        </w:rPr>
      </w:pPr>
      <w:r>
        <w:rPr>
          <w:rFonts w:hint="default" w:ascii="Arial" w:hAnsi="Arial" w:cs="Arial"/>
          <w:color w:val="auto"/>
        </w:rPr>
        <w:t>Supplementary Table S16. Leave-one-domain-out CLPN–DAG correlation</w:t>
      </w:r>
    </w:p>
    <w:tbl>
      <w:tblPr>
        <w:tblStyle w:val="32"/>
        <w:tblW w:w="0" w:type="auto"/>
        <w:jc w:val="center"/>
        <w:tblLayout w:type="fixed"/>
        <w:tblCellMar>
          <w:top w:w="0" w:type="dxa"/>
          <w:left w:w="108" w:type="dxa"/>
          <w:bottom w:w="0" w:type="dxa"/>
          <w:right w:w="108" w:type="dxa"/>
        </w:tblCellMar>
      </w:tblPr>
      <w:tblGrid>
        <w:gridCol w:w="3168"/>
        <w:gridCol w:w="6192"/>
      </w:tblGrid>
      <w:tr w14:paraId="08F192AD">
        <w:tblPrEx>
          <w:tblCellMar>
            <w:top w:w="0" w:type="dxa"/>
            <w:left w:w="108" w:type="dxa"/>
            <w:bottom w:w="0" w:type="dxa"/>
            <w:right w:w="108" w:type="dxa"/>
          </w:tblCellMar>
        </w:tblPrEx>
        <w:trPr>
          <w:cantSplit/>
          <w:tblHeader/>
          <w:jc w:val="center"/>
        </w:trPr>
        <w:tc>
          <w:tcPr>
            <w:tcW w:w="3168"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238DF1FD">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dropped</w:t>
            </w:r>
          </w:p>
        </w:tc>
        <w:tc>
          <w:tcPr>
            <w:tcW w:w="6192"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17894A3C">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r_without</w:t>
            </w:r>
          </w:p>
        </w:tc>
      </w:tr>
      <w:tr w14:paraId="4E434A58">
        <w:tblPrEx>
          <w:tblCellMar>
            <w:top w:w="0" w:type="dxa"/>
            <w:left w:w="108" w:type="dxa"/>
            <w:bottom w:w="0" w:type="dxa"/>
            <w:right w:w="108" w:type="dxa"/>
          </w:tblCellMar>
        </w:tblPrEx>
        <w:trPr>
          <w:cantSplit/>
          <w:jc w:val="center"/>
        </w:trPr>
        <w:tc>
          <w:tcPr>
            <w:tcW w:w="3168"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3694B72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CIAS</w:t>
            </w:r>
          </w:p>
        </w:tc>
        <w:tc>
          <w:tcPr>
            <w:tcW w:w="6192"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02428DB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0.768</w:t>
            </w:r>
          </w:p>
        </w:tc>
      </w:tr>
      <w:tr w14:paraId="493DC124">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0687F9E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DASS</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298AB49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0.603</w:t>
            </w:r>
          </w:p>
        </w:tc>
      </w:tr>
      <w:tr w14:paraId="2E0AB056">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6127713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SDQ</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412E735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0.726</w:t>
            </w:r>
          </w:p>
        </w:tc>
      </w:tr>
      <w:tr w14:paraId="2C78DB12">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6B1B98C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DIET</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1CC0D35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0.892</w:t>
            </w:r>
          </w:p>
        </w:tc>
      </w:tr>
      <w:tr w14:paraId="31681A01">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vAlign w:val="center"/>
          </w:tcPr>
          <w:p w14:paraId="3378FDE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ISI</w:t>
            </w:r>
          </w:p>
        </w:tc>
        <w:tc>
          <w:tcPr>
            <w:tcW w:w="6192" w:type="dxa"/>
            <w:tcBorders>
              <w:top w:val="nil"/>
              <w:left w:val="nil"/>
              <w:bottom w:val="nil"/>
              <w:right w:val="nil"/>
            </w:tcBorders>
            <w:shd w:val="clear" w:color="auto" w:fill="FFFFFF"/>
            <w:tcMar>
              <w:top w:w="40" w:type="dxa"/>
              <w:left w:w="80" w:type="dxa"/>
              <w:bottom w:w="40" w:type="dxa"/>
              <w:right w:w="80" w:type="dxa"/>
            </w:tcMar>
            <w:vAlign w:val="center"/>
          </w:tcPr>
          <w:p w14:paraId="43B27CB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0.791</w:t>
            </w:r>
          </w:p>
        </w:tc>
      </w:tr>
      <w:tr w14:paraId="0C86D394">
        <w:tblPrEx>
          <w:tblCellMar>
            <w:top w:w="0" w:type="dxa"/>
            <w:left w:w="108" w:type="dxa"/>
            <w:bottom w:w="0" w:type="dxa"/>
            <w:right w:w="108" w:type="dxa"/>
          </w:tblCellMar>
        </w:tblPrEx>
        <w:trPr>
          <w:cantSplit/>
          <w:jc w:val="center"/>
        </w:trPr>
        <w:tc>
          <w:tcPr>
            <w:tcW w:w="3168"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01BA6CD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ACT</w:t>
            </w:r>
          </w:p>
        </w:tc>
        <w:tc>
          <w:tcPr>
            <w:tcW w:w="6192"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67ED0FD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0.731</w:t>
            </w:r>
          </w:p>
        </w:tc>
      </w:tr>
    </w:tbl>
    <w:p w14:paraId="74345CE1">
      <w:pPr>
        <w:jc w:val="both"/>
        <w:rPr>
          <w:rFonts w:hint="default" w:ascii="Arial" w:hAnsi="Arial" w:cs="Arial"/>
          <w:i/>
          <w:color w:val="auto"/>
          <w:sz w:val="18"/>
        </w:rPr>
      </w:pPr>
      <w:r>
        <w:rPr>
          <w:rFonts w:hint="default" w:ascii="Arial" w:hAnsi="Arial" w:cs="Arial"/>
          <w:i/>
          <w:color w:val="auto"/>
          <w:sz w:val="18"/>
        </w:rPr>
        <w:t>Leave-one-domain-out correlations remain positive (r = 0.603-0.892), but the comparison contains only six domains and is not an independent replication.</w:t>
      </w:r>
    </w:p>
    <w:p w14:paraId="66221D9E">
      <w:pPr>
        <w:jc w:val="both"/>
        <w:rPr>
          <w:rFonts w:hint="default" w:ascii="Arial" w:hAnsi="Arial" w:cs="Arial"/>
          <w:i/>
          <w:color w:val="auto"/>
          <w:sz w:val="18"/>
        </w:rPr>
      </w:pPr>
    </w:p>
    <w:p w14:paraId="17DC0A51">
      <w:pPr>
        <w:keepNext/>
        <w:spacing w:before="160" w:after="40"/>
        <w:jc w:val="left"/>
        <w:rPr>
          <w:rFonts w:hint="default" w:ascii="Arial" w:hAnsi="Arial" w:cs="Arial"/>
          <w:b/>
          <w:color w:val="auto"/>
          <w:sz w:val="22"/>
          <w:szCs w:val="22"/>
        </w:rPr>
      </w:pPr>
      <w:r>
        <w:rPr>
          <w:rFonts w:hint="default" w:ascii="Arial" w:hAnsi="Arial" w:cs="Arial"/>
          <w:color w:val="auto"/>
        </w:rPr>
        <w:t xml:space="preserve">Supplementary Table S17. Estimator sensitivity of the </w:t>
      </w:r>
      <w:r>
        <w:rPr>
          <w:rFonts w:hint="eastAsia" w:eastAsia="宋体" w:cs="Arial"/>
          <w:color w:val="auto"/>
          <w:lang w:eastAsia="zh-CN"/>
        </w:rPr>
        <w:t>MDS</w:t>
      </w:r>
      <w:r>
        <w:rPr>
          <w:rFonts w:hint="default" w:ascii="Arial" w:hAnsi="Arial" w:cs="Arial"/>
          <w:color w:val="auto"/>
        </w:rPr>
        <w:t xml:space="preserve"> solution</w:t>
      </w:r>
    </w:p>
    <w:tbl>
      <w:tblPr>
        <w:tblStyle w:val="32"/>
        <w:tblW w:w="0" w:type="auto"/>
        <w:jc w:val="center"/>
        <w:tblLayout w:type="fixed"/>
        <w:tblCellMar>
          <w:top w:w="0" w:type="dxa"/>
          <w:left w:w="108" w:type="dxa"/>
          <w:bottom w:w="0" w:type="dxa"/>
          <w:right w:w="108" w:type="dxa"/>
        </w:tblCellMar>
      </w:tblPr>
      <w:tblGrid>
        <w:gridCol w:w="1040"/>
        <w:gridCol w:w="1040"/>
        <w:gridCol w:w="1040"/>
        <w:gridCol w:w="1040"/>
        <w:gridCol w:w="1040"/>
        <w:gridCol w:w="1040"/>
        <w:gridCol w:w="1040"/>
        <w:gridCol w:w="1040"/>
        <w:gridCol w:w="1040"/>
      </w:tblGrid>
      <w:tr w14:paraId="6DAD19F3">
        <w:tblPrEx>
          <w:tblCellMar>
            <w:top w:w="0" w:type="dxa"/>
            <w:left w:w="108" w:type="dxa"/>
            <w:bottom w:w="0" w:type="dxa"/>
            <w:right w:w="108" w:type="dxa"/>
          </w:tblCellMar>
        </w:tblPrEx>
        <w:trPr>
          <w:cantSplit/>
          <w:tblHeader/>
          <w:jc w:val="center"/>
        </w:trPr>
        <w:tc>
          <w:tcPr>
            <w:tcW w:w="10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7DDF3321">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Network</w:t>
            </w:r>
          </w:p>
        </w:tc>
        <w:tc>
          <w:tcPr>
            <w:tcW w:w="10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7E5D2A88">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Density</w:t>
            </w:r>
          </w:p>
        </w:tc>
        <w:tc>
          <w:tcPr>
            <w:tcW w:w="10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32E43768">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MDS size</w:t>
            </w:r>
          </w:p>
        </w:tc>
        <w:tc>
          <w:tcPr>
            <w:tcW w:w="10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51BC4F55">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DIET22 CF</w:t>
            </w:r>
          </w:p>
        </w:tc>
        <w:tc>
          <w:tcPr>
            <w:tcW w:w="10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3EE9AF97">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DIET22 rank</w:t>
            </w:r>
          </w:p>
        </w:tc>
        <w:tc>
          <w:tcPr>
            <w:tcW w:w="10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00C5EADE">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DASS14 CF</w:t>
            </w:r>
          </w:p>
        </w:tc>
        <w:tc>
          <w:tcPr>
            <w:tcW w:w="10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15599CAC">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DASS14 rank</w:t>
            </w:r>
          </w:p>
        </w:tc>
        <w:tc>
          <w:tcPr>
            <w:tcW w:w="10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60BC3FB0">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SDQ18 CF</w:t>
            </w:r>
          </w:p>
        </w:tc>
        <w:tc>
          <w:tcPr>
            <w:tcW w:w="1040"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vAlign w:val="center"/>
          </w:tcPr>
          <w:p w14:paraId="4BEC9C9F">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SDQ18 rank</w:t>
            </w:r>
          </w:p>
        </w:tc>
      </w:tr>
      <w:tr w14:paraId="533F28EE">
        <w:tblPrEx>
          <w:tblCellMar>
            <w:top w:w="0" w:type="dxa"/>
            <w:left w:w="108" w:type="dxa"/>
            <w:bottom w:w="0" w:type="dxa"/>
            <w:right w:w="108" w:type="dxa"/>
          </w:tblCellMar>
        </w:tblPrEx>
        <w:trPr>
          <w:cantSplit/>
          <w:jc w:val="center"/>
        </w:trPr>
        <w:tc>
          <w:tcPr>
            <w:tcW w:w="10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24C95EE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EBIC γ=0.0</w:t>
            </w:r>
          </w:p>
        </w:tc>
        <w:tc>
          <w:tcPr>
            <w:tcW w:w="10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5C49FB9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0.284</w:t>
            </w:r>
          </w:p>
        </w:tc>
        <w:tc>
          <w:tcPr>
            <w:tcW w:w="10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1D46850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5</w:t>
            </w:r>
          </w:p>
        </w:tc>
        <w:tc>
          <w:tcPr>
            <w:tcW w:w="10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356988C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0.25</w:t>
            </w:r>
          </w:p>
        </w:tc>
        <w:tc>
          <w:tcPr>
            <w:tcW w:w="10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2CB1E99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8</w:t>
            </w:r>
          </w:p>
        </w:tc>
        <w:tc>
          <w:tcPr>
            <w:tcW w:w="10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405B9D9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w:t>
            </w:r>
          </w:p>
        </w:tc>
        <w:tc>
          <w:tcPr>
            <w:tcW w:w="10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15B8E81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100</w:t>
            </w:r>
          </w:p>
        </w:tc>
        <w:tc>
          <w:tcPr>
            <w:tcW w:w="10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71ABC1F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0.25</w:t>
            </w:r>
          </w:p>
        </w:tc>
        <w:tc>
          <w:tcPr>
            <w:tcW w:w="1040" w:type="dxa"/>
            <w:tcBorders>
              <w:top w:val="single" w:color="000000" w:themeColor="dark1" w:sz="6" w:space="0"/>
              <w:left w:val="nil"/>
              <w:bottom w:val="nil"/>
              <w:right w:val="nil"/>
            </w:tcBorders>
            <w:shd w:val="clear" w:color="auto" w:fill="FFFFFF"/>
            <w:tcMar>
              <w:top w:w="40" w:type="dxa"/>
              <w:left w:w="80" w:type="dxa"/>
              <w:bottom w:w="40" w:type="dxa"/>
              <w:right w:w="80" w:type="dxa"/>
            </w:tcMar>
            <w:vAlign w:val="center"/>
          </w:tcPr>
          <w:p w14:paraId="653C3EB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6</w:t>
            </w:r>
          </w:p>
        </w:tc>
      </w:tr>
      <w:tr w14:paraId="4FF0AA0F">
        <w:tblPrEx>
          <w:tblCellMar>
            <w:top w:w="0" w:type="dxa"/>
            <w:left w:w="108" w:type="dxa"/>
            <w:bottom w:w="0" w:type="dxa"/>
            <w:right w:w="108" w:type="dxa"/>
          </w:tblCellMar>
        </w:tblPrEx>
        <w:trPr>
          <w:cantSplit/>
          <w:jc w:val="center"/>
        </w:trPr>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3912179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EBIC γ=0.25</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0620C41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0.267</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321083D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6</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3E9DEFB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4C025D4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101</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11C15B2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0.083</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41D3231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24</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5BF5F21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0.05</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0556045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48</w:t>
            </w:r>
          </w:p>
        </w:tc>
      </w:tr>
      <w:tr w14:paraId="502ED662">
        <w:tblPrEx>
          <w:tblCellMar>
            <w:top w:w="0" w:type="dxa"/>
            <w:left w:w="108" w:type="dxa"/>
            <w:bottom w:w="0" w:type="dxa"/>
            <w:right w:w="108" w:type="dxa"/>
          </w:tblCellMar>
        </w:tblPrEx>
        <w:trPr>
          <w:cantSplit/>
          <w:jc w:val="center"/>
        </w:trPr>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5EB8ED5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EBIC γ=0.5</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7776386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0.246</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0D5E0BA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6</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6BF0D4E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0.15</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1124DC0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14</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4E1A4CF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0.067</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620777B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33</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5387CAF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0.217</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1B81733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7</w:t>
            </w:r>
          </w:p>
        </w:tc>
      </w:tr>
      <w:tr w14:paraId="26A61177">
        <w:tblPrEx>
          <w:tblCellMar>
            <w:top w:w="0" w:type="dxa"/>
            <w:left w:w="108" w:type="dxa"/>
            <w:bottom w:w="0" w:type="dxa"/>
            <w:right w:w="108" w:type="dxa"/>
          </w:tblCellMar>
        </w:tblPrEx>
        <w:trPr>
          <w:cantSplit/>
          <w:jc w:val="center"/>
        </w:trPr>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31595DB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Primary CV-glasso</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48AAFC8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0.518</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595D6CF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3</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4F2688C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0.600</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0D0CAEF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1212FE3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0.400</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01AE736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3</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18E0CC2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0.500</w:t>
            </w:r>
          </w:p>
        </w:tc>
        <w:tc>
          <w:tcPr>
            <w:tcW w:w="1040" w:type="dxa"/>
            <w:tcBorders>
              <w:top w:val="nil"/>
              <w:left w:val="nil"/>
              <w:bottom w:val="nil"/>
              <w:right w:val="nil"/>
            </w:tcBorders>
            <w:shd w:val="clear" w:color="auto" w:fill="FFFFFF"/>
            <w:tcMar>
              <w:top w:w="40" w:type="dxa"/>
              <w:left w:w="80" w:type="dxa"/>
              <w:bottom w:w="40" w:type="dxa"/>
              <w:right w:w="80" w:type="dxa"/>
            </w:tcMar>
            <w:vAlign w:val="center"/>
          </w:tcPr>
          <w:p w14:paraId="40FFFAD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w:t>
            </w:r>
          </w:p>
        </w:tc>
      </w:tr>
      <w:tr w14:paraId="724C96AD">
        <w:tblPrEx>
          <w:tblCellMar>
            <w:top w:w="0" w:type="dxa"/>
            <w:left w:w="108" w:type="dxa"/>
            <w:bottom w:w="0" w:type="dxa"/>
            <w:right w:w="108" w:type="dxa"/>
          </w:tblCellMar>
        </w:tblPrEx>
        <w:trPr>
          <w:cantSplit/>
          <w:jc w:val="center"/>
        </w:trPr>
        <w:tc>
          <w:tcPr>
            <w:tcW w:w="10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4BF8D55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CV positive-edges-only</w:t>
            </w:r>
          </w:p>
        </w:tc>
        <w:tc>
          <w:tcPr>
            <w:tcW w:w="10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241CBBD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0.335</w:t>
            </w:r>
          </w:p>
        </w:tc>
        <w:tc>
          <w:tcPr>
            <w:tcW w:w="10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7D5F66D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5</w:t>
            </w:r>
          </w:p>
        </w:tc>
        <w:tc>
          <w:tcPr>
            <w:tcW w:w="10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4FF965B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0.2</w:t>
            </w:r>
          </w:p>
        </w:tc>
        <w:tc>
          <w:tcPr>
            <w:tcW w:w="10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2DBF802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2</w:t>
            </w:r>
          </w:p>
        </w:tc>
        <w:tc>
          <w:tcPr>
            <w:tcW w:w="10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26A5641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0.167</w:t>
            </w:r>
          </w:p>
        </w:tc>
        <w:tc>
          <w:tcPr>
            <w:tcW w:w="10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31FD981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4</w:t>
            </w:r>
          </w:p>
        </w:tc>
        <w:tc>
          <w:tcPr>
            <w:tcW w:w="10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68C0FDCD">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0.15</w:t>
            </w:r>
          </w:p>
        </w:tc>
        <w:tc>
          <w:tcPr>
            <w:tcW w:w="1040" w:type="dxa"/>
            <w:tcBorders>
              <w:top w:val="nil"/>
              <w:left w:val="nil"/>
              <w:bottom w:val="single" w:color="000000" w:themeColor="dark1" w:sz="12" w:space="0"/>
              <w:right w:val="nil"/>
            </w:tcBorders>
            <w:shd w:val="clear" w:color="auto" w:fill="FFFFFF"/>
            <w:tcMar>
              <w:top w:w="40" w:type="dxa"/>
              <w:left w:w="80" w:type="dxa"/>
              <w:bottom w:w="40" w:type="dxa"/>
              <w:right w:w="80" w:type="dxa"/>
            </w:tcMar>
            <w:vAlign w:val="center"/>
          </w:tcPr>
          <w:p w14:paraId="4ED591F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7</w:t>
            </w:r>
          </w:p>
        </w:tc>
      </w:tr>
    </w:tbl>
    <w:p w14:paraId="6FA5C178">
      <w:pPr>
        <w:jc w:val="both"/>
        <w:rPr>
          <w:rFonts w:hint="default" w:ascii="Arial" w:hAnsi="Arial" w:cs="Arial"/>
          <w:i/>
          <w:color w:val="auto"/>
          <w:sz w:val="18"/>
        </w:rPr>
      </w:pPr>
      <w:r>
        <w:rPr>
          <w:rFonts w:hint="default" w:ascii="Arial" w:hAnsi="Arial" w:cs="Arial"/>
          <w:i/>
          <w:color w:val="auto"/>
          <w:sz w:val="18"/>
        </w:rPr>
        <w:t>In the primary cross-validated graphical Lasso network (density = 0.518), exhaustive enumeration identified 10 minimum dominating sets of size three. DIET22, SDQ18 and DASS14 ranked first, second and third by control frequency (0.60, 0.50 and 0.40, respectively). For the sensitivity networks, control frequencies were estimated across 60 randomised optimal MDS solutions and therefore quantify estimator sensitivity rather than exact replication of the primary solution.</w:t>
      </w:r>
    </w:p>
    <w:p w14:paraId="04284476">
      <w:pPr>
        <w:jc w:val="both"/>
        <w:rPr>
          <w:rFonts w:hint="default" w:ascii="Arial" w:hAnsi="Arial" w:cs="Arial"/>
          <w:i/>
          <w:color w:val="auto"/>
          <w:sz w:val="18"/>
        </w:rPr>
      </w:pPr>
    </w:p>
    <w:p w14:paraId="2A10B3D6">
      <w:pPr>
        <w:jc w:val="both"/>
        <w:rPr>
          <w:rFonts w:hint="default" w:ascii="Arial" w:hAnsi="Arial" w:cs="Arial"/>
          <w:i/>
          <w:color w:val="auto"/>
          <w:sz w:val="18"/>
        </w:rPr>
      </w:pPr>
    </w:p>
    <w:p w14:paraId="44FC1C65">
      <w:pPr>
        <w:keepNext/>
        <w:spacing w:before="160" w:after="40"/>
        <w:jc w:val="left"/>
        <w:rPr>
          <w:rFonts w:hint="default" w:ascii="Arial" w:hAnsi="Arial" w:cs="Arial"/>
          <w:b/>
          <w:color w:val="auto"/>
          <w:sz w:val="22"/>
          <w:szCs w:val="22"/>
        </w:rPr>
      </w:pPr>
      <w:r>
        <w:rPr>
          <w:rFonts w:hint="default" w:ascii="Arial" w:hAnsi="Arial" w:cs="Arial"/>
          <w:color w:val="auto"/>
        </w:rPr>
        <w:t>Supplementary Table S18. Machine-readable files accompanying this supplement</w:t>
      </w:r>
    </w:p>
    <w:tbl>
      <w:tblPr>
        <w:tblStyle w:val="32"/>
        <w:tblW w:w="0" w:type="auto"/>
        <w:jc w:val="center"/>
        <w:tblLayout w:type="fixed"/>
        <w:tblCellMar>
          <w:top w:w="0" w:type="dxa"/>
          <w:left w:w="108" w:type="dxa"/>
          <w:bottom w:w="0" w:type="dxa"/>
          <w:right w:w="108" w:type="dxa"/>
        </w:tblCellMar>
      </w:tblPr>
      <w:tblGrid>
        <w:gridCol w:w="3168"/>
        <w:gridCol w:w="6192"/>
      </w:tblGrid>
      <w:tr w14:paraId="2F328B36">
        <w:tblPrEx>
          <w:tblCellMar>
            <w:top w:w="0" w:type="dxa"/>
            <w:left w:w="108" w:type="dxa"/>
            <w:bottom w:w="0" w:type="dxa"/>
            <w:right w:w="108" w:type="dxa"/>
          </w:tblCellMar>
        </w:tblPrEx>
        <w:trPr>
          <w:cantSplit/>
          <w:tblHeader/>
          <w:jc w:val="center"/>
        </w:trPr>
        <w:tc>
          <w:tcPr>
            <w:tcW w:w="3168"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tcPr>
          <w:p w14:paraId="16DA15A7">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File</w:t>
            </w:r>
          </w:p>
        </w:tc>
        <w:tc>
          <w:tcPr>
            <w:tcW w:w="6192" w:type="dxa"/>
            <w:tcBorders>
              <w:top w:val="single" w:color="000000" w:themeColor="dark1" w:sz="12" w:space="0"/>
              <w:left w:val="nil"/>
              <w:bottom w:val="single" w:color="000000" w:themeColor="dark1" w:sz="6" w:space="0"/>
              <w:right w:val="nil"/>
            </w:tcBorders>
            <w:shd w:val="clear" w:color="auto" w:fill="FFFFFF"/>
            <w:tcMar>
              <w:top w:w="40" w:type="dxa"/>
              <w:left w:w="80" w:type="dxa"/>
              <w:bottom w:w="40" w:type="dxa"/>
              <w:right w:w="80" w:type="dxa"/>
            </w:tcMar>
          </w:tcPr>
          <w:p w14:paraId="477D5BAB">
            <w:pPr>
              <w:spacing w:before="0" w:after="0" w:line="240" w:lineRule="auto"/>
              <w:jc w:val="center"/>
              <w:rPr>
                <w:rFonts w:hint="default" w:ascii="Arial" w:hAnsi="Arial" w:cs="Arial"/>
                <w:b/>
                <w:i w:val="0"/>
                <w:color w:val="auto"/>
                <w:sz w:val="18"/>
                <w:szCs w:val="18"/>
              </w:rPr>
            </w:pPr>
            <w:r>
              <w:rPr>
                <w:rFonts w:hint="default" w:ascii="Arial" w:hAnsi="Arial" w:cs="Arial"/>
                <w:b/>
                <w:i w:val="0"/>
                <w:color w:val="auto"/>
                <w:sz w:val="18"/>
                <w:szCs w:val="18"/>
              </w:rPr>
              <w:t>Content</w:t>
            </w:r>
          </w:p>
        </w:tc>
      </w:tr>
      <w:tr w14:paraId="0ADD7E7E">
        <w:tblPrEx>
          <w:tblCellMar>
            <w:top w:w="0" w:type="dxa"/>
            <w:left w:w="108" w:type="dxa"/>
            <w:bottom w:w="0" w:type="dxa"/>
            <w:right w:w="108" w:type="dxa"/>
          </w:tblCellMar>
        </w:tblPrEx>
        <w:trPr>
          <w:cantSplit/>
          <w:jc w:val="center"/>
        </w:trPr>
        <w:tc>
          <w:tcPr>
            <w:tcW w:w="3168" w:type="dxa"/>
            <w:tcBorders>
              <w:top w:val="single" w:color="000000" w:themeColor="dark1" w:sz="6" w:space="0"/>
              <w:left w:val="nil"/>
              <w:bottom w:val="nil"/>
              <w:right w:val="nil"/>
            </w:tcBorders>
            <w:shd w:val="clear" w:color="auto" w:fill="FFFFFF"/>
            <w:tcMar>
              <w:top w:w="40" w:type="dxa"/>
              <w:left w:w="80" w:type="dxa"/>
              <w:bottom w:w="40" w:type="dxa"/>
              <w:right w:w="80" w:type="dxa"/>
            </w:tcMar>
          </w:tcPr>
          <w:p w14:paraId="4113532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clpn_coefficients.csv</w:t>
            </w:r>
          </w:p>
        </w:tc>
        <w:tc>
          <w:tcPr>
            <w:tcW w:w="6192" w:type="dxa"/>
            <w:tcBorders>
              <w:top w:val="single" w:color="000000" w:themeColor="dark1" w:sz="6" w:space="0"/>
              <w:left w:val="nil"/>
              <w:bottom w:val="nil"/>
              <w:right w:val="nil"/>
            </w:tcBorders>
            <w:shd w:val="clear" w:color="auto" w:fill="FFFFFF"/>
            <w:tcMar>
              <w:top w:w="40" w:type="dxa"/>
              <w:left w:w="80" w:type="dxa"/>
              <w:bottom w:w="40" w:type="dxa"/>
              <w:right w:w="80" w:type="dxa"/>
            </w:tcMar>
          </w:tcPr>
          <w:p w14:paraId="1D6A1CB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Full 6×6 cross-lagged coefficient matrix</w:t>
            </w:r>
          </w:p>
        </w:tc>
      </w:tr>
      <w:tr w14:paraId="7346CCE6">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6E4A569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clpn_pvalues.csv</w:t>
            </w:r>
          </w:p>
        </w:tc>
        <w:tc>
          <w:tcPr>
            <w:tcW w:w="6192" w:type="dxa"/>
            <w:tcBorders>
              <w:top w:val="nil"/>
              <w:left w:val="nil"/>
              <w:bottom w:val="nil"/>
              <w:right w:val="nil"/>
            </w:tcBorders>
            <w:shd w:val="clear" w:color="auto" w:fill="FFFFFF"/>
            <w:tcMar>
              <w:top w:w="40" w:type="dxa"/>
              <w:left w:w="80" w:type="dxa"/>
              <w:bottom w:w="40" w:type="dxa"/>
              <w:right w:w="80" w:type="dxa"/>
            </w:tcMar>
          </w:tcPr>
          <w:p w14:paraId="34E93FF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Corresponding p-values</w:t>
            </w:r>
          </w:p>
        </w:tc>
      </w:tr>
      <w:tr w14:paraId="4FF13B21">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7E2F974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clpn_directionality.csv</w:t>
            </w:r>
          </w:p>
        </w:tc>
        <w:tc>
          <w:tcPr>
            <w:tcW w:w="6192" w:type="dxa"/>
            <w:tcBorders>
              <w:top w:val="nil"/>
              <w:left w:val="nil"/>
              <w:bottom w:val="nil"/>
              <w:right w:val="nil"/>
            </w:tcBorders>
            <w:shd w:val="clear" w:color="auto" w:fill="FFFFFF"/>
            <w:tcMar>
              <w:top w:w="40" w:type="dxa"/>
              <w:left w:w="80" w:type="dxa"/>
              <w:bottom w:w="40" w:type="dxa"/>
              <w:right w:w="80" w:type="dxa"/>
            </w:tcMar>
          </w:tcPr>
          <w:p w14:paraId="02CB651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Net directionality + bootstrap CIs</w:t>
            </w:r>
          </w:p>
        </w:tc>
      </w:tr>
      <w:tr w14:paraId="214B48B6">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747647CA">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bn_domain_edges.json</w:t>
            </w:r>
          </w:p>
        </w:tc>
        <w:tc>
          <w:tcPr>
            <w:tcW w:w="6192" w:type="dxa"/>
            <w:tcBorders>
              <w:top w:val="nil"/>
              <w:left w:val="nil"/>
              <w:bottom w:val="nil"/>
              <w:right w:val="nil"/>
            </w:tcBorders>
            <w:shd w:val="clear" w:color="auto" w:fill="FFFFFF"/>
            <w:tcMar>
              <w:top w:w="40" w:type="dxa"/>
              <w:left w:w="80" w:type="dxa"/>
              <w:bottom w:w="40" w:type="dxa"/>
              <w:right w:w="80" w:type="dxa"/>
            </w:tcMar>
          </w:tcPr>
          <w:p w14:paraId="78AD0950">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Bayesian DAG edge list</w:t>
            </w:r>
          </w:p>
        </w:tc>
      </w:tr>
      <w:tr w14:paraId="20600242">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6031315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bn_edge_stability.csv</w:t>
            </w:r>
          </w:p>
        </w:tc>
        <w:tc>
          <w:tcPr>
            <w:tcW w:w="6192" w:type="dxa"/>
            <w:tcBorders>
              <w:top w:val="nil"/>
              <w:left w:val="nil"/>
              <w:bottom w:val="nil"/>
              <w:right w:val="nil"/>
            </w:tcBorders>
            <w:shd w:val="clear" w:color="auto" w:fill="FFFFFF"/>
            <w:tcMar>
              <w:top w:w="40" w:type="dxa"/>
              <w:left w:w="80" w:type="dxa"/>
              <w:bottom w:w="40" w:type="dxa"/>
              <w:right w:w="80" w:type="dxa"/>
            </w:tcMar>
          </w:tcPr>
          <w:p w14:paraId="5A3E3AB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Directed-edge bootstrap frequencies</w:t>
            </w:r>
          </w:p>
        </w:tc>
      </w:tr>
      <w:tr w14:paraId="50B69113">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1E436E2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directed_convergence.csv</w:t>
            </w:r>
          </w:p>
        </w:tc>
        <w:tc>
          <w:tcPr>
            <w:tcW w:w="6192" w:type="dxa"/>
            <w:tcBorders>
              <w:top w:val="nil"/>
              <w:left w:val="nil"/>
              <w:bottom w:val="nil"/>
              <w:right w:val="nil"/>
            </w:tcBorders>
            <w:shd w:val="clear" w:color="auto" w:fill="FFFFFF"/>
            <w:tcMar>
              <w:top w:w="40" w:type="dxa"/>
              <w:left w:w="80" w:type="dxa"/>
              <w:bottom w:w="40" w:type="dxa"/>
              <w:right w:w="80" w:type="dxa"/>
            </w:tcMar>
          </w:tcPr>
          <w:p w14:paraId="1BE58F4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CLPN vs. DAG per-domain net directionality</w:t>
            </w:r>
          </w:p>
        </w:tc>
      </w:tr>
      <w:tr w14:paraId="7355A68F">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06E8708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community_multimethod_summary.csv</w:t>
            </w:r>
          </w:p>
        </w:tc>
        <w:tc>
          <w:tcPr>
            <w:tcW w:w="6192" w:type="dxa"/>
            <w:tcBorders>
              <w:top w:val="nil"/>
              <w:left w:val="nil"/>
              <w:bottom w:val="nil"/>
              <w:right w:val="nil"/>
            </w:tcBorders>
            <w:shd w:val="clear" w:color="auto" w:fill="FFFFFF"/>
            <w:tcMar>
              <w:top w:w="40" w:type="dxa"/>
              <w:left w:w="80" w:type="dxa"/>
              <w:bottom w:w="40" w:type="dxa"/>
              <w:right w:w="80" w:type="dxa"/>
            </w:tcMar>
          </w:tcPr>
          <w:p w14:paraId="1E31B0B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ARI/NMI for six algorithms</w:t>
            </w:r>
          </w:p>
        </w:tc>
      </w:tr>
      <w:tr w14:paraId="136AAAF3">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37E3B7B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community_evolution_table.csv</w:t>
            </w:r>
          </w:p>
        </w:tc>
        <w:tc>
          <w:tcPr>
            <w:tcW w:w="6192" w:type="dxa"/>
            <w:tcBorders>
              <w:top w:val="nil"/>
              <w:left w:val="nil"/>
              <w:bottom w:val="nil"/>
              <w:right w:val="nil"/>
            </w:tcBorders>
            <w:shd w:val="clear" w:color="auto" w:fill="FFFFFF"/>
            <w:tcMar>
              <w:top w:w="40" w:type="dxa"/>
              <w:left w:w="80" w:type="dxa"/>
              <w:bottom w:w="40" w:type="dxa"/>
              <w:right w:w="80" w:type="dxa"/>
            </w:tcMar>
          </w:tcPr>
          <w:p w14:paraId="360C5D7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Cross-wave community assignments</w:t>
            </w:r>
          </w:p>
        </w:tc>
      </w:tr>
      <w:tr w14:paraId="734E5DA1">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7E2CE46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community_node_stability.csv</w:t>
            </w:r>
          </w:p>
        </w:tc>
        <w:tc>
          <w:tcPr>
            <w:tcW w:w="6192" w:type="dxa"/>
            <w:tcBorders>
              <w:top w:val="nil"/>
              <w:left w:val="nil"/>
              <w:bottom w:val="nil"/>
              <w:right w:val="nil"/>
            </w:tcBorders>
            <w:shd w:val="clear" w:color="auto" w:fill="FFFFFF"/>
            <w:tcMar>
              <w:top w:w="40" w:type="dxa"/>
              <w:left w:w="80" w:type="dxa"/>
              <w:bottom w:w="40" w:type="dxa"/>
              <w:right w:w="80" w:type="dxa"/>
            </w:tcMar>
          </w:tcPr>
          <w:p w14:paraId="1B42F8C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Bootstrap co-assignment per node</w:t>
            </w:r>
          </w:p>
        </w:tc>
      </w:tr>
      <w:tr w14:paraId="402B0AE1">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206ACEF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extended_node_metrics.csv</w:t>
            </w:r>
          </w:p>
        </w:tc>
        <w:tc>
          <w:tcPr>
            <w:tcW w:w="6192" w:type="dxa"/>
            <w:tcBorders>
              <w:top w:val="nil"/>
              <w:left w:val="nil"/>
              <w:bottom w:val="nil"/>
              <w:right w:val="nil"/>
            </w:tcBorders>
            <w:shd w:val="clear" w:color="auto" w:fill="FFFFFF"/>
            <w:tcMar>
              <w:top w:w="40" w:type="dxa"/>
              <w:left w:w="80" w:type="dxa"/>
              <w:bottom w:w="40" w:type="dxa"/>
              <w:right w:w="80" w:type="dxa"/>
            </w:tcMar>
          </w:tcPr>
          <w:p w14:paraId="3C91CB2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14 node-level metrics (104 nodes)</w:t>
            </w:r>
          </w:p>
        </w:tc>
      </w:tr>
      <w:tr w14:paraId="34A6FC45">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4E4D3BA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method_convergence_corr.csv</w:t>
            </w:r>
          </w:p>
        </w:tc>
        <w:tc>
          <w:tcPr>
            <w:tcW w:w="6192" w:type="dxa"/>
            <w:tcBorders>
              <w:top w:val="nil"/>
              <w:left w:val="nil"/>
              <w:bottom w:val="nil"/>
              <w:right w:val="nil"/>
            </w:tcBorders>
            <w:shd w:val="clear" w:color="auto" w:fill="FFFFFF"/>
            <w:tcMar>
              <w:top w:w="40" w:type="dxa"/>
              <w:left w:w="80" w:type="dxa"/>
              <w:bottom w:w="40" w:type="dxa"/>
              <w:right w:w="80" w:type="dxa"/>
            </w:tcMar>
          </w:tcPr>
          <w:p w14:paraId="03F6F87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Spearman correlations among metrics</w:t>
            </w:r>
          </w:p>
        </w:tc>
      </w:tr>
      <w:tr w14:paraId="3A719EEB">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0528B36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method_pca_loadings.csv</w:t>
            </w:r>
          </w:p>
        </w:tc>
        <w:tc>
          <w:tcPr>
            <w:tcW w:w="6192" w:type="dxa"/>
            <w:tcBorders>
              <w:top w:val="nil"/>
              <w:left w:val="nil"/>
              <w:bottom w:val="nil"/>
              <w:right w:val="nil"/>
            </w:tcBorders>
            <w:shd w:val="clear" w:color="auto" w:fill="FFFFFF"/>
            <w:tcMar>
              <w:top w:w="40" w:type="dxa"/>
              <w:left w:w="80" w:type="dxa"/>
              <w:bottom w:w="40" w:type="dxa"/>
              <w:right w:w="80" w:type="dxa"/>
            </w:tcMar>
          </w:tcPr>
          <w:p w14:paraId="0576D26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PCA loadings (PC1–PC3)</w:t>
            </w:r>
          </w:p>
        </w:tc>
      </w:tr>
      <w:tr w14:paraId="71C206AA">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33EA626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target_controllability.csv</w:t>
            </w:r>
          </w:p>
        </w:tc>
        <w:tc>
          <w:tcPr>
            <w:tcW w:w="6192" w:type="dxa"/>
            <w:tcBorders>
              <w:top w:val="nil"/>
              <w:left w:val="nil"/>
              <w:bottom w:val="nil"/>
              <w:right w:val="nil"/>
            </w:tcBorders>
            <w:shd w:val="clear" w:color="auto" w:fill="FFFFFF"/>
            <w:tcMar>
              <w:top w:w="40" w:type="dxa"/>
              <w:left w:w="80" w:type="dxa"/>
              <w:bottom w:w="40" w:type="dxa"/>
              <w:right w:w="80" w:type="dxa"/>
            </w:tcMar>
          </w:tcPr>
          <w:p w14:paraId="41CD083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Exact target-set coverage values used in Supplementary Figure S6</w:t>
            </w:r>
          </w:p>
        </w:tc>
      </w:tr>
      <w:tr w14:paraId="3A9F5202">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3B86A74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driver_stability.csv</w:t>
            </w:r>
          </w:p>
        </w:tc>
        <w:tc>
          <w:tcPr>
            <w:tcW w:w="6192" w:type="dxa"/>
            <w:tcBorders>
              <w:top w:val="nil"/>
              <w:left w:val="nil"/>
              <w:bottom w:val="nil"/>
              <w:right w:val="nil"/>
            </w:tcBorders>
            <w:shd w:val="clear" w:color="auto" w:fill="FFFFFF"/>
            <w:tcMar>
              <w:top w:w="40" w:type="dxa"/>
              <w:left w:w="80" w:type="dxa"/>
              <w:bottom w:w="40" w:type="dxa"/>
              <w:right w:w="80" w:type="dxa"/>
            </w:tcMar>
          </w:tcPr>
          <w:p w14:paraId="37CC7B3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300-bootstrap control-node selection/CF</w:t>
            </w:r>
          </w:p>
        </w:tc>
      </w:tr>
      <w:tr w14:paraId="6FF9C196">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0D19E19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lambda_sensitivity.csv</w:t>
            </w:r>
          </w:p>
        </w:tc>
        <w:tc>
          <w:tcPr>
            <w:tcW w:w="6192" w:type="dxa"/>
            <w:tcBorders>
              <w:top w:val="nil"/>
              <w:left w:val="nil"/>
              <w:bottom w:val="nil"/>
              <w:right w:val="nil"/>
            </w:tcBorders>
            <w:shd w:val="clear" w:color="auto" w:fill="FFFFFF"/>
            <w:tcMar>
              <w:top w:w="40" w:type="dxa"/>
              <w:left w:w="80" w:type="dxa"/>
              <w:bottom w:w="40" w:type="dxa"/>
              <w:right w:w="80" w:type="dxa"/>
            </w:tcMar>
          </w:tcPr>
          <w:p w14:paraId="34EFD63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Density/MDS across λ = 0.04–0.10</w:t>
            </w:r>
          </w:p>
        </w:tc>
      </w:tr>
      <w:tr w14:paraId="4EB3E1F4">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5B848DE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knockout_efficiency.csv</w:t>
            </w:r>
          </w:p>
        </w:tc>
        <w:tc>
          <w:tcPr>
            <w:tcW w:w="6192" w:type="dxa"/>
            <w:tcBorders>
              <w:top w:val="nil"/>
              <w:left w:val="nil"/>
              <w:bottom w:val="nil"/>
              <w:right w:val="nil"/>
            </w:tcBorders>
            <w:shd w:val="clear" w:color="auto" w:fill="FFFFFF"/>
            <w:tcMar>
              <w:top w:w="40" w:type="dxa"/>
              <w:left w:w="80" w:type="dxa"/>
              <w:bottom w:w="40" w:type="dxa"/>
              <w:right w:w="80" w:type="dxa"/>
            </w:tcMar>
          </w:tcPr>
          <w:p w14:paraId="0743CA4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Efficiency under four attack orderings</w:t>
            </w:r>
          </w:p>
        </w:tc>
      </w:tr>
      <w:tr w14:paraId="372AE00D">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65F0378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dynamics_summary.csv</w:t>
            </w:r>
          </w:p>
        </w:tc>
        <w:tc>
          <w:tcPr>
            <w:tcW w:w="6192" w:type="dxa"/>
            <w:tcBorders>
              <w:top w:val="nil"/>
              <w:left w:val="nil"/>
              <w:bottom w:val="nil"/>
              <w:right w:val="nil"/>
            </w:tcBorders>
            <w:shd w:val="clear" w:color="auto" w:fill="FFFFFF"/>
            <w:tcMar>
              <w:top w:w="40" w:type="dxa"/>
              <w:left w:w="80" w:type="dxa"/>
              <w:bottom w:w="40" w:type="dxa"/>
              <w:right w:w="80" w:type="dxa"/>
            </w:tcMar>
          </w:tcPr>
          <w:p w14:paraId="4B8E8FA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Steady-state activation by module</w:t>
            </w:r>
          </w:p>
        </w:tc>
      </w:tr>
      <w:tr w14:paraId="2FC4C3DC">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02E22466">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mhq_network_pcor.csv</w:t>
            </w:r>
          </w:p>
        </w:tc>
        <w:tc>
          <w:tcPr>
            <w:tcW w:w="6192" w:type="dxa"/>
            <w:tcBorders>
              <w:top w:val="nil"/>
              <w:left w:val="nil"/>
              <w:bottom w:val="nil"/>
              <w:right w:val="nil"/>
            </w:tcBorders>
            <w:shd w:val="clear" w:color="auto" w:fill="FFFFFF"/>
            <w:tcMar>
              <w:top w:w="40" w:type="dxa"/>
              <w:left w:w="80" w:type="dxa"/>
              <w:bottom w:w="40" w:type="dxa"/>
              <w:right w:w="80" w:type="dxa"/>
            </w:tcMar>
          </w:tcPr>
          <w:p w14:paraId="389B1015">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MHQ six-domain partial-correlation matrix</w:t>
            </w:r>
          </w:p>
        </w:tc>
      </w:tr>
      <w:tr w14:paraId="663F75F2">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2A9A8B51">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scale_crosswalk.csv</w:t>
            </w:r>
          </w:p>
        </w:tc>
        <w:tc>
          <w:tcPr>
            <w:tcW w:w="6192" w:type="dxa"/>
            <w:tcBorders>
              <w:top w:val="nil"/>
              <w:left w:val="nil"/>
              <w:bottom w:val="nil"/>
              <w:right w:val="nil"/>
            </w:tcBorders>
            <w:shd w:val="clear" w:color="auto" w:fill="FFFFFF"/>
            <w:tcMar>
              <w:top w:w="40" w:type="dxa"/>
              <w:left w:w="80" w:type="dxa"/>
              <w:bottom w:w="40" w:type="dxa"/>
              <w:right w:w="80" w:type="dxa"/>
            </w:tcMar>
          </w:tcPr>
          <w:p w14:paraId="05DF655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104-node Wave-1↔Wave-3 crosswalk</w:t>
            </w:r>
          </w:p>
        </w:tc>
      </w:tr>
      <w:tr w14:paraId="7506AF4C">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2B9CBFB9">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mcs_clpn_coefficients.csv</w:t>
            </w:r>
          </w:p>
        </w:tc>
        <w:tc>
          <w:tcPr>
            <w:tcW w:w="6192" w:type="dxa"/>
            <w:tcBorders>
              <w:top w:val="nil"/>
              <w:left w:val="nil"/>
              <w:bottom w:val="nil"/>
              <w:right w:val="nil"/>
            </w:tcBorders>
            <w:shd w:val="clear" w:color="auto" w:fill="FFFFFF"/>
            <w:tcMar>
              <w:top w:w="40" w:type="dxa"/>
              <w:left w:w="80" w:type="dxa"/>
              <w:bottom w:w="40" w:type="dxa"/>
              <w:right w:w="80" w:type="dxa"/>
            </w:tcMar>
          </w:tcPr>
          <w:p w14:paraId="3773EAE2">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MCS 6×6 cross-lagged coefficient matrix</w:t>
            </w:r>
          </w:p>
        </w:tc>
      </w:tr>
      <w:tr w14:paraId="19E1A884">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1C7FF697">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mcs_clpn_directionality.csv</w:t>
            </w:r>
          </w:p>
        </w:tc>
        <w:tc>
          <w:tcPr>
            <w:tcW w:w="6192" w:type="dxa"/>
            <w:tcBorders>
              <w:top w:val="nil"/>
              <w:left w:val="nil"/>
              <w:bottom w:val="nil"/>
              <w:right w:val="nil"/>
            </w:tcBorders>
            <w:shd w:val="clear" w:color="auto" w:fill="FFFFFF"/>
            <w:tcMar>
              <w:top w:w="40" w:type="dxa"/>
              <w:left w:w="80" w:type="dxa"/>
              <w:bottom w:w="40" w:type="dxa"/>
              <w:right w:w="80" w:type="dxa"/>
            </w:tcMar>
          </w:tcPr>
          <w:p w14:paraId="7423BB9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MCS net directionality + bootstrap CIs</w:t>
            </w:r>
          </w:p>
        </w:tc>
      </w:tr>
      <w:tr w14:paraId="71416AD9">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Mar>
              <w:top w:w="40" w:type="dxa"/>
              <w:left w:w="80" w:type="dxa"/>
              <w:bottom w:w="40" w:type="dxa"/>
              <w:right w:w="80" w:type="dxa"/>
            </w:tcMar>
          </w:tcPr>
          <w:p w14:paraId="010A9D0F">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clpn_sensitivity.csv</w:t>
            </w:r>
          </w:p>
        </w:tc>
        <w:tc>
          <w:tcPr>
            <w:tcW w:w="6192" w:type="dxa"/>
            <w:tcBorders>
              <w:top w:val="nil"/>
              <w:left w:val="nil"/>
              <w:bottom w:val="nil"/>
              <w:right w:val="nil"/>
            </w:tcBorders>
            <w:shd w:val="clear" w:color="auto" w:fill="FFFFFF"/>
            <w:tcMar>
              <w:top w:w="40" w:type="dxa"/>
              <w:left w:w="80" w:type="dxa"/>
              <w:bottom w:w="40" w:type="dxa"/>
              <w:right w:w="80" w:type="dxa"/>
            </w:tcMar>
          </w:tcPr>
          <w:p w14:paraId="0F37F868">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CLPN net directionality under alternative edge/domain definitions</w:t>
            </w:r>
          </w:p>
        </w:tc>
      </w:tr>
      <w:tr w14:paraId="683F8A5E">
        <w:tblPrEx>
          <w:tblCellMar>
            <w:top w:w="0" w:type="dxa"/>
            <w:left w:w="108" w:type="dxa"/>
            <w:bottom w:w="0" w:type="dxa"/>
            <w:right w:w="108" w:type="dxa"/>
          </w:tblCellMar>
        </w:tblPrEx>
        <w:trPr>
          <w:cantSplit/>
          <w:jc w:val="center"/>
        </w:trPr>
        <w:tc>
          <w:tcPr>
            <w:tcW w:w="3168" w:type="dxa"/>
            <w:tcBorders>
              <w:top w:val="nil"/>
              <w:left w:val="nil"/>
              <w:bottom w:val="nil"/>
              <w:right w:val="nil"/>
            </w:tcBorders>
            <w:shd w:val="clear" w:color="auto" w:fill="FFFFFF"/>
          </w:tcPr>
          <w:p w14:paraId="6B02535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network_estimation_robustness.csv</w:t>
            </w:r>
          </w:p>
        </w:tc>
        <w:tc>
          <w:tcPr>
            <w:tcW w:w="6192" w:type="dxa"/>
            <w:tcBorders>
              <w:top w:val="nil"/>
              <w:left w:val="nil"/>
              <w:bottom w:val="nil"/>
              <w:right w:val="nil"/>
            </w:tcBorders>
            <w:shd w:val="clear" w:color="auto" w:fill="FFFFFF"/>
          </w:tcPr>
          <w:p w14:paraId="7ECB8DFC">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Estimator-specific density, MDS size and control-frequency summaries</w:t>
            </w:r>
          </w:p>
        </w:tc>
      </w:tr>
      <w:tr w14:paraId="4A2B901A">
        <w:tblPrEx>
          <w:tblCellMar>
            <w:top w:w="0" w:type="dxa"/>
            <w:left w:w="108" w:type="dxa"/>
            <w:bottom w:w="0" w:type="dxa"/>
            <w:right w:w="108" w:type="dxa"/>
          </w:tblCellMar>
        </w:tblPrEx>
        <w:trPr>
          <w:jc w:val="center"/>
        </w:trPr>
        <w:tc>
          <w:tcPr>
            <w:tcW w:w="3168" w:type="dxa"/>
            <w:tcBorders>
              <w:top w:val="nil"/>
              <w:left w:val="nil"/>
              <w:bottom w:val="nil"/>
              <w:right w:val="nil"/>
            </w:tcBorders>
            <w:shd w:val="clear" w:color="auto" w:fill="FFFFFF"/>
          </w:tcPr>
          <w:p w14:paraId="417186E4">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supplementary_table_s13a.csv</w:t>
            </w:r>
          </w:p>
        </w:tc>
        <w:tc>
          <w:tcPr>
            <w:tcW w:w="6192" w:type="dxa"/>
            <w:tcBorders>
              <w:top w:val="nil"/>
              <w:left w:val="nil"/>
              <w:bottom w:val="nil"/>
              <w:right w:val="nil"/>
            </w:tcBorders>
            <w:shd w:val="clear" w:color="auto" w:fill="FFFFFF"/>
          </w:tcPr>
          <w:p w14:paraId="5200933B">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Four CLPN net directionality specifications reported in Supplementary Table S13a</w:t>
            </w:r>
          </w:p>
        </w:tc>
      </w:tr>
      <w:tr w14:paraId="21D7ECA0">
        <w:tblPrEx>
          <w:tblCellMar>
            <w:top w:w="0" w:type="dxa"/>
            <w:left w:w="108" w:type="dxa"/>
            <w:bottom w:w="0" w:type="dxa"/>
            <w:right w:w="108" w:type="dxa"/>
          </w:tblCellMar>
        </w:tblPrEx>
        <w:trPr>
          <w:jc w:val="center"/>
        </w:trPr>
        <w:tc>
          <w:tcPr>
            <w:tcW w:w="3168" w:type="dxa"/>
            <w:tcBorders>
              <w:top w:val="nil"/>
              <w:left w:val="nil"/>
              <w:bottom w:val="single" w:color="000000" w:themeColor="dark1" w:sz="12" w:space="0"/>
              <w:right w:val="nil"/>
            </w:tcBorders>
            <w:shd w:val="clear" w:color="auto" w:fill="FFFFFF"/>
          </w:tcPr>
          <w:p w14:paraId="4C746AF3">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all_30_school_cluster_paths.csv</w:t>
            </w:r>
          </w:p>
        </w:tc>
        <w:tc>
          <w:tcPr>
            <w:tcW w:w="6192" w:type="dxa"/>
            <w:tcBorders>
              <w:top w:val="nil"/>
              <w:left w:val="nil"/>
              <w:bottom w:val="single" w:color="000000" w:themeColor="dark1" w:sz="12" w:space="0"/>
              <w:right w:val="nil"/>
            </w:tcBorders>
            <w:shd w:val="clear" w:color="auto" w:fill="FFFFFF"/>
          </w:tcPr>
          <w:p w14:paraId="5EABFE8E">
            <w:pPr>
              <w:spacing w:before="0" w:after="0" w:line="240" w:lineRule="auto"/>
              <w:jc w:val="center"/>
              <w:rPr>
                <w:rFonts w:hint="default" w:ascii="Arial" w:hAnsi="Arial" w:cs="Arial"/>
                <w:b w:val="0"/>
                <w:i w:val="0"/>
                <w:color w:val="auto"/>
                <w:sz w:val="18"/>
                <w:szCs w:val="18"/>
              </w:rPr>
            </w:pPr>
            <w:r>
              <w:rPr>
                <w:rFonts w:hint="default" w:ascii="Arial" w:hAnsi="Arial" w:cs="Arial"/>
                <w:b w:val="0"/>
                <w:i w:val="0"/>
                <w:color w:val="auto"/>
                <w:sz w:val="18"/>
                <w:szCs w:val="18"/>
              </w:rPr>
              <w:t>School-cluster-robust inference for all 30 cross-domain paths reported in Supplementary Table S13b</w:t>
            </w:r>
          </w:p>
        </w:tc>
      </w:tr>
    </w:tbl>
    <w:p w14:paraId="75ACED98">
      <w:pPr>
        <w:spacing w:after="40"/>
        <w:jc w:val="both"/>
        <w:rPr>
          <w:rFonts w:hint="default" w:ascii="Arial" w:hAnsi="Arial" w:cs="Arial"/>
          <w:color w:val="auto"/>
        </w:rPr>
      </w:pPr>
    </w:p>
    <w:p w14:paraId="0623D1E4">
      <w:pPr>
        <w:pStyle w:val="4"/>
        <w:jc w:val="both"/>
        <w:rPr>
          <w:rFonts w:hint="default" w:ascii="Arial" w:hAnsi="Arial" w:cs="Arial"/>
          <w:color w:val="auto"/>
        </w:rPr>
      </w:pPr>
      <w:r>
        <w:rPr>
          <w:rFonts w:hint="default" w:ascii="Arial" w:hAnsi="Arial" w:cs="Arial"/>
          <w:color w:val="auto"/>
        </w:rPr>
        <w:t>3. Supplementary Figures</w:t>
      </w:r>
    </w:p>
    <w:p w14:paraId="2737BA12">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4500245" cy="3161030"/>
            <wp:effectExtent l="0" t="0" r="825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4500245" cy="3161030"/>
                    </a:xfrm>
                    <a:prstGeom prst="rect">
                      <a:avLst/>
                    </a:prstGeom>
                  </pic:spPr>
                </pic:pic>
              </a:graphicData>
            </a:graphic>
          </wp:inline>
        </w:drawing>
      </w:r>
    </w:p>
    <w:p w14:paraId="3F3801CD">
      <w:pPr>
        <w:keepLines/>
        <w:spacing w:after="160"/>
        <w:jc w:val="left"/>
        <w:rPr>
          <w:rFonts w:hint="default" w:ascii="Arial" w:hAnsi="Arial" w:cs="Arial"/>
          <w:color w:val="auto"/>
          <w:sz w:val="18"/>
        </w:rPr>
      </w:pPr>
      <w:r>
        <w:rPr>
          <w:rFonts w:hint="default" w:ascii="Arial" w:hAnsi="Arial" w:cs="Arial"/>
          <w:color w:val="auto"/>
        </w:rPr>
        <w:t>Supplementary Figure S1. Two-wave matching flow. From Wave 1 (N = 10,356) through the Wave-3 six-domain-complete export to the hashed-key-matched longitudinal sample (N = 6,092). DOB, date of birth; arrows indicate the direction of record matching.</w:t>
      </w:r>
    </w:p>
    <w:p w14:paraId="2224B7EE">
      <w:pPr>
        <w:spacing w:after="200"/>
        <w:jc w:val="left"/>
        <w:rPr>
          <w:rFonts w:hint="default" w:ascii="Arial" w:hAnsi="Arial" w:cs="Arial"/>
          <w:color w:val="auto"/>
          <w:sz w:val="18"/>
        </w:rPr>
      </w:pPr>
    </w:p>
    <w:p w14:paraId="73AAA043">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4592320" cy="3124835"/>
            <wp:effectExtent l="0" t="0" r="5080" b="120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4592320" cy="3124835"/>
                    </a:xfrm>
                    <a:prstGeom prst="rect">
                      <a:avLst/>
                    </a:prstGeom>
                  </pic:spPr>
                </pic:pic>
              </a:graphicData>
            </a:graphic>
          </wp:inline>
        </w:drawing>
      </w:r>
    </w:p>
    <w:p w14:paraId="73D3157C">
      <w:pPr>
        <w:keepLines/>
        <w:spacing w:after="160"/>
        <w:jc w:val="left"/>
        <w:rPr>
          <w:rFonts w:hint="default" w:ascii="Arial" w:hAnsi="Arial" w:cs="Arial"/>
          <w:color w:val="auto"/>
        </w:rPr>
      </w:pPr>
      <w:r>
        <w:rPr>
          <w:rFonts w:hint="default" w:ascii="Arial" w:hAnsi="Arial" w:cs="Arial"/>
          <w:color w:val="auto"/>
        </w:rPr>
        <w:t>Supplementary Figure S2. One-year domain-score test–retest stability. Cross-wave correlation of each domain score over the one-year interval.</w:t>
      </w:r>
    </w:p>
    <w:p w14:paraId="03EC2C83">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4486275" cy="3317240"/>
            <wp:effectExtent l="0" t="0" r="9525"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tretch>
                      <a:fillRect/>
                    </a:stretch>
                  </pic:blipFill>
                  <pic:spPr>
                    <a:xfrm>
                      <a:off x="0" y="0"/>
                      <a:ext cx="4486275" cy="3317240"/>
                    </a:xfrm>
                    <a:prstGeom prst="rect">
                      <a:avLst/>
                    </a:prstGeom>
                  </pic:spPr>
                </pic:pic>
              </a:graphicData>
            </a:graphic>
          </wp:inline>
        </w:drawing>
      </w:r>
    </w:p>
    <w:p w14:paraId="167457D0">
      <w:pPr>
        <w:keepLines/>
        <w:spacing w:after="160"/>
        <w:jc w:val="left"/>
        <w:rPr>
          <w:rFonts w:hint="eastAsia" w:ascii="Arial" w:hAnsi="Arial" w:eastAsia="宋体" w:cs="Arial"/>
          <w:color w:val="auto"/>
          <w:lang w:val="en-US" w:eastAsia="zh-CN"/>
        </w:rPr>
      </w:pPr>
      <w:r>
        <w:rPr>
          <w:rFonts w:hint="default" w:ascii="Arial" w:hAnsi="Arial" w:cs="Arial"/>
          <w:color w:val="auto"/>
        </w:rPr>
        <w:t>Supplementary Figure S3. Comparison across non-equivalent network metrics. (a) Standardised module scores across four hierarchy definitions (MDS control frequency, average module control strength (AMCS), CLPN net directionality, Bayesian net out-degree). (b) Longitudinal net directionality with 95% CI. (c) Control frequency versus every traditional centrality metric (all |r| &lt; 0.45). (d) Bootstrap control-node stability; DIET22 was the most stable. In the embedded figure title, “PSU” denotes generalised problematic internet and digital-media use assessed with the Chen Internet Addiction Scale–Revised (CIAS-R), rather than smartphone-specific use. CF, control frequency; AMCS, average module control strength; MCN, module control network; CLPN, cross-lagged panel network; BN, Bayesian network; MDS, minimum dominating set; CI, confidence interval. Hatched segments indicate CF ≥ 0.30, and full bars indicate selection into any MDS. Red dotted lines in c mark correlations of ±0.30.</w:t>
      </w:r>
      <w:r>
        <w:rPr>
          <w:rFonts w:hint="eastAsia" w:eastAsia="宋体" w:cs="Arial"/>
          <w:color w:val="auto"/>
          <w:lang w:val="en-US" w:eastAsia="zh-CN"/>
        </w:rPr>
        <w:t xml:space="preserve"> In the embedded figure, </w:t>
      </w:r>
      <w:r>
        <w:rPr>
          <w:rFonts w:hint="default" w:eastAsia="宋体" w:cs="Arial"/>
          <w:color w:val="auto"/>
          <w:lang w:val="en-US" w:eastAsia="zh-CN"/>
        </w:rPr>
        <w:t>“</w:t>
      </w:r>
      <w:r>
        <w:rPr>
          <w:rFonts w:hint="eastAsia" w:eastAsia="宋体" w:cs="Arial"/>
          <w:color w:val="auto"/>
          <w:lang w:val="en-US" w:eastAsia="zh-CN"/>
        </w:rPr>
        <w:t>driver</w:t>
      </w:r>
      <w:r>
        <w:rPr>
          <w:rFonts w:hint="default" w:eastAsia="宋体" w:cs="Arial"/>
          <w:color w:val="auto"/>
          <w:lang w:val="en-US" w:eastAsia="zh-CN"/>
        </w:rPr>
        <w:t>”</w:t>
      </w:r>
      <w:r>
        <w:rPr>
          <w:rFonts w:hint="eastAsia" w:eastAsia="宋体" w:cs="Arial"/>
          <w:color w:val="auto"/>
          <w:lang w:val="en-US" w:eastAsia="zh-CN"/>
        </w:rPr>
        <w:t xml:space="preserve"> is a graph-theoretic label for a structural-control node identified by MDS membership or control frequency; it does not indicate causal or longitudinal influence.</w:t>
      </w:r>
    </w:p>
    <w:p w14:paraId="08597F36">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4330700" cy="34594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stretch>
                      <a:fillRect/>
                    </a:stretch>
                  </pic:blipFill>
                  <pic:spPr>
                    <a:xfrm>
                      <a:off x="0" y="0"/>
                      <a:ext cx="4330700" cy="3459480"/>
                    </a:xfrm>
                    <a:prstGeom prst="rect">
                      <a:avLst/>
                    </a:prstGeom>
                  </pic:spPr>
                </pic:pic>
              </a:graphicData>
            </a:graphic>
          </wp:inline>
        </w:drawing>
      </w:r>
    </w:p>
    <w:p w14:paraId="6C71FA61">
      <w:pPr>
        <w:keepLines/>
        <w:spacing w:after="160"/>
        <w:jc w:val="left"/>
        <w:rPr>
          <w:rFonts w:hint="default" w:ascii="Arial" w:hAnsi="Arial" w:cs="Arial"/>
          <w:color w:val="auto"/>
        </w:rPr>
      </w:pPr>
      <w:r>
        <w:rPr>
          <w:rFonts w:hint="default" w:ascii="Arial" w:hAnsi="Arial" w:cs="Arial"/>
          <w:color w:val="auto"/>
        </w:rPr>
        <w:t>Supplementary Figure S4. Bridge strength versus control frequency: bridge-centrality nodes and structural-control nodes are distinct (r = 0.21). CF, control frequency.</w:t>
      </w:r>
    </w:p>
    <w:p w14:paraId="6B9F4B2E">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4530090" cy="3569335"/>
            <wp:effectExtent l="0" t="0" r="3810" b="1206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stretch>
                      <a:fillRect/>
                    </a:stretch>
                  </pic:blipFill>
                  <pic:spPr>
                    <a:xfrm>
                      <a:off x="0" y="0"/>
                      <a:ext cx="4530090" cy="3569335"/>
                    </a:xfrm>
                    <a:prstGeom prst="rect">
                      <a:avLst/>
                    </a:prstGeom>
                  </pic:spPr>
                </pic:pic>
              </a:graphicData>
            </a:graphic>
          </wp:inline>
        </w:drawing>
      </w:r>
    </w:p>
    <w:p w14:paraId="59140BC9">
      <w:pPr>
        <w:keepLines/>
        <w:spacing w:after="160"/>
        <w:jc w:val="left"/>
        <w:rPr>
          <w:rFonts w:hint="default" w:ascii="Arial" w:hAnsi="Arial" w:cs="Arial"/>
          <w:color w:val="auto"/>
          <w:sz w:val="18"/>
        </w:rPr>
      </w:pPr>
      <w:r>
        <w:rPr>
          <w:rFonts w:hint="default" w:ascii="Arial" w:hAnsi="Arial" w:cs="Arial"/>
          <w:color w:val="auto"/>
        </w:rPr>
        <w:t>Supplementary Figure S5. One-step signed expected influence of the highest-ranked nodes.</w:t>
      </w:r>
    </w:p>
    <w:p w14:paraId="1E5D3EC9">
      <w:pPr>
        <w:spacing w:after="200"/>
        <w:jc w:val="left"/>
        <w:rPr>
          <w:rFonts w:hint="default" w:ascii="Arial" w:hAnsi="Arial" w:cs="Arial"/>
          <w:color w:val="auto"/>
          <w:sz w:val="18"/>
        </w:rPr>
      </w:pPr>
    </w:p>
    <w:p w14:paraId="71150365">
      <w:pPr>
        <w:keepNext/>
        <w:keepLines/>
        <w:spacing w:before="160"/>
        <w:jc w:val="center"/>
        <w:rPr>
          <w:rFonts w:hint="eastAsia" w:ascii="Arial" w:hAnsi="Arial" w:eastAsia="宋体" w:cs="Arial"/>
          <w:color w:val="auto"/>
          <w:lang w:eastAsia="zh-CN"/>
        </w:rPr>
      </w:pPr>
      <w:r>
        <w:rPr>
          <w:rFonts w:hint="eastAsia" w:ascii="Arial" w:hAnsi="Arial" w:eastAsia="宋体" w:cs="Arial"/>
          <w:color w:val="auto"/>
          <w:lang w:eastAsia="zh-CN"/>
        </w:rPr>
        <w:drawing>
          <wp:inline distT="0" distB="0" distL="114300" distR="114300">
            <wp:extent cx="5938520" cy="4874895"/>
            <wp:effectExtent l="0" t="0" r="5080" b="1905"/>
            <wp:docPr id="21" name="图片 21" descr="Figure_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igure_S6"/>
                    <pic:cNvPicPr>
                      <a:picLocks noChangeAspect="1"/>
                    </pic:cNvPicPr>
                  </pic:nvPicPr>
                  <pic:blipFill>
                    <a:blip r:embed="rId13"/>
                    <a:stretch>
                      <a:fillRect/>
                    </a:stretch>
                  </pic:blipFill>
                  <pic:spPr>
                    <a:xfrm>
                      <a:off x="0" y="0"/>
                      <a:ext cx="5938520" cy="4874895"/>
                    </a:xfrm>
                    <a:prstGeom prst="rect">
                      <a:avLst/>
                    </a:prstGeom>
                  </pic:spPr>
                </pic:pic>
              </a:graphicData>
            </a:graphic>
          </wp:inline>
        </w:drawing>
      </w:r>
    </w:p>
    <w:p w14:paraId="4E3030AD">
      <w:pPr>
        <w:keepLines/>
        <w:spacing w:after="160"/>
        <w:jc w:val="left"/>
        <w:rPr>
          <w:rFonts w:hint="default" w:ascii="Arial" w:hAnsi="Arial" w:cs="Arial"/>
          <w:color w:val="auto"/>
        </w:rPr>
      </w:pPr>
      <w:r>
        <w:rPr>
          <w:rFonts w:hint="default" w:ascii="Arial" w:hAnsi="Arial" w:cs="Arial"/>
          <w:color w:val="auto"/>
        </w:rPr>
        <w:t>Supplementary Figure S6. Exact target-set coverage in the 104-node baseline network. Bars show the exact minimum number of selected nodes whose closed neighbourhoods cover all nodes in each specified target set. Candidate cover nodes could be selected from anywhere in the network. Values above the bars give the minimum number of selected nodes, with the number of target nodes shown in parentheses. CIAS denotes generalised problematic internet and digital-media use assessed with the CIAS-R. The full network required three nodes. Each selected target subset required two. This graph-theoretic coverage measure does not imply causal or clinical control.</w:t>
      </w:r>
    </w:p>
    <w:p w14:paraId="29C847C6">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4486275" cy="3413760"/>
            <wp:effectExtent l="0" t="0" r="952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4"/>
                    <a:stretch>
                      <a:fillRect/>
                    </a:stretch>
                  </pic:blipFill>
                  <pic:spPr>
                    <a:xfrm>
                      <a:off x="0" y="0"/>
                      <a:ext cx="4486275" cy="3413760"/>
                    </a:xfrm>
                    <a:prstGeom prst="rect">
                      <a:avLst/>
                    </a:prstGeom>
                  </pic:spPr>
                </pic:pic>
              </a:graphicData>
            </a:graphic>
          </wp:inline>
        </w:drawing>
      </w:r>
    </w:p>
    <w:p w14:paraId="03763221">
      <w:pPr>
        <w:keepLines/>
        <w:spacing w:after="160"/>
        <w:jc w:val="left"/>
        <w:rPr>
          <w:rFonts w:hint="default" w:ascii="Arial" w:hAnsi="Arial" w:cs="Arial"/>
          <w:color w:val="auto"/>
          <w:sz w:val="18"/>
        </w:rPr>
      </w:pPr>
      <w:r>
        <w:rPr>
          <w:rFonts w:hint="default" w:ascii="Arial" w:hAnsi="Arial" w:cs="Arial"/>
          <w:color w:val="auto"/>
        </w:rPr>
        <w:t>Supplementary Figure S7. Community-algorithm agreement: six community-detection algorithms recover the six a-priori domains (ARI, NMI). ARI, adjusted Rand index; NMI, normalised mutual information.</w:t>
      </w:r>
    </w:p>
    <w:p w14:paraId="1AE3D8C7">
      <w:pPr>
        <w:spacing w:after="200"/>
        <w:jc w:val="left"/>
        <w:rPr>
          <w:rFonts w:hint="default" w:ascii="Arial" w:hAnsi="Arial" w:cs="Arial"/>
          <w:color w:val="auto"/>
          <w:sz w:val="18"/>
        </w:rPr>
      </w:pPr>
    </w:p>
    <w:p w14:paraId="686DBC21">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4373880" cy="3481705"/>
            <wp:effectExtent l="0" t="0" r="7620" b="1079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5"/>
                    <a:stretch>
                      <a:fillRect/>
                    </a:stretch>
                  </pic:blipFill>
                  <pic:spPr>
                    <a:xfrm>
                      <a:off x="0" y="0"/>
                      <a:ext cx="4373880" cy="3481705"/>
                    </a:xfrm>
                    <a:prstGeom prst="rect">
                      <a:avLst/>
                    </a:prstGeom>
                  </pic:spPr>
                </pic:pic>
              </a:graphicData>
            </a:graphic>
          </wp:inline>
        </w:drawing>
      </w:r>
    </w:p>
    <w:p w14:paraId="54D73B44">
      <w:pPr>
        <w:keepLines/>
        <w:spacing w:after="160"/>
        <w:jc w:val="left"/>
        <w:rPr>
          <w:rFonts w:hint="default" w:ascii="Arial" w:hAnsi="Arial" w:eastAsia="宋体" w:cs="Arial"/>
          <w:color w:val="auto"/>
          <w:lang w:val="en-GB" w:eastAsia="zh-CN"/>
        </w:rPr>
      </w:pPr>
      <w:r>
        <w:rPr>
          <w:rFonts w:hint="default" w:ascii="Arial" w:hAnsi="Arial" w:cs="Arial"/>
          <w:color w:val="auto"/>
        </w:rPr>
        <w:t>Supplementary Figure S8. Cross-wave community evolution (ARI 0.86; 8 of 89 nodes moved). ARI, adjusted Rand index. Thin lines represent individual nodes and thick lines represent domain-level mean trajectories; community IDs are categorical labels without ordinal meaning.</w:t>
      </w:r>
    </w:p>
    <w:p w14:paraId="60099484">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4522470" cy="3840480"/>
            <wp:effectExtent l="0" t="0" r="1143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6"/>
                    <a:stretch>
                      <a:fillRect/>
                    </a:stretch>
                  </pic:blipFill>
                  <pic:spPr>
                    <a:xfrm>
                      <a:off x="0" y="0"/>
                      <a:ext cx="4522470" cy="3840480"/>
                    </a:xfrm>
                    <a:prstGeom prst="rect">
                      <a:avLst/>
                    </a:prstGeom>
                  </pic:spPr>
                </pic:pic>
              </a:graphicData>
            </a:graphic>
          </wp:inline>
        </w:drawing>
      </w:r>
    </w:p>
    <w:p w14:paraId="6A936C9C">
      <w:pPr>
        <w:keepLines/>
        <w:spacing w:after="160"/>
        <w:jc w:val="left"/>
        <w:rPr>
          <w:rFonts w:hint="default" w:ascii="Arial" w:hAnsi="Arial" w:eastAsia="宋体" w:cs="Arial"/>
          <w:color w:val="auto"/>
          <w:lang w:val="en-GB" w:eastAsia="zh-CN"/>
        </w:rPr>
      </w:pPr>
      <w:r>
        <w:rPr>
          <w:rFonts w:hint="default" w:ascii="Arial" w:hAnsi="Arial" w:cs="Arial"/>
          <w:color w:val="auto"/>
        </w:rPr>
        <w:t>Supplementary Figure S9. Bootstrap co-assignment matrix (mean within-module probability 0.78). Colours indicate bootstrap co-assignment probability from 0 to 1; white boundaries delineate the six prespecified domains. P, probability.</w:t>
      </w:r>
    </w:p>
    <w:p w14:paraId="34BA82A6">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4507865" cy="3350895"/>
            <wp:effectExtent l="0" t="0" r="63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7"/>
                    <a:stretch>
                      <a:fillRect/>
                    </a:stretch>
                  </pic:blipFill>
                  <pic:spPr>
                    <a:xfrm>
                      <a:off x="0" y="0"/>
                      <a:ext cx="4507865" cy="3350895"/>
                    </a:xfrm>
                    <a:prstGeom prst="rect">
                      <a:avLst/>
                    </a:prstGeom>
                  </pic:spPr>
                </pic:pic>
              </a:graphicData>
            </a:graphic>
          </wp:inline>
        </w:drawing>
      </w:r>
    </w:p>
    <w:p w14:paraId="7232FC4F">
      <w:pPr>
        <w:keepLines/>
        <w:spacing w:after="160"/>
        <w:jc w:val="left"/>
        <w:rPr>
          <w:rFonts w:hint="default" w:ascii="Arial" w:hAnsi="Arial" w:cs="Arial"/>
          <w:color w:val="auto"/>
        </w:rPr>
      </w:pPr>
      <w:r>
        <w:rPr>
          <w:rFonts w:hint="default" w:ascii="Arial" w:hAnsi="Arial" w:cs="Arial"/>
          <w:color w:val="auto"/>
        </w:rPr>
        <w:t>Supplementary Figure S10. Dynamical spreading trajectory: total network activation over time under sustained perturbation of each module.</w:t>
      </w:r>
    </w:p>
    <w:p w14:paraId="29065305">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4866640" cy="3557905"/>
            <wp:effectExtent l="0" t="0" r="10160" b="1079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8"/>
                    <a:stretch>
                      <a:fillRect/>
                    </a:stretch>
                  </pic:blipFill>
                  <pic:spPr>
                    <a:xfrm>
                      <a:off x="0" y="0"/>
                      <a:ext cx="4866640" cy="3557905"/>
                    </a:xfrm>
                    <a:prstGeom prst="rect">
                      <a:avLst/>
                    </a:prstGeom>
                  </pic:spPr>
                </pic:pic>
              </a:graphicData>
            </a:graphic>
          </wp:inline>
        </w:drawing>
      </w:r>
    </w:p>
    <w:p w14:paraId="72ABA514">
      <w:pPr>
        <w:keepLines/>
        <w:spacing w:after="160"/>
        <w:jc w:val="left"/>
        <w:rPr>
          <w:rFonts w:hint="default" w:ascii="Arial" w:hAnsi="Arial" w:eastAsia="宋体" w:cs="Arial"/>
          <w:color w:val="auto"/>
          <w:lang w:val="en-GB" w:eastAsia="zh-CN"/>
        </w:rPr>
      </w:pPr>
      <w:r>
        <w:rPr>
          <w:rFonts w:hint="default" w:ascii="Arial" w:hAnsi="Arial" w:cs="Arial"/>
          <w:color w:val="auto"/>
        </w:rPr>
        <w:t xml:space="preserve">Supplementary Figure S11. Global efficiency as nodes are removed by different importance metrics. </w:t>
      </w:r>
    </w:p>
    <w:p w14:paraId="3DE8EE4C">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4824730" cy="3702685"/>
            <wp:effectExtent l="0" t="0" r="127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9"/>
                    <a:stretch>
                      <a:fillRect/>
                    </a:stretch>
                  </pic:blipFill>
                  <pic:spPr>
                    <a:xfrm>
                      <a:off x="0" y="0"/>
                      <a:ext cx="4824730" cy="3702685"/>
                    </a:xfrm>
                    <a:prstGeom prst="rect">
                      <a:avLst/>
                    </a:prstGeom>
                  </pic:spPr>
                </pic:pic>
              </a:graphicData>
            </a:graphic>
          </wp:inline>
        </w:drawing>
      </w:r>
    </w:p>
    <w:p w14:paraId="2C0AA105">
      <w:pPr>
        <w:keepLines/>
        <w:spacing w:after="160"/>
        <w:jc w:val="left"/>
        <w:rPr>
          <w:rFonts w:hint="default" w:ascii="Arial" w:hAnsi="Arial" w:cs="Arial"/>
          <w:color w:val="auto"/>
        </w:rPr>
      </w:pPr>
      <w:r>
        <w:rPr>
          <w:rFonts w:hint="default" w:ascii="Arial" w:hAnsi="Arial" w:cs="Arial"/>
          <w:color w:val="auto"/>
        </w:rPr>
        <w:t>Supplementary Figure S12. Steady-state activation under sustained module perturbation. SDQ and DASS inputs produce greater total activation than ISI and ACT inputs in the specified nonlinear propagation model.</w:t>
      </w:r>
    </w:p>
    <w:p w14:paraId="2ECFF444">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3496945" cy="3098165"/>
            <wp:effectExtent l="0" t="0" r="825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0"/>
                    <a:stretch>
                      <a:fillRect/>
                    </a:stretch>
                  </pic:blipFill>
                  <pic:spPr>
                    <a:xfrm>
                      <a:off x="0" y="0"/>
                      <a:ext cx="3496945" cy="3098165"/>
                    </a:xfrm>
                    <a:prstGeom prst="rect">
                      <a:avLst/>
                    </a:prstGeom>
                  </pic:spPr>
                </pic:pic>
              </a:graphicData>
            </a:graphic>
          </wp:inline>
        </w:drawing>
      </w:r>
    </w:p>
    <w:p w14:paraId="7ADA980F">
      <w:pPr>
        <w:keepLines/>
        <w:spacing w:after="160"/>
        <w:jc w:val="left"/>
        <w:rPr>
          <w:rFonts w:hint="default" w:ascii="Arial" w:hAnsi="Arial" w:eastAsia="宋体" w:cs="Arial"/>
          <w:color w:val="auto"/>
          <w:sz w:val="18"/>
          <w:lang w:val="en-GB" w:eastAsia="zh-CN"/>
        </w:rPr>
      </w:pPr>
      <w:r>
        <w:rPr>
          <w:rFonts w:hint="default" w:ascii="Arial" w:hAnsi="Arial" w:cs="Arial"/>
          <w:color w:val="auto"/>
        </w:rPr>
        <w:t>Supplementary Figure S13. Full cross-lagged coefficient matrix, SEARCH cohort (N = 6,092). Rows are Wave-1 predictors, columns are Wave-3 outcomes one year later. Diagonal entries are autoregressions; asterisks mark Bonferroni-significant coefficients (α = 0.0017). The DASS row carries the strongest off-diagonal outgoing effects, consistent with emotional distress occupying the leading CLPN net source position. Warm and blue cells indicate positive and negative coefficients, respectively.</w:t>
      </w:r>
    </w:p>
    <w:p w14:paraId="2F0882F8">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3102610" cy="2836545"/>
            <wp:effectExtent l="0" t="0" r="889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1"/>
                    <a:stretch>
                      <a:fillRect/>
                    </a:stretch>
                  </pic:blipFill>
                  <pic:spPr>
                    <a:xfrm>
                      <a:off x="0" y="0"/>
                      <a:ext cx="3102610" cy="2836545"/>
                    </a:xfrm>
                    <a:prstGeom prst="rect">
                      <a:avLst/>
                    </a:prstGeom>
                  </pic:spPr>
                </pic:pic>
              </a:graphicData>
            </a:graphic>
          </wp:inline>
        </w:drawing>
      </w:r>
    </w:p>
    <w:p w14:paraId="74951FCF">
      <w:pPr>
        <w:keepLines/>
        <w:spacing w:after="160"/>
        <w:jc w:val="left"/>
        <w:rPr>
          <w:rFonts w:hint="default" w:ascii="Arial" w:hAnsi="Arial" w:eastAsia="宋体" w:cs="Arial"/>
          <w:b w:val="0"/>
          <w:bCs/>
          <w:color w:val="auto"/>
          <w:sz w:val="18"/>
          <w:lang w:val="en-GB" w:eastAsia="zh-CN"/>
        </w:rPr>
      </w:pPr>
      <w:r>
        <w:rPr>
          <w:rFonts w:hint="default" w:ascii="Arial" w:hAnsi="Arial" w:cs="Arial"/>
          <w:color w:val="auto"/>
        </w:rPr>
        <w:t>Supplementary Figure S14. Full cross-lagged coefficient matrix, UK Millennium Cohort Study (N = 7,838). SMFQ, Short Mood and Feelings Questionnaire; K6, six-item Kessler Psychological Distress Scale; β, standardised cross-lagged coefficient. Warm and blue cells indicate positive and negative coefficients, respectively. Rows are age-14 predictors, columns are age-17 outcomes. Internalising distress is measured by the SMFQ at age 14 and the Kessler K6 at age 17. Social-media use and gaming occupied CLPN net sink positions. Self-reported internalising distress,</w:t>
      </w:r>
      <w:r>
        <w:rPr>
          <w:rFonts w:hint="eastAsia" w:eastAsia="宋体" w:cs="Arial"/>
          <w:color w:val="auto"/>
          <w:lang w:val="en-US" w:eastAsia="zh-CN"/>
        </w:rPr>
        <w:t xml:space="preserve"> </w:t>
      </w:r>
      <w:r>
        <w:rPr>
          <w:rFonts w:hint="default" w:ascii="Arial" w:hAnsi="Arial" w:cs="Arial"/>
          <w:color w:val="auto"/>
        </w:rPr>
        <w:t xml:space="preserve">hyperactivity/inattention and conduct problems occupied CLPN net source positions. Positive paths to both screen-related outcomes originated from hyperactivity/inattention and conduct problems. </w:t>
      </w:r>
    </w:p>
    <w:p w14:paraId="17F23F7D">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3786505" cy="3403600"/>
            <wp:effectExtent l="0" t="0" r="1079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2"/>
                    <a:stretch>
                      <a:fillRect/>
                    </a:stretch>
                  </pic:blipFill>
                  <pic:spPr>
                    <a:xfrm>
                      <a:off x="0" y="0"/>
                      <a:ext cx="3786505" cy="3403600"/>
                    </a:xfrm>
                    <a:prstGeom prst="rect">
                      <a:avLst/>
                    </a:prstGeom>
                  </pic:spPr>
                </pic:pic>
              </a:graphicData>
            </a:graphic>
          </wp:inline>
        </w:drawing>
      </w:r>
    </w:p>
    <w:p w14:paraId="437A587B">
      <w:pPr>
        <w:keepLines/>
        <w:spacing w:after="160"/>
        <w:jc w:val="left"/>
        <w:rPr>
          <w:rFonts w:hint="default" w:ascii="Arial" w:hAnsi="Arial" w:eastAsia="宋体" w:cs="Arial"/>
          <w:color w:val="auto"/>
          <w:lang w:val="en-GB" w:eastAsia="zh-CN"/>
        </w:rPr>
      </w:pPr>
      <w:r>
        <w:rPr>
          <w:rFonts w:hint="default" w:ascii="Arial" w:hAnsi="Arial" w:cs="Arial"/>
          <w:color w:val="auto"/>
        </w:rPr>
        <w:t>Supplementary Figure S15. Spearman correlations among 14 node-level metrics (104 nodes). The control-frequency row and column (boxed) are weakly correlated with every traditional centrality metric, confirming that structural control is a distinct dimension. Warm and blue cells indicate positive and negative correlations, respectively.</w:t>
      </w:r>
    </w:p>
    <w:p w14:paraId="47A137C2">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4239260" cy="3162935"/>
            <wp:effectExtent l="0" t="0" r="2540" b="1206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3"/>
                    <a:stretch>
                      <a:fillRect/>
                    </a:stretch>
                  </pic:blipFill>
                  <pic:spPr>
                    <a:xfrm>
                      <a:off x="0" y="0"/>
                      <a:ext cx="4239260" cy="3162935"/>
                    </a:xfrm>
                    <a:prstGeom prst="rect">
                      <a:avLst/>
                    </a:prstGeom>
                  </pic:spPr>
                </pic:pic>
              </a:graphicData>
            </a:graphic>
          </wp:inline>
        </w:drawing>
      </w:r>
    </w:p>
    <w:p w14:paraId="0EE4D57C">
      <w:pPr>
        <w:keepLines/>
        <w:spacing w:after="160"/>
        <w:jc w:val="left"/>
        <w:rPr>
          <w:rFonts w:hint="default" w:ascii="Arial" w:hAnsi="Arial" w:cs="Arial"/>
          <w:color w:val="auto"/>
        </w:rPr>
      </w:pPr>
      <w:r>
        <w:rPr>
          <w:rFonts w:hint="default" w:ascii="Arial" w:hAnsi="Arial" w:cs="Arial"/>
          <w:color w:val="auto"/>
        </w:rPr>
        <w:t>Supplementary Figure S16. Control-node stability across 300 subsampling bootstraps. Bars show the bootstrap mean control frequency, whiskers the 95% CI, and diamonds the original value; right-hand percentages are the fraction of resamples selecting each node into any minimum dominating set. DIET22 had the highest selection frequency across resamples, followed by DASS14.</w:t>
      </w:r>
      <w:r>
        <w:rPr>
          <w:rFonts w:hint="eastAsia" w:eastAsia="宋体" w:cs="Arial"/>
          <w:color w:val="auto"/>
          <w:lang w:val="en-US" w:eastAsia="zh-CN"/>
        </w:rPr>
        <w:t xml:space="preserve"> </w:t>
      </w:r>
      <w:r>
        <w:rPr>
          <w:rFonts w:hint="default" w:ascii="Arial" w:hAnsi="Arial" w:cs="Arial"/>
          <w:color w:val="auto"/>
        </w:rPr>
        <w:t xml:space="preserve">In the embedded figure, “driver” is a graph-theoretic label for a structural-control node identified by </w:t>
      </w:r>
      <w:r>
        <w:rPr>
          <w:rFonts w:hint="eastAsia" w:eastAsia="宋体" w:cs="Arial"/>
          <w:color w:val="auto"/>
          <w:lang w:eastAsia="zh-CN"/>
        </w:rPr>
        <w:t>MDS</w:t>
      </w:r>
      <w:r>
        <w:rPr>
          <w:rFonts w:hint="default" w:ascii="Arial" w:hAnsi="Arial" w:cs="Arial"/>
          <w:color w:val="auto"/>
        </w:rPr>
        <w:t xml:space="preserve"> membership or control frequency; it does not indicate causal or longitudinal influence.</w:t>
      </w:r>
    </w:p>
    <w:p w14:paraId="7BDEBEE0">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5985510" cy="2491105"/>
            <wp:effectExtent l="0" t="0" r="8890" b="1079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4"/>
                    <a:stretch>
                      <a:fillRect/>
                    </a:stretch>
                  </pic:blipFill>
                  <pic:spPr>
                    <a:xfrm>
                      <a:off x="0" y="0"/>
                      <a:ext cx="5985510" cy="2491105"/>
                    </a:xfrm>
                    <a:prstGeom prst="rect">
                      <a:avLst/>
                    </a:prstGeom>
                  </pic:spPr>
                </pic:pic>
              </a:graphicData>
            </a:graphic>
          </wp:inline>
        </w:drawing>
      </w:r>
    </w:p>
    <w:p w14:paraId="6797B4AC">
      <w:pPr>
        <w:keepLines/>
        <w:spacing w:after="160"/>
        <w:jc w:val="left"/>
        <w:rPr>
          <w:rFonts w:hint="default" w:ascii="Arial" w:hAnsi="Arial" w:cs="Arial"/>
          <w:color w:val="auto"/>
          <w:sz w:val="18"/>
        </w:rPr>
      </w:pPr>
      <w:r>
        <w:rPr>
          <w:rFonts w:hint="default" w:ascii="Arial" w:hAnsi="Arial" w:cs="Arial"/>
          <w:color w:val="auto"/>
        </w:rPr>
        <w:t xml:space="preserve">Supplementary Figure S17. Regularisation sensitivity of the network and </w:t>
      </w:r>
      <w:r>
        <w:rPr>
          <w:rFonts w:hint="eastAsia" w:eastAsia="宋体" w:cs="Arial"/>
          <w:color w:val="auto"/>
          <w:lang w:eastAsia="zh-CN"/>
        </w:rPr>
        <w:t>MDS</w:t>
      </w:r>
      <w:r>
        <w:rPr>
          <w:rFonts w:hint="default" w:ascii="Arial" w:hAnsi="Arial" w:cs="Arial"/>
          <w:color w:val="auto"/>
        </w:rPr>
        <w:t xml:space="preserve"> solution. (a) Network density and </w:t>
      </w:r>
      <w:r>
        <w:rPr>
          <w:rFonts w:hint="eastAsia" w:eastAsia="宋体" w:cs="Arial"/>
          <w:color w:val="auto"/>
          <w:lang w:eastAsia="zh-CN"/>
        </w:rPr>
        <w:t>MDS</w:t>
      </w:r>
      <w:r>
        <w:rPr>
          <w:rFonts w:hint="default" w:ascii="Arial" w:hAnsi="Arial" w:cs="Arial"/>
          <w:color w:val="auto"/>
        </w:rPr>
        <w:t xml:space="preserve"> size across the regularisation path, with the cross-validated lambda* = 0.058 marked. (b) Number of equivalent </w:t>
      </w:r>
      <w:r>
        <w:rPr>
          <w:rFonts w:hint="eastAsia" w:eastAsia="宋体" w:cs="Arial"/>
          <w:color w:val="auto"/>
          <w:lang w:eastAsia="zh-CN"/>
        </w:rPr>
        <w:t>MDS</w:t>
      </w:r>
      <w:r>
        <w:rPr>
          <w:rFonts w:hint="default" w:ascii="Arial" w:hAnsi="Arial" w:cs="Arial"/>
          <w:color w:val="auto"/>
        </w:rPr>
        <w:t xml:space="preserve"> solutions across lambda (log scale). Several leading nodes recur between lambda = 0.04 and 0.08, while set size and membership vary across the wider path.</w:t>
      </w:r>
      <w:r>
        <w:rPr>
          <w:rFonts w:hint="eastAsia" w:eastAsia="宋体" w:cs="Arial"/>
          <w:color w:val="auto"/>
          <w:lang w:val="en-US" w:eastAsia="zh-CN"/>
        </w:rPr>
        <w:t xml:space="preserve"> </w:t>
      </w:r>
      <w:r>
        <w:rPr>
          <w:rFonts w:hint="default" w:ascii="Arial" w:hAnsi="Arial" w:cs="Arial"/>
          <w:color w:val="auto"/>
        </w:rPr>
        <w:t xml:space="preserve">In the embedded figure, “driver” is a graph-theoretic label for a structural-control node identified by </w:t>
      </w:r>
      <w:r>
        <w:rPr>
          <w:rFonts w:hint="eastAsia" w:eastAsia="宋体" w:cs="Arial"/>
          <w:color w:val="auto"/>
          <w:lang w:eastAsia="zh-CN"/>
        </w:rPr>
        <w:t>MDS</w:t>
      </w:r>
      <w:r>
        <w:rPr>
          <w:rFonts w:hint="default" w:ascii="Arial" w:hAnsi="Arial" w:cs="Arial"/>
          <w:color w:val="auto"/>
        </w:rPr>
        <w:t xml:space="preserve"> membership or control frequency; it does not indicate causal or longitudinal influence.</w:t>
      </w:r>
    </w:p>
    <w:p w14:paraId="582D77FF">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4576445" cy="2845435"/>
            <wp:effectExtent l="0" t="0" r="8255" b="120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5"/>
                    <a:stretch>
                      <a:fillRect/>
                    </a:stretch>
                  </pic:blipFill>
                  <pic:spPr>
                    <a:xfrm>
                      <a:off x="0" y="0"/>
                      <a:ext cx="4576445" cy="2845435"/>
                    </a:xfrm>
                    <a:prstGeom prst="rect">
                      <a:avLst/>
                    </a:prstGeom>
                  </pic:spPr>
                </pic:pic>
              </a:graphicData>
            </a:graphic>
          </wp:inline>
        </w:drawing>
      </w:r>
    </w:p>
    <w:p w14:paraId="636164E0">
      <w:pPr>
        <w:keepLines/>
        <w:spacing w:after="160"/>
        <w:jc w:val="left"/>
        <w:rPr>
          <w:rFonts w:hint="default" w:ascii="Arial" w:hAnsi="Arial" w:cs="Arial"/>
          <w:color w:val="auto"/>
        </w:rPr>
      </w:pPr>
      <w:r>
        <w:rPr>
          <w:rFonts w:hint="default" w:ascii="Arial" w:hAnsi="Arial" w:cs="Arial"/>
          <w:color w:val="auto"/>
        </w:rPr>
        <w:t>Supplementary Figure S18. Community partitions were broadly aligned with the six prespecified domains. Leiden returned six communities, whereas the other five algorithms returned seven. ARI and NMI between each algorithm's data-driven partition and the six a-priori domains; k is the number of communities returned. Leiden returns exactly six communities.</w:t>
      </w:r>
    </w:p>
    <w:p w14:paraId="2A67CD27">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5930900" cy="2027555"/>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6"/>
                    <a:stretch>
                      <a:fillRect/>
                    </a:stretch>
                  </pic:blipFill>
                  <pic:spPr>
                    <a:xfrm>
                      <a:off x="0" y="0"/>
                      <a:ext cx="5930900" cy="2027555"/>
                    </a:xfrm>
                    <a:prstGeom prst="rect">
                      <a:avLst/>
                    </a:prstGeom>
                  </pic:spPr>
                </pic:pic>
              </a:graphicData>
            </a:graphic>
          </wp:inline>
        </w:drawing>
      </w:r>
    </w:p>
    <w:p w14:paraId="6B361A98">
      <w:pPr>
        <w:keepLines/>
        <w:spacing w:after="160"/>
        <w:jc w:val="left"/>
        <w:rPr>
          <w:rFonts w:hint="default" w:ascii="Arial" w:hAnsi="Arial" w:cs="Arial"/>
          <w:color w:val="auto"/>
          <w:sz w:val="18"/>
        </w:rPr>
      </w:pPr>
      <w:r>
        <w:rPr>
          <w:rFonts w:hint="default" w:ascii="Arial" w:hAnsi="Arial" w:cs="Arial"/>
          <w:color w:val="auto"/>
        </w:rPr>
        <w:t xml:space="preserve">Supplementary Figure S19. </w:t>
      </w:r>
      <w:r>
        <w:rPr>
          <w:rFonts w:hint="eastAsia" w:eastAsia="宋体" w:cs="Arial"/>
          <w:color w:val="auto"/>
          <w:lang w:eastAsia="zh-CN"/>
        </w:rPr>
        <w:t>MDS</w:t>
      </w:r>
      <w:r>
        <w:rPr>
          <w:rFonts w:hint="default" w:ascii="Arial" w:hAnsi="Arial" w:cs="Arial"/>
          <w:color w:val="auto"/>
        </w:rPr>
        <w:t xml:space="preserve"> size follows the degree sequence while node frequencies differ from degree-matched expectations. (a) Across 500 degree-preserving null networks the </w:t>
      </w:r>
      <w:r>
        <w:rPr>
          <w:rFonts w:hint="eastAsia" w:eastAsia="宋体" w:cs="Arial"/>
          <w:color w:val="auto"/>
          <w:lang w:eastAsia="zh-CN"/>
        </w:rPr>
        <w:t>MDS</w:t>
      </w:r>
      <w:r>
        <w:rPr>
          <w:rFonts w:hint="default" w:ascii="Arial" w:hAnsi="Arial" w:cs="Arial"/>
          <w:color w:val="auto"/>
        </w:rPr>
        <w:t xml:space="preserve"> size of 3 is a property of the degree sequence (497/500). (b) Null domination frequency is almost fully determined by degree (grey; ρ = 0.95), whereas real control frequency is only weakly related to degree (coloured; ρ = 0.28). (c) The leading control nodes entered minimum dominating sets more frequently than expected under degree-preserving randomisation. In the embedded figure, “driver” is a graph-theoretic label for a structural-control node identified by </w:t>
      </w:r>
      <w:r>
        <w:rPr>
          <w:rFonts w:hint="eastAsia" w:eastAsia="宋体" w:cs="Arial"/>
          <w:color w:val="auto"/>
          <w:lang w:eastAsia="zh-CN"/>
        </w:rPr>
        <w:t>MDS</w:t>
      </w:r>
      <w:r>
        <w:rPr>
          <w:rFonts w:hint="default" w:ascii="Arial" w:hAnsi="Arial" w:cs="Arial"/>
          <w:color w:val="auto"/>
        </w:rPr>
        <w:t xml:space="preserve"> membership or control frequency; it does not indicate causal or longitudinal influence.</w:t>
      </w:r>
    </w:p>
    <w:p w14:paraId="3D89D100">
      <w:pPr>
        <w:spacing w:after="200"/>
        <w:jc w:val="left"/>
        <w:rPr>
          <w:rFonts w:hint="default" w:ascii="Arial" w:hAnsi="Arial" w:cs="Arial"/>
          <w:color w:val="auto"/>
          <w:sz w:val="18"/>
        </w:rPr>
      </w:pPr>
    </w:p>
    <w:p w14:paraId="15A739B9">
      <w:pPr>
        <w:keepNext/>
        <w:keepLines/>
        <w:spacing w:before="160"/>
        <w:jc w:val="center"/>
        <w:rPr>
          <w:rFonts w:hint="default" w:ascii="Arial" w:hAnsi="Arial" w:cs="Arial"/>
          <w:color w:val="auto"/>
        </w:rPr>
      </w:pPr>
      <w:r>
        <w:rPr>
          <w:rFonts w:hint="default" w:ascii="Arial" w:hAnsi="Arial" w:cs="Arial"/>
          <w:color w:val="auto"/>
        </w:rPr>
        <w:drawing>
          <wp:inline distT="0" distB="0" distL="0" distR="0">
            <wp:extent cx="5924550" cy="2112010"/>
            <wp:effectExtent l="0" t="0" r="635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7"/>
                    <a:stretch>
                      <a:fillRect/>
                    </a:stretch>
                  </pic:blipFill>
                  <pic:spPr>
                    <a:xfrm>
                      <a:off x="0" y="0"/>
                      <a:ext cx="5924550" cy="2112010"/>
                    </a:xfrm>
                    <a:prstGeom prst="rect">
                      <a:avLst/>
                    </a:prstGeom>
                  </pic:spPr>
                </pic:pic>
              </a:graphicData>
            </a:graphic>
          </wp:inline>
        </w:drawing>
      </w:r>
    </w:p>
    <w:p w14:paraId="4B5E3577">
      <w:pPr>
        <w:keepLines/>
        <w:spacing w:after="160"/>
        <w:jc w:val="left"/>
        <w:rPr>
          <w:rFonts w:hint="eastAsia" w:ascii="Arial" w:hAnsi="Arial" w:eastAsia="宋体" w:cs="Arial"/>
          <w:b w:val="0"/>
          <w:bCs/>
          <w:color w:val="auto"/>
          <w:sz w:val="18"/>
          <w:lang w:val="en-US" w:eastAsia="zh-CN"/>
        </w:rPr>
      </w:pPr>
      <w:r>
        <w:rPr>
          <w:rFonts w:hint="default" w:ascii="Arial" w:hAnsi="Arial" w:cs="Arial"/>
          <w:color w:val="auto"/>
        </w:rPr>
        <w:t xml:space="preserve">Supplementary Figure S20. Estimator sensitivity of the structural-control solution. (a) The </w:t>
      </w:r>
      <w:r>
        <w:rPr>
          <w:rFonts w:hint="eastAsia" w:eastAsia="宋体" w:cs="Arial"/>
          <w:color w:val="auto"/>
          <w:lang w:eastAsia="zh-CN"/>
        </w:rPr>
        <w:t>MDS</w:t>
      </w:r>
      <w:r>
        <w:rPr>
          <w:rFonts w:hint="default" w:ascii="Arial" w:hAnsi="Arial" w:cs="Arial"/>
          <w:color w:val="auto"/>
        </w:rPr>
        <w:t xml:space="preserve"> size is three in the primary cross-validated graphical Lasso network (density = 0.518) and increases to five or six in the sparser EBICglasso and positive-edge sensitivity networks. (b) Control frequencies of the three primary-network control nodes across estimators. Primary-network values are based on exhaustive enumeration of all 10 minimum dominating sets; sensitivity-network values are estimates from 60 randomised optimal solutions. The variation across estimators indicates that control-node identity is not invariant to network estimation.</w:t>
      </w:r>
      <w:r>
        <w:rPr>
          <w:rFonts w:hint="eastAsia" w:eastAsia="宋体" w:cs="Arial"/>
          <w:color w:val="auto"/>
          <w:lang w:val="en-US" w:eastAsia="zh-CN"/>
        </w:rPr>
        <w:t xml:space="preserve"> In the embedded figure, “driver” is a graph-theoretic label for a structural-control node identified by MDS membership or control frequency; it does not indicate causal or longitudinal influence.</w:t>
      </w:r>
    </w:p>
    <w:sectPr>
      <w:headerReference r:id="rId5" w:type="default"/>
      <w:footerReference r:id="rId6" w:type="default"/>
      <w:pgSz w:w="12240" w:h="15840"/>
      <w:pgMar w:top="1440" w:right="1440" w:bottom="1440" w:left="1440" w:header="720" w:footer="720" w:gutter="0"/>
      <w:pgBorders>
        <w:top w:val="none" w:sz="0" w:space="0"/>
        <w:left w:val="none" w:sz="0" w:space="0"/>
        <w:bottom w:val="none" w:sz="0" w:space="0"/>
        <w:right w:val="none" w:sz="0" w:space="0"/>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59B1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FAC2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37F2F"/>
    <w:rsid w:val="0015074B"/>
    <w:rsid w:val="0029639D"/>
    <w:rsid w:val="00326F90"/>
    <w:rsid w:val="0082660E"/>
    <w:rsid w:val="009D1468"/>
    <w:rsid w:val="00AA1D8D"/>
    <w:rsid w:val="00B47730"/>
    <w:rsid w:val="00CB0664"/>
    <w:rsid w:val="00FC693F"/>
    <w:rsid w:val="1F437B10"/>
    <w:rsid w:val="25AD1C80"/>
    <w:rsid w:val="26CA3BB4"/>
    <w:rsid w:val="35CA1CA6"/>
    <w:rsid w:val="3A6704EE"/>
    <w:rsid w:val="3D704949"/>
    <w:rsid w:val="42126B72"/>
    <w:rsid w:val="4B194ECE"/>
    <w:rsid w:val="4C26003A"/>
    <w:rsid w:val="4DE57649"/>
    <w:rsid w:val="53F74BAD"/>
    <w:rsid w:val="558841EB"/>
    <w:rsid w:val="5D5078E7"/>
    <w:rsid w:val="6D5E78F1"/>
    <w:rsid w:val="740B27F3"/>
    <w:rsid w:val="77C9111D"/>
    <w:rsid w:val="7C0A34C2"/>
  </w:rsids>
  <m:mathPr>
    <m:mathFont m:val="Cambria Math"/>
    <m:brkBin m:val="before"/>
    <m:brkBinSub m:val="--"/>
    <m:smallFrac m:val="0"/>
    <m:dispDef/>
    <m:lMargin m:val="0"/>
    <m:rMargin m:val="0"/>
    <m:defJc m:val="centerGroup"/>
    <m:wrapIndent m:val="1440"/>
    <m:intLim m:val="subSup"/>
    <m:naryLim m:val="undOvr"/>
  </m:mathPr>
  <w:doNotAutoCompressPictures/>
  <w:themeFontLang w:val="en-GB"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312" w:lineRule="auto"/>
    </w:pPr>
    <w:rPr>
      <w:rFonts w:ascii="Arial" w:hAnsi="Arial" w:eastAsiaTheme="minorEastAsia" w:cstheme="minorBidi"/>
      <w:sz w:val="21"/>
      <w:szCs w:val="22"/>
      <w:lang w:val="en-GB" w:eastAsia="en-US" w:bidi="ar-SA"/>
    </w:rPr>
  </w:style>
  <w:style w:type="paragraph" w:styleId="3">
    <w:name w:val="heading 1"/>
    <w:basedOn w:val="1"/>
    <w:next w:val="1"/>
    <w:link w:val="138"/>
    <w:qFormat/>
    <w:uiPriority w:val="9"/>
    <w:pPr>
      <w:keepNext/>
      <w:keepLines/>
      <w:spacing w:before="240" w:line="264" w:lineRule="auto"/>
      <w:outlineLvl w:val="0"/>
    </w:pPr>
    <w:rPr>
      <w:rFonts w:asciiTheme="majorHAnsi" w:hAnsiTheme="majorHAnsi" w:eastAsiaTheme="majorEastAsia" w:cstheme="majorBidi"/>
      <w:b/>
      <w:bCs/>
      <w:color w:val="1F3764"/>
      <w:sz w:val="32"/>
      <w:szCs w:val="28"/>
    </w:rPr>
  </w:style>
  <w:style w:type="paragraph" w:styleId="4">
    <w:name w:val="heading 2"/>
    <w:basedOn w:val="1"/>
    <w:next w:val="1"/>
    <w:link w:val="139"/>
    <w:unhideWhenUsed/>
    <w:qFormat/>
    <w:uiPriority w:val="9"/>
    <w:pPr>
      <w:keepNext/>
      <w:keepLines/>
      <w:spacing w:before="240" w:line="264" w:lineRule="auto"/>
      <w:outlineLvl w:val="1"/>
    </w:pPr>
    <w:rPr>
      <w:rFonts w:asciiTheme="majorHAnsi" w:hAnsiTheme="majorHAnsi" w:eastAsiaTheme="majorEastAsia" w:cstheme="majorBidi"/>
      <w:b/>
      <w:bCs/>
      <w:color w:val="1F3764"/>
      <w:sz w:val="26"/>
      <w:szCs w:val="26"/>
    </w:rPr>
  </w:style>
  <w:style w:type="paragraph" w:styleId="5">
    <w:name w:val="heading 3"/>
    <w:basedOn w:val="1"/>
    <w:next w:val="1"/>
    <w:link w:val="140"/>
    <w:unhideWhenUsed/>
    <w:qFormat/>
    <w:uiPriority w:val="9"/>
    <w:pPr>
      <w:keepNext/>
      <w:keepLines/>
      <w:spacing w:before="240" w:line="264" w:lineRule="auto"/>
      <w:outlineLvl w:val="2"/>
    </w:pPr>
    <w:rPr>
      <w:rFonts w:asciiTheme="majorHAnsi" w:hAnsiTheme="majorHAnsi" w:eastAsiaTheme="majorEastAsia" w:cstheme="majorBidi"/>
      <w:b/>
      <w:bCs/>
      <w:color w:val="1F3764"/>
      <w:sz w:val="22"/>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GB"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line="480" w:lineRule="auto"/>
    </w:pPr>
  </w:style>
  <w:style w:type="paragraph" w:styleId="29">
    <w:name w:val="List Continue 2"/>
    <w:basedOn w:val="1"/>
    <w:unhideWhenUsed/>
    <w:qFormat/>
    <w:uiPriority w:val="99"/>
    <w:pPr>
      <w:ind w:left="720"/>
      <w:contextualSpacing/>
    </w:pPr>
  </w:style>
  <w:style w:type="paragraph" w:styleId="30">
    <w:name w:val="List Continue 3"/>
    <w:basedOn w:val="1"/>
    <w:unhideWhenUsed/>
    <w:qFormat/>
    <w:uiPriority w:val="99"/>
    <w:pPr>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GB"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numbering" Target="numbering.xml"/><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1790</Words>
  <Characters>10744</Characters>
  <Lines>151</Lines>
  <Paragraphs>42</Paragraphs>
  <TotalTime>33</TotalTime>
  <ScaleCrop>false</ScaleCrop>
  <LinksUpToDate>false</LinksUpToDate>
  <CharactersWithSpaces>11905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Information_Emotional distress predicts later problematic digital use in adolescents</dc:title>
  <dc:subject>Supplementary Information for npj Mental Health Research submission</dc:subject>
  <dc:creator>Jing Zhang; Ling Zhang; Xizhe Zhang</dc:creator>
  <cp:lastModifiedBy>Ling^O^</cp:lastModifiedBy>
  <cp:revision>2</cp:revision>
  <dcterms:created xsi:type="dcterms:W3CDTF">2013-12-23T23:15:00Z</dcterms:created>
  <dcterms:modified xsi:type="dcterms:W3CDTF">2026-09-14T06:40:41Z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eyJoZGlkIjoiZjc4YjlhOTM5MTU2Zjg5MGFjODRlMDhhMzNkODUxZDIiLCJ1c2VySWQiOiI4OTQyNDAyOTcifQ==</vt:lpwstr>
  </property>
  <property fmtid="{D5CDD505-2E9C-101B-9397-08002B2CF9AE}" pid="3" name="KSOProductBuildVer">
    <vt:lpwstr>2052-12.1.0.28505</vt:lpwstr>
  </property>
  <property fmtid="{D5CDD505-2E9C-101B-9397-08002B2CF9AE}" pid="4" name="ICV">
    <vt:lpwstr>476A5C2637B94FD0B2F42E0B0BC8028E_12</vt:lpwstr>
  </property>
</Properties>
</file>