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D5AF1" w14:textId="77777777" w:rsidR="00801593" w:rsidRDefault="00801593" w:rsidP="008015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1: Lesions and Diagnoses Confirmed by Small Bowel Endoscopy (N=78)</w:t>
      </w:r>
    </w:p>
    <w:tbl>
      <w:tblPr>
        <w:tblStyle w:val="ae"/>
        <w:tblW w:w="7885" w:type="dxa"/>
        <w:tblLook w:val="04A0" w:firstRow="1" w:lastRow="0" w:firstColumn="1" w:lastColumn="0" w:noHBand="0" w:noVBand="1"/>
      </w:tblPr>
      <w:tblGrid>
        <w:gridCol w:w="1477"/>
        <w:gridCol w:w="1633"/>
        <w:gridCol w:w="960"/>
        <w:gridCol w:w="1476"/>
        <w:gridCol w:w="1800"/>
        <w:gridCol w:w="960"/>
      </w:tblGrid>
      <w:tr w:rsidR="00801593" w14:paraId="4C42D70F" w14:textId="77777777" w:rsidTr="00A75082">
        <w:tc>
          <w:tcPr>
            <w:tcW w:w="1706" w:type="dxa"/>
            <w:vMerge w:val="restar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DD6B010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02D077F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Hemorrhage of the digestive tract</w:t>
            </w:r>
          </w:p>
        </w:tc>
        <w:tc>
          <w:tcPr>
            <w:tcW w:w="139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5A8530A8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Diseases</w:t>
            </w:r>
          </w:p>
        </w:tc>
        <w:tc>
          <w:tcPr>
            <w:tcW w:w="85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42A88C9A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Patients</w:t>
            </w:r>
          </w:p>
        </w:tc>
        <w:tc>
          <w:tcPr>
            <w:tcW w:w="1706" w:type="dxa"/>
            <w:vMerge w:val="restar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726C390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529606E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F650BC4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Small intestine ulcer</w:t>
            </w:r>
          </w:p>
          <w:p w14:paraId="028133B3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(non-hemorrhagic)</w:t>
            </w:r>
          </w:p>
        </w:tc>
        <w:tc>
          <w:tcPr>
            <w:tcW w:w="147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31A9172C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Diseases</w:t>
            </w:r>
          </w:p>
        </w:tc>
        <w:tc>
          <w:tcPr>
            <w:tcW w:w="85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3EEAAEDB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Patients</w:t>
            </w:r>
          </w:p>
        </w:tc>
      </w:tr>
      <w:tr w:rsidR="00801593" w14:paraId="5187ED62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B412993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DE4BF0C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Small intestinal vascular malformation</w:t>
            </w:r>
          </w:p>
        </w:tc>
        <w:tc>
          <w:tcPr>
            <w:tcW w:w="85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B82169C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15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8AA440D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7017759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Non-specific ulcer</w:t>
            </w:r>
          </w:p>
        </w:tc>
        <w:tc>
          <w:tcPr>
            <w:tcW w:w="85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E4C55E3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10</w:t>
            </w:r>
          </w:p>
        </w:tc>
      </w:tr>
      <w:tr w:rsidR="00801593" w14:paraId="5BEDDCD2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6AAB59F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06799E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Small intestine ulcers related to NSAID use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74689C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10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1DDE3B8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5C26A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Behcet disease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03BAB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</w:t>
            </w:r>
          </w:p>
        </w:tc>
      </w:tr>
      <w:tr w:rsidR="00801593" w14:paraId="254BD057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F3D4BFD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9911BB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Meckel’s diverticulum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4A378E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8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E422FE8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34B1B9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Crohn’s disease of the small intestine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2C2E5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2</w:t>
            </w:r>
          </w:p>
        </w:tc>
      </w:tr>
      <w:tr w:rsidR="00801593" w14:paraId="5E18308D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8846AE7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B05FCD4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Jejunal stromal tumor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FC133D8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4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1EED5B6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28984DB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Small intestine ulcers related to NSAID use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0BA81F4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7</w:t>
            </w:r>
          </w:p>
        </w:tc>
      </w:tr>
      <w:tr w:rsidR="00801593" w14:paraId="1681E60C" w14:textId="77777777" w:rsidTr="00A75082">
        <w:tc>
          <w:tcPr>
            <w:tcW w:w="1706" w:type="dxa"/>
            <w:vMerge w:val="restart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10B72ED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8090C"/>
                <w:sz w:val="24"/>
                <w:szCs w:val="24"/>
              </w:rPr>
            </w:pPr>
          </w:p>
          <w:p w14:paraId="0F44E8E9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8090C"/>
                <w:sz w:val="24"/>
                <w:szCs w:val="24"/>
              </w:rPr>
            </w:pPr>
          </w:p>
          <w:p w14:paraId="61A7DAF4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8090C"/>
                <w:sz w:val="24"/>
                <w:szCs w:val="24"/>
              </w:rPr>
              <w:t>Small intestine tumors</w:t>
            </w:r>
          </w:p>
          <w:p w14:paraId="7F87B833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8090C"/>
                <w:sz w:val="24"/>
                <w:szCs w:val="24"/>
              </w:rPr>
              <w:t>(non-hemorrhagic)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4B27C82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Diseases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E5F43FF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Patients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7C04D07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757D2A5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F38DA42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Diseases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319F969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Patients</w:t>
            </w:r>
          </w:p>
        </w:tc>
      </w:tr>
      <w:tr w:rsidR="00801593" w14:paraId="73711143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06316FB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7563A4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Intestinal adenocarcinoma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C56DA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3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B1CE5F3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E85AD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Foreign body in the small intestine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B14FC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5</w:t>
            </w:r>
          </w:p>
        </w:tc>
      </w:tr>
      <w:tr w:rsidR="00801593" w14:paraId="4EF09C9B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3B03225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0AA8E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Adenoma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BDFC1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5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063C49B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A51D0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Loss of small intestine protein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A17ACA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</w:t>
            </w:r>
          </w:p>
        </w:tc>
      </w:tr>
      <w:tr w:rsidR="00801593" w14:paraId="0BFC377B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FB4BEA5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2C610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Lymphadenoma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5330D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0342807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07820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Lymphangiectasia of the small intestine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D2688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3</w:t>
            </w:r>
          </w:p>
        </w:tc>
      </w:tr>
      <w:tr w:rsidR="00801593" w14:paraId="3BC20600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5E917C3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4188E1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Carcinoma Metastatic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2CEEEF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9D746CC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C4099A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B13EC6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</w:p>
        </w:tc>
      </w:tr>
      <w:tr w:rsidR="00801593" w14:paraId="01923CC5" w14:textId="77777777" w:rsidTr="00A75082"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D6D0033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9AD61F7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Interstitial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B943ED7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2</w:t>
            </w:r>
          </w:p>
        </w:tc>
        <w:tc>
          <w:tcPr>
            <w:tcW w:w="17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13B6631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ECC4675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DB7DC7C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</w:p>
        </w:tc>
      </w:tr>
    </w:tbl>
    <w:p w14:paraId="6231FC20" w14:textId="77777777" w:rsidR="00801593" w:rsidRDefault="00801593" w:rsidP="008015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NSAID = non-steroidal anti-inflammatory drug.</w:t>
      </w:r>
    </w:p>
    <w:p w14:paraId="31C8B642" w14:textId="77777777" w:rsidR="00004021" w:rsidRPr="00004021" w:rsidRDefault="00004021" w:rsidP="00004021">
      <w:pPr>
        <w:rPr>
          <w:rFonts w:ascii="Times New Roman" w:hAnsi="Times New Roman" w:cs="Times New Roman"/>
          <w:sz w:val="24"/>
          <w:szCs w:val="24"/>
        </w:rPr>
      </w:pPr>
      <w:r w:rsidRPr="00004021">
        <w:rPr>
          <w:rFonts w:ascii="Times New Roman" w:hAnsi="Times New Roman" w:cs="Times New Roman"/>
          <w:sz w:val="24"/>
          <w:szCs w:val="24"/>
        </w:rPr>
        <w:t>Table 1 Lesions and diagnoses confirmed by small</w:t>
      </w:r>
      <w:r w:rsidRPr="00004021">
        <w:rPr>
          <w:rFonts w:ascii="Times New Roman" w:hAnsi="Times New Roman" w:cs="Times New Roman"/>
          <w:sz w:val="24"/>
          <w:szCs w:val="24"/>
        </w:rPr>
        <w:noBreakHyphen/>
        <w:t>bowel endoscopy (N=78)</w:t>
      </w:r>
    </w:p>
    <w:p w14:paraId="32A2380F" w14:textId="7C04C063" w:rsidR="00801593" w:rsidRDefault="00004021" w:rsidP="00004021">
      <w:pPr>
        <w:rPr>
          <w:rFonts w:ascii="Times New Roman" w:hAnsi="Times New Roman" w:cs="Times New Roman"/>
          <w:sz w:val="24"/>
          <w:szCs w:val="24"/>
        </w:rPr>
      </w:pPr>
      <w:r w:rsidRPr="00004021">
        <w:rPr>
          <w:rFonts w:ascii="Times New Roman" w:hAnsi="Times New Roman" w:cs="Times New Roman"/>
          <w:sz w:val="24"/>
          <w:szCs w:val="24"/>
        </w:rPr>
        <w:t>This table summarizes the disease spectrum of 78 patients with detected lesions. It lists the categories and case numbers of hemorrhagic, ulcerative, neoplastic and other small</w:t>
      </w:r>
      <w:r w:rsidRPr="00004021">
        <w:rPr>
          <w:rFonts w:ascii="Times New Roman" w:hAnsi="Times New Roman" w:cs="Times New Roman"/>
          <w:sz w:val="24"/>
          <w:szCs w:val="24"/>
        </w:rPr>
        <w:noBreakHyphen/>
        <w:t>intestinal disorders, and reflects the disease distribution of enrolled subjects.</w:t>
      </w:r>
    </w:p>
    <w:p w14:paraId="144D73FD" w14:textId="77777777" w:rsidR="00801593" w:rsidRDefault="00801593" w:rsidP="00801593">
      <w:pPr>
        <w:rPr>
          <w:rFonts w:ascii="Times New Roman" w:hAnsi="Times New Roman" w:cs="Times New Roman"/>
          <w:sz w:val="24"/>
          <w:szCs w:val="24"/>
        </w:rPr>
      </w:pPr>
    </w:p>
    <w:p w14:paraId="7A6770E5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630609" w14:textId="77777777" w:rsidR="00801593" w:rsidRDefault="00801593" w:rsidP="00801593">
      <w:pP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0AF5A915" w14:textId="77777777" w:rsidR="00801593" w:rsidRDefault="00801593" w:rsidP="00801593">
      <w:pP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579B9B68" w14:textId="77777777" w:rsidR="00801593" w:rsidRDefault="00801593" w:rsidP="00801593">
      <w:pP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7BC2949D" w14:textId="77777777" w:rsidR="00801593" w:rsidRDefault="00801593" w:rsidP="00801593">
      <w:pP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2038EE76" w14:textId="77777777" w:rsidR="00801593" w:rsidRDefault="00801593" w:rsidP="00801593">
      <w:pP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610F577F" w14:textId="77777777" w:rsidR="00801593" w:rsidRPr="00801593" w:rsidRDefault="00801593" w:rsidP="00801593">
      <w:pP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275EF821" w14:textId="77777777" w:rsidR="00801593" w:rsidRDefault="00801593" w:rsidP="008015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2: Relationship between Docking and Lesion Detection Rates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46"/>
        <w:gridCol w:w="1332"/>
        <w:gridCol w:w="1400"/>
        <w:gridCol w:w="1696"/>
        <w:gridCol w:w="1266"/>
        <w:gridCol w:w="1266"/>
      </w:tblGrid>
      <w:tr w:rsidR="00801593" w14:paraId="2C176462" w14:textId="77777777" w:rsidTr="00004021">
        <w:tc>
          <w:tcPr>
            <w:tcW w:w="134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0161C75C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33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1F29BED5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Patients</w:t>
            </w:r>
          </w:p>
        </w:tc>
        <w:tc>
          <w:tcPr>
            <w:tcW w:w="140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1F8AC3E1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Confirmed diagnosis n (%)</w:t>
            </w:r>
          </w:p>
        </w:tc>
        <w:tc>
          <w:tcPr>
            <w:tcW w:w="169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29894D31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Undetermined diagnosis n (%)</w:t>
            </w:r>
          </w:p>
        </w:tc>
        <w:tc>
          <w:tcPr>
            <w:tcW w:w="126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136326B6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χ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26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5DD0BE0A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801593" w14:paraId="7DE437AF" w14:textId="77777777" w:rsidTr="00004021">
        <w:tc>
          <w:tcPr>
            <w:tcW w:w="134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72BE33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Docking</w:t>
            </w:r>
          </w:p>
        </w:tc>
        <w:tc>
          <w:tcPr>
            <w:tcW w:w="133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F75FA8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48</w:t>
            </w:r>
          </w:p>
        </w:tc>
        <w:tc>
          <w:tcPr>
            <w:tcW w:w="140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D5B31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38 (79.2)</w:t>
            </w:r>
          </w:p>
        </w:tc>
        <w:tc>
          <w:tcPr>
            <w:tcW w:w="169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03240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10 (21.3)</w:t>
            </w:r>
          </w:p>
        </w:tc>
        <w:tc>
          <w:tcPr>
            <w:tcW w:w="1266" w:type="dxa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FD4BE14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9.336</w:t>
            </w:r>
          </w:p>
        </w:tc>
        <w:tc>
          <w:tcPr>
            <w:tcW w:w="1266" w:type="dxa"/>
            <w:vMerge w:val="restart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F8CF6C9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0.002</w:t>
            </w:r>
          </w:p>
        </w:tc>
      </w:tr>
      <w:tr w:rsidR="00801593" w14:paraId="65CCB741" w14:textId="77777777" w:rsidTr="00004021">
        <w:tc>
          <w:tcPr>
            <w:tcW w:w="13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7393D65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No docking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9F5193E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AD6394A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40 (51.9)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7609696" w14:textId="77777777" w:rsidR="00801593" w:rsidRDefault="00801593" w:rsidP="00A75082">
            <w:pPr>
              <w:jc w:val="center"/>
              <w:rPr>
                <w:rFonts w:ascii="Times New Roman" w:hAnsi="Times New Roman" w:cs="Times New Roman"/>
                <w:color w:val="08090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90C"/>
                <w:sz w:val="24"/>
                <w:szCs w:val="24"/>
              </w:rPr>
              <w:t>37 (48.1)</w:t>
            </w:r>
          </w:p>
        </w:tc>
        <w:tc>
          <w:tcPr>
            <w:tcW w:w="126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F7DD600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987B236" w14:textId="77777777" w:rsidR="00801593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D93D2E" w14:textId="77777777" w:rsidR="00004021" w:rsidRPr="00004021" w:rsidRDefault="00004021" w:rsidP="00004021">
      <w:pPr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004021">
        <w:rPr>
          <w:rFonts w:ascii="Times New Roman" w:eastAsiaTheme="minorEastAsia" w:hAnsi="Times New Roman" w:cs="Times New Roman"/>
          <w:sz w:val="24"/>
          <w:szCs w:val="24"/>
          <w:lang w:eastAsia="zh-CN"/>
        </w:rPr>
        <w:t>Table 2 Relationship between DBE docking status and lesion</w:t>
      </w:r>
      <w:r w:rsidRPr="00004021">
        <w:rPr>
          <w:rFonts w:ascii="Times New Roman" w:eastAsiaTheme="minorEastAsia" w:hAnsi="Times New Roman" w:cs="Times New Roman"/>
          <w:sz w:val="24"/>
          <w:szCs w:val="24"/>
          <w:lang w:eastAsia="zh-CN"/>
        </w:rPr>
        <w:noBreakHyphen/>
        <w:t>detection rates</w:t>
      </w:r>
    </w:p>
    <w:p w14:paraId="799F1958" w14:textId="6B0CDDE2" w:rsidR="00801593" w:rsidRPr="00004021" w:rsidRDefault="00004021" w:rsidP="00004021">
      <w:pP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</w:pPr>
      <w:r w:rsidRPr="00004021">
        <w:rPr>
          <w:rFonts w:ascii="Times New Roman" w:eastAsiaTheme="minorEastAsia" w:hAnsi="Times New Roman" w:cs="Times New Roman"/>
          <w:sz w:val="24"/>
          <w:szCs w:val="24"/>
          <w:lang w:eastAsia="zh-CN"/>
        </w:rPr>
        <w:t>The table compares the proportions of confirmed and undetermined diagnoses between the docking and non</w:t>
      </w:r>
      <w:r w:rsidRPr="00004021">
        <w:rPr>
          <w:rFonts w:ascii="Times New Roman" w:eastAsiaTheme="minorEastAsia" w:hAnsi="Times New Roman" w:cs="Times New Roman"/>
          <w:sz w:val="24"/>
          <w:szCs w:val="24"/>
          <w:lang w:eastAsia="zh-CN"/>
        </w:rPr>
        <w:noBreakHyphen/>
        <w:t>docking groups. Statistical results reveal a significant inter</w:t>
      </w:r>
      <w:r w:rsidRPr="00004021">
        <w:rPr>
          <w:rFonts w:ascii="Times New Roman" w:eastAsiaTheme="minorEastAsia" w:hAnsi="Times New Roman" w:cs="Times New Roman"/>
          <w:sz w:val="24"/>
          <w:szCs w:val="24"/>
          <w:lang w:eastAsia="zh-CN"/>
        </w:rPr>
        <w:noBreakHyphen/>
        <w:t>group difference in lesion</w:t>
      </w:r>
      <w:r w:rsidRPr="00004021">
        <w:rPr>
          <w:rFonts w:ascii="Times New Roman" w:eastAsiaTheme="minorEastAsia" w:hAnsi="Times New Roman" w:cs="Times New Roman"/>
          <w:sz w:val="24"/>
          <w:szCs w:val="24"/>
          <w:lang w:eastAsia="zh-CN"/>
        </w:rPr>
        <w:noBreakHyphen/>
        <w:t>detection rates, verifying that successful docking improves diagnostic yield for small</w:t>
      </w:r>
      <w:r w:rsidRPr="00004021">
        <w:rPr>
          <w:rFonts w:ascii="Times New Roman" w:eastAsiaTheme="minorEastAsia" w:hAnsi="Times New Roman" w:cs="Times New Roman"/>
          <w:sz w:val="24"/>
          <w:szCs w:val="24"/>
          <w:lang w:eastAsia="zh-CN"/>
        </w:rPr>
        <w:noBreakHyphen/>
        <w:t>intestinal lesions.</w:t>
      </w:r>
    </w:p>
    <w:p w14:paraId="679C31EA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33BC0A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C1CA43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794548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3A5EF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E1A64D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B5C811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C903D3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A492B8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D40E2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CF061A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29F1C8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2D536E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E691A1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6DB244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5CC04E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4A55DD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CCDDEC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6A6A04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22000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28647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26294F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0B9B89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5A9675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4AEF7A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D20784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7737E1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A7A648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A2CF13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EF1192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82100B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AE2F17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516EEE" w14:textId="77777777" w:rsidR="00801593" w:rsidRDefault="00801593" w:rsidP="008015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83D778" w14:textId="77777777" w:rsidR="00801593" w:rsidRDefault="00801593" w:rsidP="008015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3: Analysis of Double-Balloon Enteroscopy Examination Results and Pathological Detection Rates</w:t>
      </w:r>
    </w:p>
    <w:tbl>
      <w:tblPr>
        <w:tblpPr w:leftFromText="180" w:rightFromText="180" w:vertAnchor="page" w:horzAnchor="margin" w:tblpY="231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1032"/>
        <w:gridCol w:w="960"/>
        <w:gridCol w:w="1150"/>
        <w:gridCol w:w="1297"/>
        <w:gridCol w:w="1664"/>
        <w:gridCol w:w="586"/>
      </w:tblGrid>
      <w:tr w:rsidR="00801593" w:rsidRPr="008F10E6" w14:paraId="09A4EF36" w14:textId="77777777" w:rsidTr="008F10E6">
        <w:trPr>
          <w:trHeight w:val="991"/>
        </w:trPr>
        <w:tc>
          <w:tcPr>
            <w:tcW w:w="1617" w:type="dxa"/>
            <w:shd w:val="clear" w:color="auto" w:fill="FFFFFF"/>
            <w:vAlign w:val="center"/>
          </w:tcPr>
          <w:p w14:paraId="5DEE048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FFFFFF"/>
            <w:vAlign w:val="center"/>
          </w:tcPr>
          <w:p w14:paraId="0F30016A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FFFFFF"/>
            <w:vAlign w:val="center"/>
          </w:tcPr>
          <w:p w14:paraId="3FB30198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Patients (n)</w:t>
            </w:r>
          </w:p>
        </w:tc>
        <w:tc>
          <w:tcPr>
            <w:tcW w:w="1150" w:type="dxa"/>
            <w:shd w:val="clear" w:color="auto" w:fill="FFFFFF"/>
            <w:vAlign w:val="center"/>
          </w:tcPr>
          <w:p w14:paraId="5151060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Lesions detected (n)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2C60096A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Pathological detection rate (%)</w:t>
            </w:r>
          </w:p>
        </w:tc>
        <w:tc>
          <w:tcPr>
            <w:tcW w:w="1664" w:type="dxa"/>
            <w:shd w:val="clear" w:color="auto" w:fill="FFFFFF"/>
            <w:vAlign w:val="center"/>
          </w:tcPr>
          <w:p w14:paraId="7B55F20F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Significance</w: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2B341F6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P</w:t>
            </w:r>
          </w:p>
        </w:tc>
      </w:tr>
      <w:tr w:rsidR="00801593" w:rsidRPr="008F10E6" w14:paraId="75D831AE" w14:textId="77777777" w:rsidTr="008F10E6">
        <w:tc>
          <w:tcPr>
            <w:tcW w:w="1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79A0B8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 xml:space="preserve">Overall 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176BD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91DFE5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125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47092B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78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377A35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62.4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5816F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753DF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</w:t>
            </w:r>
          </w:p>
        </w:tc>
      </w:tr>
      <w:tr w:rsidR="00801593" w:rsidRPr="008F10E6" w14:paraId="46E1FD02" w14:textId="77777777" w:rsidTr="008F10E6">
        <w:tc>
          <w:tcPr>
            <w:tcW w:w="1617" w:type="dxa"/>
            <w:tcBorders>
              <w:bottom w:val="nil"/>
            </w:tcBorders>
            <w:shd w:val="clear" w:color="auto" w:fill="FFFFFF"/>
            <w:vAlign w:val="center"/>
          </w:tcPr>
          <w:p w14:paraId="01F6DC72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bottom w:val="nil"/>
            </w:tcBorders>
            <w:shd w:val="clear" w:color="auto" w:fill="FFFFFF"/>
            <w:vAlign w:val="center"/>
          </w:tcPr>
          <w:p w14:paraId="7673BB2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Docking 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FFFFFF"/>
            <w:vAlign w:val="center"/>
          </w:tcPr>
          <w:p w14:paraId="50E0D5A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48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FFFF"/>
            <w:vAlign w:val="center"/>
          </w:tcPr>
          <w:p w14:paraId="5C70BDC8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38</w:t>
            </w:r>
          </w:p>
        </w:tc>
        <w:tc>
          <w:tcPr>
            <w:tcW w:w="1297" w:type="dxa"/>
            <w:tcBorders>
              <w:bottom w:val="nil"/>
            </w:tcBorders>
            <w:shd w:val="clear" w:color="auto" w:fill="FFFFFF"/>
            <w:vAlign w:val="center"/>
          </w:tcPr>
          <w:p w14:paraId="6C2D8D4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79.2</w:t>
            </w:r>
          </w:p>
        </w:tc>
        <w:tc>
          <w:tcPr>
            <w:tcW w:w="1664" w:type="dxa"/>
            <w:tcBorders>
              <w:bottom w:val="nil"/>
            </w:tcBorders>
            <w:shd w:val="clear" w:color="auto" w:fill="FFFFFF"/>
            <w:vAlign w:val="center"/>
          </w:tcPr>
          <w:p w14:paraId="2A90CA29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86" w:type="dxa"/>
            <w:tcBorders>
              <w:bottom w:val="nil"/>
            </w:tcBorders>
            <w:shd w:val="clear" w:color="auto" w:fill="FFFFFF"/>
            <w:vAlign w:val="center"/>
          </w:tcPr>
          <w:p w14:paraId="0FA84EC1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801593" w:rsidRPr="008F10E6" w14:paraId="3FC97E60" w14:textId="77777777" w:rsidTr="008F10E6">
        <w:tc>
          <w:tcPr>
            <w:tcW w:w="1617" w:type="dxa"/>
            <w:tcBorders>
              <w:top w:val="nil"/>
            </w:tcBorders>
            <w:shd w:val="clear" w:color="auto" w:fill="FFFFFF"/>
            <w:vAlign w:val="center"/>
          </w:tcPr>
          <w:p w14:paraId="66B406B9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</w:tcBorders>
            <w:shd w:val="clear" w:color="auto" w:fill="FFFFFF"/>
            <w:vAlign w:val="center"/>
          </w:tcPr>
          <w:p w14:paraId="2372CE9C" w14:textId="78CB2DE5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No</w:t>
            </w:r>
            <w:r w:rsidR="008F10E6" w:rsidRPr="008F10E6">
              <w:rPr>
                <w:rFonts w:ascii="Times New Roman" w:eastAsiaTheme="minorEastAsia" w:hAnsi="Times New Roman" w:cs="Times New Roman"/>
                <w:color w:val="0F1115"/>
                <w:sz w:val="24"/>
                <w:szCs w:val="24"/>
                <w:lang w:eastAsia="zh-CN"/>
              </w:rPr>
              <w:t>n-</w:t>
            </w: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docking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FFFFFF"/>
            <w:vAlign w:val="center"/>
          </w:tcPr>
          <w:p w14:paraId="066D03A1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77</w:t>
            </w:r>
          </w:p>
        </w:tc>
        <w:tc>
          <w:tcPr>
            <w:tcW w:w="1150" w:type="dxa"/>
            <w:tcBorders>
              <w:top w:val="nil"/>
            </w:tcBorders>
            <w:shd w:val="clear" w:color="auto" w:fill="FFFFFF"/>
            <w:vAlign w:val="center"/>
          </w:tcPr>
          <w:p w14:paraId="1F30D982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40</w:t>
            </w:r>
          </w:p>
        </w:tc>
        <w:tc>
          <w:tcPr>
            <w:tcW w:w="1297" w:type="dxa"/>
            <w:tcBorders>
              <w:top w:val="nil"/>
            </w:tcBorders>
            <w:shd w:val="clear" w:color="auto" w:fill="FFFFFF"/>
            <w:vAlign w:val="center"/>
          </w:tcPr>
          <w:p w14:paraId="30151589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51.9</w:t>
            </w:r>
          </w:p>
        </w:tc>
        <w:tc>
          <w:tcPr>
            <w:tcW w:w="1664" w:type="dxa"/>
            <w:tcBorders>
              <w:top w:val="nil"/>
            </w:tcBorders>
            <w:shd w:val="clear" w:color="auto" w:fill="FFFFFF"/>
            <w:vAlign w:val="center"/>
          </w:tcPr>
          <w:p w14:paraId="33E80349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66D2CB2E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801593" w:rsidRPr="008F10E6" w14:paraId="22539C83" w14:textId="77777777" w:rsidTr="008F10E6">
        <w:tc>
          <w:tcPr>
            <w:tcW w:w="1617" w:type="dxa"/>
            <w:shd w:val="clear" w:color="auto" w:fill="FFFFFF"/>
            <w:vAlign w:val="center"/>
          </w:tcPr>
          <w:p w14:paraId="3001FA79" w14:textId="77777777" w:rsidR="00801593" w:rsidRPr="008F10E6" w:rsidRDefault="00801593" w:rsidP="00A75082">
            <w:pPr>
              <w:widowControl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Comparison of overall lesion detection rates</w:t>
            </w:r>
          </w:p>
        </w:tc>
        <w:tc>
          <w:tcPr>
            <w:tcW w:w="4439" w:type="dxa"/>
            <w:gridSpan w:val="4"/>
            <w:shd w:val="clear" w:color="auto" w:fill="FFFFFF"/>
            <w:vAlign w:val="center"/>
          </w:tcPr>
          <w:p w14:paraId="56F2C661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  <w:t>Docking group</w:t>
            </w: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 xml:space="preserve"> vs.Non-docking group</w:t>
            </w:r>
          </w:p>
        </w:tc>
        <w:tc>
          <w:tcPr>
            <w:tcW w:w="1664" w:type="dxa"/>
            <w:shd w:val="clear" w:color="auto" w:fill="FFFFFF"/>
            <w:vAlign w:val="center"/>
          </w:tcPr>
          <w:p w14:paraId="3AB14996" w14:textId="77777777" w:rsidR="00801593" w:rsidRPr="008F10E6" w:rsidRDefault="00801593" w:rsidP="00A75082">
            <w:pPr>
              <w:widowControl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χ</w:t>
            </w: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vertAlign w:val="superscript"/>
              </w:rPr>
              <w:t>2</w:t>
            </w: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=7.885</w: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3E60CADF" w14:textId="77777777" w:rsidR="00801593" w:rsidRPr="008F10E6" w:rsidRDefault="00801593" w:rsidP="00A75082">
            <w:pPr>
              <w:widowControl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0.005</w:t>
            </w:r>
          </w:p>
        </w:tc>
      </w:tr>
      <w:tr w:rsidR="00801593" w:rsidRPr="008F10E6" w14:paraId="58626B20" w14:textId="77777777" w:rsidTr="008F10E6">
        <w:tc>
          <w:tcPr>
            <w:tcW w:w="8306" w:type="dxa"/>
            <w:gridSpan w:val="7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A81CB6" w14:textId="77777777" w:rsidR="00801593" w:rsidRPr="008F10E6" w:rsidRDefault="00801593" w:rsidP="00A75082">
            <w:pPr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Lesion detection rates across different diseases</w:t>
            </w:r>
          </w:p>
        </w:tc>
      </w:tr>
      <w:tr w:rsidR="00801593" w:rsidRPr="008F10E6" w14:paraId="6FC631B1" w14:textId="77777777" w:rsidTr="008F10E6">
        <w:tc>
          <w:tcPr>
            <w:tcW w:w="1617" w:type="dxa"/>
            <w:tcBorders>
              <w:bottom w:val="nil"/>
            </w:tcBorders>
            <w:shd w:val="clear" w:color="auto" w:fill="FFFFFF"/>
            <w:vAlign w:val="center"/>
          </w:tcPr>
          <w:p w14:paraId="52B491F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 xml:space="preserve">Unexplained gastrointestinal bleeding 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FFFFFF"/>
            <w:vAlign w:val="center"/>
          </w:tcPr>
          <w:p w14:paraId="7450039F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Docking group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FFFFFF"/>
            <w:vAlign w:val="center"/>
          </w:tcPr>
          <w:p w14:paraId="3CA7DDA1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23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FFFF"/>
            <w:vAlign w:val="center"/>
          </w:tcPr>
          <w:p w14:paraId="0EEE2E8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22</w:t>
            </w:r>
          </w:p>
        </w:tc>
        <w:tc>
          <w:tcPr>
            <w:tcW w:w="1297" w:type="dxa"/>
            <w:tcBorders>
              <w:bottom w:val="nil"/>
            </w:tcBorders>
            <w:shd w:val="clear" w:color="auto" w:fill="FFFFFF"/>
            <w:vAlign w:val="center"/>
          </w:tcPr>
          <w:p w14:paraId="627AA32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95.6</w:t>
            </w:r>
          </w:p>
        </w:tc>
        <w:tc>
          <w:tcPr>
            <w:tcW w:w="1664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15D1703A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χ</w:t>
            </w: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vertAlign w:val="superscript"/>
              </w:rPr>
              <w:t>2</w:t>
            </w: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=5.165</w:t>
            </w:r>
          </w:p>
        </w:tc>
        <w:tc>
          <w:tcPr>
            <w:tcW w:w="586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1ECB13E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0.023</w:t>
            </w:r>
          </w:p>
        </w:tc>
      </w:tr>
      <w:tr w:rsidR="00801593" w:rsidRPr="008F10E6" w14:paraId="6992CF6C" w14:textId="77777777" w:rsidTr="008F10E6"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16D51C8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9E73082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Non-docking group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53CD6AD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20</w:t>
            </w:r>
          </w:p>
        </w:tc>
        <w:tc>
          <w:tcPr>
            <w:tcW w:w="11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A04709A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14</w:t>
            </w:r>
          </w:p>
        </w:tc>
        <w:tc>
          <w:tcPr>
            <w:tcW w:w="129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760C846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70.0</w:t>
            </w:r>
          </w:p>
        </w:tc>
        <w:tc>
          <w:tcPr>
            <w:tcW w:w="1664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76EFD083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91F1C6F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93" w:rsidRPr="008F10E6" w14:paraId="62CF8DAF" w14:textId="77777777" w:rsidTr="008F10E6">
        <w:tc>
          <w:tcPr>
            <w:tcW w:w="1617" w:type="dxa"/>
            <w:tcBorders>
              <w:bottom w:val="nil"/>
            </w:tcBorders>
            <w:shd w:val="clear" w:color="auto" w:fill="FFFFFF"/>
            <w:vAlign w:val="center"/>
          </w:tcPr>
          <w:p w14:paraId="402C612A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Small intestine ulcers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FFFFFF"/>
            <w:vAlign w:val="center"/>
          </w:tcPr>
          <w:p w14:paraId="0198569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Docking group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FFFFFF"/>
            <w:vAlign w:val="center"/>
          </w:tcPr>
          <w:p w14:paraId="4C3D7EAB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17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FFFF"/>
            <w:vAlign w:val="center"/>
          </w:tcPr>
          <w:p w14:paraId="6E315457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13</w:t>
            </w:r>
          </w:p>
        </w:tc>
        <w:tc>
          <w:tcPr>
            <w:tcW w:w="1297" w:type="dxa"/>
            <w:tcBorders>
              <w:bottom w:val="nil"/>
            </w:tcBorders>
            <w:shd w:val="clear" w:color="auto" w:fill="FFFFFF"/>
            <w:vAlign w:val="center"/>
          </w:tcPr>
          <w:p w14:paraId="757D7A5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76.5</w:t>
            </w:r>
          </w:p>
        </w:tc>
        <w:tc>
          <w:tcPr>
            <w:tcW w:w="1664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69CAB192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χ</w:t>
            </w: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vertAlign w:val="superscript"/>
              </w:rPr>
              <w:t>2</w:t>
            </w: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=1.081</w:t>
            </w:r>
          </w:p>
        </w:tc>
        <w:tc>
          <w:tcPr>
            <w:tcW w:w="586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200B0BC7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0.298</w:t>
            </w:r>
          </w:p>
        </w:tc>
      </w:tr>
      <w:tr w:rsidR="00801593" w:rsidRPr="008F10E6" w14:paraId="013F4E44" w14:textId="77777777" w:rsidTr="008F10E6"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F7B5BD9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A7F758A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Non-docking group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6CD0394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20F1371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7</w:t>
            </w:r>
          </w:p>
        </w:tc>
        <w:tc>
          <w:tcPr>
            <w:tcW w:w="129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769A54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58.3</w:t>
            </w:r>
          </w:p>
        </w:tc>
        <w:tc>
          <w:tcPr>
            <w:tcW w:w="1664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AF561DE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2B83E6A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93" w:rsidRPr="008F10E6" w14:paraId="1DFC4F97" w14:textId="77777777" w:rsidTr="008F10E6">
        <w:tc>
          <w:tcPr>
            <w:tcW w:w="1617" w:type="dxa"/>
            <w:tcBorders>
              <w:bottom w:val="nil"/>
            </w:tcBorders>
            <w:shd w:val="clear" w:color="auto" w:fill="FFFFFF"/>
            <w:vAlign w:val="center"/>
          </w:tcPr>
          <w:p w14:paraId="74AA2D7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Small intestine tumors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FFFFFF"/>
            <w:vAlign w:val="center"/>
          </w:tcPr>
          <w:p w14:paraId="3F9E1E5F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Docking group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FFFFFF"/>
            <w:vAlign w:val="center"/>
          </w:tcPr>
          <w:p w14:paraId="2FFFEB1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FFFF"/>
            <w:vAlign w:val="center"/>
          </w:tcPr>
          <w:p w14:paraId="07EBB81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1297" w:type="dxa"/>
            <w:tcBorders>
              <w:bottom w:val="nil"/>
            </w:tcBorders>
            <w:shd w:val="clear" w:color="auto" w:fill="FFFFFF"/>
            <w:vAlign w:val="center"/>
          </w:tcPr>
          <w:p w14:paraId="7902FEAF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100.0</w:t>
            </w:r>
          </w:p>
        </w:tc>
        <w:tc>
          <w:tcPr>
            <w:tcW w:w="1664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02F16ABA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Differences were not statistically significant</w:t>
            </w:r>
          </w:p>
        </w:tc>
        <w:tc>
          <w:tcPr>
            <w:tcW w:w="586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02980B76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0.218</w:t>
            </w:r>
          </w:p>
        </w:tc>
      </w:tr>
      <w:tr w:rsidR="00801593" w:rsidRPr="008F10E6" w14:paraId="4C8EF962" w14:textId="77777777" w:rsidTr="008F10E6"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3861449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9C5352B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Non-docking group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D95AE2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14</w:t>
            </w:r>
          </w:p>
        </w:tc>
        <w:tc>
          <w:tcPr>
            <w:tcW w:w="11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247E26C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9</w:t>
            </w:r>
          </w:p>
        </w:tc>
        <w:tc>
          <w:tcPr>
            <w:tcW w:w="129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AC5F630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64.3</w:t>
            </w:r>
          </w:p>
        </w:tc>
        <w:tc>
          <w:tcPr>
            <w:tcW w:w="1664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7828F0A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76B6595B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93" w:rsidRPr="008F10E6" w14:paraId="2F5C8F0B" w14:textId="77777777" w:rsidTr="008F10E6">
        <w:tc>
          <w:tcPr>
            <w:tcW w:w="1617" w:type="dxa"/>
            <w:tcBorders>
              <w:bottom w:val="nil"/>
            </w:tcBorders>
            <w:shd w:val="clear" w:color="auto" w:fill="FFFFFF"/>
            <w:vAlign w:val="center"/>
          </w:tcPr>
          <w:p w14:paraId="24021239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Other diseases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FFFFFF"/>
            <w:vAlign w:val="center"/>
          </w:tcPr>
          <w:p w14:paraId="7E81E494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Docking group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FFFFFF"/>
            <w:vAlign w:val="center"/>
          </w:tcPr>
          <w:p w14:paraId="582AF3BB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5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FFFF"/>
            <w:vAlign w:val="center"/>
          </w:tcPr>
          <w:p w14:paraId="02D5316B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bottom w:val="nil"/>
            </w:tcBorders>
            <w:shd w:val="clear" w:color="auto" w:fill="FFFFFF"/>
            <w:vAlign w:val="center"/>
          </w:tcPr>
          <w:p w14:paraId="47D5793D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0.0</w:t>
            </w:r>
          </w:p>
        </w:tc>
        <w:tc>
          <w:tcPr>
            <w:tcW w:w="1664" w:type="dxa"/>
            <w:tcBorders>
              <w:bottom w:val="nil"/>
            </w:tcBorders>
            <w:shd w:val="clear" w:color="auto" w:fill="FFFFFF"/>
            <w:vAlign w:val="center"/>
          </w:tcPr>
          <w:p w14:paraId="6398E8CF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</w:t>
            </w:r>
          </w:p>
        </w:tc>
        <w:tc>
          <w:tcPr>
            <w:tcW w:w="586" w:type="dxa"/>
            <w:tcBorders>
              <w:bottom w:val="nil"/>
            </w:tcBorders>
            <w:shd w:val="clear" w:color="auto" w:fill="FFFFFF"/>
            <w:vAlign w:val="center"/>
          </w:tcPr>
          <w:p w14:paraId="7C28414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</w:t>
            </w:r>
          </w:p>
        </w:tc>
      </w:tr>
      <w:tr w:rsidR="00801593" w:rsidRPr="008F10E6" w14:paraId="5A5CA2B1" w14:textId="77777777" w:rsidTr="008F10E6">
        <w:tc>
          <w:tcPr>
            <w:tcW w:w="1617" w:type="dxa"/>
            <w:tcBorders>
              <w:top w:val="nil"/>
            </w:tcBorders>
            <w:shd w:val="clear" w:color="auto" w:fill="FFFFFF"/>
            <w:vAlign w:val="center"/>
          </w:tcPr>
          <w:p w14:paraId="0CE85B76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</w:tcBorders>
            <w:shd w:val="clear" w:color="auto" w:fill="FFFFFF"/>
            <w:vAlign w:val="center"/>
          </w:tcPr>
          <w:p w14:paraId="490975C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Non-docking group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FFFFFF"/>
            <w:vAlign w:val="center"/>
          </w:tcPr>
          <w:p w14:paraId="0AF7A704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31</w:t>
            </w:r>
          </w:p>
        </w:tc>
        <w:tc>
          <w:tcPr>
            <w:tcW w:w="1150" w:type="dxa"/>
            <w:tcBorders>
              <w:top w:val="nil"/>
            </w:tcBorders>
            <w:shd w:val="clear" w:color="auto" w:fill="FFFFFF"/>
            <w:vAlign w:val="center"/>
          </w:tcPr>
          <w:p w14:paraId="59CEEA84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9</w:t>
            </w:r>
          </w:p>
        </w:tc>
        <w:tc>
          <w:tcPr>
            <w:tcW w:w="1297" w:type="dxa"/>
            <w:tcBorders>
              <w:top w:val="nil"/>
            </w:tcBorders>
            <w:shd w:val="clear" w:color="auto" w:fill="FFFFFF"/>
            <w:vAlign w:val="center"/>
          </w:tcPr>
          <w:p w14:paraId="7207AE48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29.0</w:t>
            </w:r>
          </w:p>
        </w:tc>
        <w:tc>
          <w:tcPr>
            <w:tcW w:w="1664" w:type="dxa"/>
            <w:tcBorders>
              <w:top w:val="nil"/>
            </w:tcBorders>
            <w:shd w:val="clear" w:color="auto" w:fill="FFFFFF"/>
            <w:vAlign w:val="center"/>
          </w:tcPr>
          <w:p w14:paraId="2BB5E250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7BB7EF1A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801593" w:rsidRPr="008F10E6" w14:paraId="7DAF0BA5" w14:textId="77777777" w:rsidTr="008F10E6">
        <w:tc>
          <w:tcPr>
            <w:tcW w:w="1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EDA5005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Subgroup analysis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3CA2F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Groups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458F37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Patients (n)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C93F98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Hospital length of stay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D7E9D5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Adverse events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328904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Hospitalization expenses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BF2303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 xml:space="preserve">P </w:t>
            </w:r>
          </w:p>
        </w:tc>
      </w:tr>
      <w:tr w:rsidR="00801593" w:rsidRPr="008F10E6" w14:paraId="1CA3224F" w14:textId="77777777" w:rsidTr="008F10E6">
        <w:tc>
          <w:tcPr>
            <w:tcW w:w="1617" w:type="dxa"/>
            <w:tcBorders>
              <w:bottom w:val="nil"/>
            </w:tcBorders>
            <w:shd w:val="clear" w:color="auto" w:fill="FFFFFF"/>
            <w:vAlign w:val="center"/>
          </w:tcPr>
          <w:p w14:paraId="3F5EA5D0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bottom w:val="nil"/>
            </w:tcBorders>
            <w:shd w:val="clear" w:color="auto" w:fill="FFFFFF"/>
            <w:vAlign w:val="center"/>
          </w:tcPr>
          <w:p w14:paraId="2D0BF38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Docking group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FFFFFF"/>
            <w:vAlign w:val="center"/>
          </w:tcPr>
          <w:p w14:paraId="3E8B6401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48</w:t>
            </w:r>
          </w:p>
        </w:tc>
        <w:tc>
          <w:tcPr>
            <w:tcW w:w="1150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048856E7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Differences were not </w:t>
            </w: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>statistically significant</w:t>
            </w:r>
          </w:p>
        </w:tc>
        <w:tc>
          <w:tcPr>
            <w:tcW w:w="1297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7D7A9BE7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Differences were not </w:t>
            </w: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>statistically significant</w:t>
            </w:r>
          </w:p>
        </w:tc>
        <w:tc>
          <w:tcPr>
            <w:tcW w:w="1664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63BBF1C4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Differences were not </w:t>
            </w: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>statistically significant</w:t>
            </w:r>
          </w:p>
        </w:tc>
        <w:tc>
          <w:tcPr>
            <w:tcW w:w="586" w:type="dxa"/>
            <w:vMerge w:val="restart"/>
            <w:tcBorders>
              <w:bottom w:val="nil"/>
            </w:tcBorders>
            <w:shd w:val="clear" w:color="auto" w:fill="FFFFFF"/>
            <w:vAlign w:val="center"/>
          </w:tcPr>
          <w:p w14:paraId="3C36C7FE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>&gt;0.05</w:t>
            </w:r>
          </w:p>
        </w:tc>
      </w:tr>
      <w:tr w:rsidR="00801593" w:rsidRPr="008F10E6" w14:paraId="3C7F5468" w14:textId="77777777" w:rsidTr="008F10E6">
        <w:tc>
          <w:tcPr>
            <w:tcW w:w="1617" w:type="dxa"/>
            <w:tcBorders>
              <w:top w:val="nil"/>
            </w:tcBorders>
            <w:shd w:val="clear" w:color="auto" w:fill="FFFFFF"/>
            <w:vAlign w:val="center"/>
          </w:tcPr>
          <w:p w14:paraId="3967EBAB" w14:textId="77777777" w:rsidR="00801593" w:rsidRPr="008F10E6" w:rsidRDefault="00801593" w:rsidP="00A75082">
            <w:pPr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</w:tcBorders>
            <w:shd w:val="clear" w:color="auto" w:fill="FFFFFF"/>
            <w:vAlign w:val="center"/>
          </w:tcPr>
          <w:p w14:paraId="62C8D716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Non-docking group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FFFFFF"/>
            <w:vAlign w:val="center"/>
          </w:tcPr>
          <w:p w14:paraId="4DF04A46" w14:textId="77777777" w:rsidR="00801593" w:rsidRPr="008F10E6" w:rsidRDefault="00801593" w:rsidP="00A75082">
            <w:pPr>
              <w:widowControl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zCs w:val="24"/>
              </w:rPr>
            </w:pPr>
            <w:r w:rsidRPr="008F10E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77</w:t>
            </w:r>
          </w:p>
        </w:tc>
        <w:tc>
          <w:tcPr>
            <w:tcW w:w="1150" w:type="dxa"/>
            <w:vMerge/>
            <w:tcBorders>
              <w:top w:val="nil"/>
            </w:tcBorders>
            <w:shd w:val="clear" w:color="auto" w:fill="FFFFFF"/>
          </w:tcPr>
          <w:p w14:paraId="165E2CC2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FFFF"/>
          </w:tcPr>
          <w:p w14:paraId="35E7D356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Merge/>
            <w:tcBorders>
              <w:top w:val="nil"/>
            </w:tcBorders>
            <w:shd w:val="clear" w:color="auto" w:fill="FFFFFF"/>
          </w:tcPr>
          <w:p w14:paraId="19A36150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  <w:shd w:val="clear" w:color="auto" w:fill="FFFFFF"/>
          </w:tcPr>
          <w:p w14:paraId="2BD8F016" w14:textId="77777777" w:rsidR="00801593" w:rsidRPr="008F10E6" w:rsidRDefault="00801593" w:rsidP="00A75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72724F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Table 3 Analysis of DBE examination outcomes and lesion</w:t>
      </w:r>
      <w:r w:rsidRPr="00004021">
        <w:rPr>
          <w:rFonts w:eastAsiaTheme="minorEastAsia"/>
          <w:lang w:eastAsia="zh-CN"/>
        </w:rPr>
        <w:noBreakHyphen/>
        <w:t>detection rates</w:t>
      </w:r>
    </w:p>
    <w:p w14:paraId="48D37FBD" w14:textId="6E97F8AB" w:rsidR="00AA3E1B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This table aggregates case numbers, lesion</w:t>
      </w:r>
      <w:r w:rsidRPr="00004021">
        <w:rPr>
          <w:rFonts w:eastAsiaTheme="minorEastAsia"/>
          <w:lang w:eastAsia="zh-CN"/>
        </w:rPr>
        <w:noBreakHyphen/>
        <w:t>detection rates and P</w:t>
      </w:r>
      <w:r w:rsidRPr="00004021">
        <w:rPr>
          <w:rFonts w:eastAsiaTheme="minorEastAsia"/>
          <w:lang w:eastAsia="zh-CN"/>
        </w:rPr>
        <w:noBreakHyphen/>
        <w:t>values for the overall cohort, docking/non</w:t>
      </w:r>
      <w:r w:rsidRPr="00004021">
        <w:rPr>
          <w:rFonts w:eastAsiaTheme="minorEastAsia"/>
          <w:lang w:eastAsia="zh-CN"/>
        </w:rPr>
        <w:noBreakHyphen/>
        <w:t>docking subgroups, and individual disease subgroups. It further compares length of hospital stay, adverse</w:t>
      </w:r>
      <w:r w:rsidRPr="00004021">
        <w:rPr>
          <w:rFonts w:eastAsiaTheme="minorEastAsia"/>
          <w:lang w:eastAsia="zh-CN"/>
        </w:rPr>
        <w:noBreakHyphen/>
        <w:t>event incidence and hospitalization costs, comprehensively evaluating the diagnostic impact, safety and economic indicators of successful DBE docking.</w:t>
      </w:r>
    </w:p>
    <w:p w14:paraId="3D7F3235" w14:textId="77777777" w:rsidR="008F10E6" w:rsidRDefault="008F10E6">
      <w:pPr>
        <w:rPr>
          <w:rFonts w:eastAsiaTheme="minorEastAsia"/>
          <w:lang w:eastAsia="zh-CN"/>
        </w:rPr>
      </w:pPr>
    </w:p>
    <w:p w14:paraId="033591AD" w14:textId="77777777" w:rsidR="008F10E6" w:rsidRDefault="008F10E6">
      <w:pPr>
        <w:rPr>
          <w:rFonts w:eastAsiaTheme="minorEastAsia"/>
          <w:lang w:eastAsia="zh-CN"/>
        </w:rPr>
      </w:pPr>
    </w:p>
    <w:p w14:paraId="72C1090D" w14:textId="77777777" w:rsidR="008F10E6" w:rsidRDefault="008F10E6">
      <w:pPr>
        <w:rPr>
          <w:rFonts w:eastAsiaTheme="minorEastAsia"/>
          <w:lang w:eastAsia="zh-CN"/>
        </w:rPr>
      </w:pPr>
    </w:p>
    <w:p w14:paraId="7852985C" w14:textId="77777777" w:rsidR="008F10E6" w:rsidRDefault="008F10E6">
      <w:pPr>
        <w:rPr>
          <w:rFonts w:eastAsiaTheme="minorEastAsia"/>
          <w:lang w:eastAsia="zh-CN"/>
        </w:rPr>
      </w:pPr>
    </w:p>
    <w:p w14:paraId="4973A11D" w14:textId="77777777" w:rsidR="008F10E6" w:rsidRDefault="008F10E6">
      <w:pPr>
        <w:rPr>
          <w:rFonts w:eastAsiaTheme="minorEastAsia"/>
          <w:lang w:eastAsia="zh-CN"/>
        </w:rPr>
      </w:pPr>
    </w:p>
    <w:p w14:paraId="24D779C9" w14:textId="77777777" w:rsidR="008F10E6" w:rsidRDefault="008F10E6">
      <w:pPr>
        <w:rPr>
          <w:rFonts w:eastAsiaTheme="minorEastAsia"/>
          <w:lang w:eastAsia="zh-CN"/>
        </w:rPr>
      </w:pPr>
    </w:p>
    <w:p w14:paraId="1E265BC2" w14:textId="77777777" w:rsidR="008F10E6" w:rsidRDefault="008F10E6">
      <w:pPr>
        <w:rPr>
          <w:rFonts w:eastAsiaTheme="minorEastAsia"/>
          <w:lang w:eastAsia="zh-CN"/>
        </w:rPr>
      </w:pPr>
    </w:p>
    <w:p w14:paraId="119A4747" w14:textId="77777777" w:rsidR="008F10E6" w:rsidRDefault="008F10E6">
      <w:pPr>
        <w:rPr>
          <w:rFonts w:eastAsiaTheme="minorEastAsia"/>
          <w:lang w:eastAsia="zh-CN"/>
        </w:rPr>
      </w:pPr>
    </w:p>
    <w:p w14:paraId="1C393508" w14:textId="77777777" w:rsidR="008F10E6" w:rsidRDefault="008F10E6">
      <w:pPr>
        <w:rPr>
          <w:rFonts w:eastAsiaTheme="minorEastAsia"/>
          <w:lang w:eastAsia="zh-CN"/>
        </w:rPr>
      </w:pPr>
    </w:p>
    <w:p w14:paraId="72CD0470" w14:textId="77777777" w:rsidR="008F10E6" w:rsidRDefault="008F10E6">
      <w:pPr>
        <w:rPr>
          <w:rFonts w:eastAsiaTheme="minorEastAsia"/>
          <w:lang w:eastAsia="zh-CN"/>
        </w:rPr>
      </w:pPr>
    </w:p>
    <w:p w14:paraId="5B0D0F0A" w14:textId="77777777" w:rsidR="008F10E6" w:rsidRDefault="008F10E6">
      <w:pPr>
        <w:rPr>
          <w:rFonts w:eastAsiaTheme="minorEastAsia"/>
          <w:lang w:eastAsia="zh-CN"/>
        </w:rPr>
      </w:pPr>
    </w:p>
    <w:p w14:paraId="65FB4BCE" w14:textId="77777777" w:rsidR="008F10E6" w:rsidRDefault="008F10E6">
      <w:pPr>
        <w:rPr>
          <w:rFonts w:eastAsiaTheme="minorEastAsia"/>
          <w:lang w:eastAsia="zh-CN"/>
        </w:rPr>
      </w:pPr>
    </w:p>
    <w:p w14:paraId="065B8A22" w14:textId="77777777" w:rsidR="008F10E6" w:rsidRDefault="008F10E6">
      <w:pPr>
        <w:rPr>
          <w:rFonts w:eastAsiaTheme="minorEastAsia"/>
          <w:lang w:eastAsia="zh-CN"/>
        </w:rPr>
      </w:pPr>
    </w:p>
    <w:p w14:paraId="1EB761FB" w14:textId="77777777" w:rsidR="008F10E6" w:rsidRDefault="008F10E6">
      <w:pPr>
        <w:rPr>
          <w:rFonts w:eastAsiaTheme="minorEastAsia"/>
          <w:lang w:eastAsia="zh-CN"/>
        </w:rPr>
      </w:pPr>
    </w:p>
    <w:p w14:paraId="575AC1BC" w14:textId="77777777" w:rsidR="008F10E6" w:rsidRDefault="008F10E6">
      <w:pPr>
        <w:rPr>
          <w:rFonts w:eastAsiaTheme="minorEastAsia"/>
          <w:lang w:eastAsia="zh-CN"/>
        </w:rPr>
      </w:pPr>
    </w:p>
    <w:p w14:paraId="273F7482" w14:textId="77777777" w:rsidR="008F10E6" w:rsidRDefault="008F10E6">
      <w:pPr>
        <w:rPr>
          <w:rFonts w:eastAsiaTheme="minorEastAsia"/>
          <w:lang w:eastAsia="zh-CN"/>
        </w:rPr>
      </w:pPr>
    </w:p>
    <w:p w14:paraId="6479D5F5" w14:textId="77777777" w:rsidR="0038492D" w:rsidRDefault="0038492D">
      <w:pPr>
        <w:rPr>
          <w:rFonts w:eastAsiaTheme="minorEastAsia"/>
          <w:lang w:eastAsia="zh-CN"/>
        </w:rPr>
      </w:pPr>
    </w:p>
    <w:p w14:paraId="18FED711" w14:textId="77777777" w:rsidR="0038492D" w:rsidRDefault="0038492D">
      <w:pPr>
        <w:rPr>
          <w:rFonts w:eastAsiaTheme="minorEastAsia"/>
          <w:lang w:eastAsia="zh-CN"/>
        </w:rPr>
      </w:pPr>
    </w:p>
    <w:p w14:paraId="60826E59" w14:textId="77777777" w:rsidR="0038492D" w:rsidRDefault="0038492D">
      <w:pPr>
        <w:rPr>
          <w:rFonts w:eastAsiaTheme="minorEastAsia"/>
          <w:lang w:eastAsia="zh-CN"/>
        </w:rPr>
      </w:pPr>
    </w:p>
    <w:p w14:paraId="7C29C293" w14:textId="77777777" w:rsidR="0038492D" w:rsidRDefault="0038492D">
      <w:pPr>
        <w:rPr>
          <w:rFonts w:eastAsiaTheme="minorEastAsia"/>
          <w:lang w:eastAsia="zh-CN"/>
        </w:rPr>
      </w:pPr>
    </w:p>
    <w:p w14:paraId="35EB6B83" w14:textId="77777777" w:rsidR="0038492D" w:rsidRDefault="0038492D">
      <w:pPr>
        <w:rPr>
          <w:rFonts w:eastAsiaTheme="minorEastAsia"/>
          <w:lang w:eastAsia="zh-CN"/>
        </w:rPr>
      </w:pPr>
    </w:p>
    <w:p w14:paraId="3F1C357D" w14:textId="77777777" w:rsidR="0038492D" w:rsidRDefault="0038492D">
      <w:pPr>
        <w:rPr>
          <w:rFonts w:eastAsiaTheme="minorEastAsia"/>
          <w:lang w:eastAsia="zh-CN"/>
        </w:rPr>
      </w:pPr>
    </w:p>
    <w:p w14:paraId="11C5FD7C" w14:textId="77777777" w:rsidR="0038492D" w:rsidRDefault="0038492D">
      <w:pPr>
        <w:rPr>
          <w:rFonts w:eastAsiaTheme="minorEastAsia"/>
          <w:lang w:eastAsia="zh-CN"/>
        </w:rPr>
      </w:pPr>
    </w:p>
    <w:p w14:paraId="7E4249A6" w14:textId="77777777" w:rsidR="0038492D" w:rsidRDefault="0038492D">
      <w:pPr>
        <w:rPr>
          <w:rFonts w:eastAsiaTheme="minorEastAsia"/>
          <w:lang w:eastAsia="zh-CN"/>
        </w:rPr>
      </w:pPr>
    </w:p>
    <w:p w14:paraId="1FB1425F" w14:textId="77777777" w:rsidR="0038492D" w:rsidRDefault="0038492D">
      <w:pPr>
        <w:rPr>
          <w:rFonts w:eastAsiaTheme="minorEastAsia"/>
          <w:lang w:eastAsia="zh-CN"/>
        </w:rPr>
      </w:pPr>
    </w:p>
    <w:p w14:paraId="76168A22" w14:textId="77777777" w:rsidR="0038492D" w:rsidRDefault="0038492D">
      <w:pPr>
        <w:rPr>
          <w:rFonts w:eastAsiaTheme="minorEastAsia"/>
          <w:lang w:eastAsia="zh-CN"/>
        </w:rPr>
      </w:pPr>
    </w:p>
    <w:p w14:paraId="70803AD9" w14:textId="77777777" w:rsidR="0038492D" w:rsidRDefault="0038492D">
      <w:pPr>
        <w:rPr>
          <w:rFonts w:eastAsiaTheme="minorEastAsia"/>
          <w:lang w:eastAsia="zh-CN"/>
        </w:rPr>
      </w:pPr>
    </w:p>
    <w:p w14:paraId="73E300E3" w14:textId="77777777" w:rsidR="008F10E6" w:rsidRDefault="008F10E6">
      <w:pPr>
        <w:rPr>
          <w:rFonts w:eastAsiaTheme="minorEastAsia"/>
          <w:lang w:eastAsia="zh-CN"/>
        </w:rPr>
      </w:pPr>
    </w:p>
    <w:p w14:paraId="05A158D3" w14:textId="77777777" w:rsidR="008F10E6" w:rsidRDefault="008F10E6">
      <w:pPr>
        <w:rPr>
          <w:rFonts w:eastAsiaTheme="minorEastAsia"/>
          <w:lang w:eastAsia="zh-CN"/>
        </w:rPr>
      </w:pPr>
    </w:p>
    <w:p w14:paraId="42D4E4F1" w14:textId="77777777" w:rsidR="008F10E6" w:rsidRDefault="008F10E6">
      <w:pPr>
        <w:rPr>
          <w:rFonts w:eastAsiaTheme="minorEastAsia"/>
          <w:lang w:eastAsia="zh-CN"/>
        </w:rPr>
      </w:pPr>
    </w:p>
    <w:p w14:paraId="04FE9DD3" w14:textId="77777777" w:rsidR="00801593" w:rsidRDefault="00801593" w:rsidP="008015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114300" distR="114300" wp14:anchorId="5B8BD26C" wp14:editId="1E145938">
            <wp:extent cx="1998345" cy="1685290"/>
            <wp:effectExtent l="0" t="0" r="8255" b="3810"/>
            <wp:docPr id="1" name="图片 1" descr="王荣忠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王荣忠40"/>
                    <pic:cNvPicPr>
                      <a:picLocks noChangeAspect="1"/>
                    </pic:cNvPicPr>
                  </pic:nvPicPr>
                  <pic:blipFill>
                    <a:blip r:embed="rId6"/>
                    <a:srcRect l="18519" t="10163" r="18374" b="12586"/>
                    <a:stretch>
                      <a:fillRect/>
                    </a:stretch>
                  </pic:blipFill>
                  <pic:spPr>
                    <a:xfrm>
                      <a:off x="0" y="0"/>
                      <a:ext cx="1998345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114300" distR="114300" wp14:anchorId="0DAF86F9" wp14:editId="21D9B8D4">
            <wp:extent cx="2226310" cy="1685290"/>
            <wp:effectExtent l="0" t="0" r="8890" b="3810"/>
            <wp:docPr id="2" name="图片 2" descr="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5"/>
                    <pic:cNvPicPr>
                      <a:picLocks noChangeAspect="1"/>
                    </pic:cNvPicPr>
                  </pic:nvPicPr>
                  <pic:blipFill>
                    <a:blip r:embed="rId7"/>
                    <a:srcRect l="16373" r="15457" b="8273"/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960AC" w14:textId="77777777" w:rsidR="00801593" w:rsidRDefault="00801593" w:rsidP="008015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commentRangeStart w:id="0"/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commentRangeEnd w:id="0"/>
      <w:r>
        <w:rPr>
          <w:rStyle w:val="af2"/>
          <w:rFonts w:ascii="Times New Roman" w:eastAsia="Times New Roman" w:hAnsi="Times New Roman" w:cs="Times New Roman"/>
          <w:b/>
          <w:sz w:val="24"/>
          <w:szCs w:val="24"/>
        </w:rPr>
        <w:commentReference w:id="0"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Figure </w:t>
      </w:r>
      <w:commentRangeStart w:id="1"/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commentRangeEnd w:id="1"/>
      <w:r>
        <w:rPr>
          <w:rStyle w:val="af2"/>
          <w:rFonts w:ascii="Times New Roman" w:hAnsi="Times New Roman" w:cs="Times New Roman"/>
          <w:b/>
          <w:sz w:val="24"/>
          <w:szCs w:val="24"/>
        </w:rPr>
        <w:commentReference w:id="1"/>
      </w:r>
    </w:p>
    <w:p w14:paraId="17FE8918" w14:textId="77777777" w:rsidR="00801593" w:rsidRDefault="00801593" w:rsidP="008015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114300" distR="114300" wp14:anchorId="38946399" wp14:editId="2FBDC278">
            <wp:extent cx="2049780" cy="1621790"/>
            <wp:effectExtent l="0" t="0" r="7620" b="3810"/>
            <wp:docPr id="3" name="图片 3" descr="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9"/>
                    <pic:cNvPicPr>
                      <a:picLocks noChangeAspect="1"/>
                    </pic:cNvPicPr>
                  </pic:nvPicPr>
                  <pic:blipFill>
                    <a:blip r:embed="rId11"/>
                    <a:srcRect l="2339" t="5808" r="31131" b="495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114300" distR="114300" wp14:anchorId="1DDA3FED" wp14:editId="58D321C4">
            <wp:extent cx="2131060" cy="1616710"/>
            <wp:effectExtent l="0" t="0" r="2540" b="8890"/>
            <wp:docPr id="4" name="图片 5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18"/>
                    <pic:cNvPicPr>
                      <a:picLocks noChangeAspect="1"/>
                    </pic:cNvPicPr>
                  </pic:nvPicPr>
                  <pic:blipFill>
                    <a:blip r:embed="rId12"/>
                    <a:srcRect l="16265" r="16108" b="8830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E12B2" w14:textId="77777777" w:rsidR="00801593" w:rsidRDefault="00801593" w:rsidP="008015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3                                 Figure 4</w:t>
      </w:r>
    </w:p>
    <w:p w14:paraId="547FFA40" w14:textId="77777777" w:rsidR="00801593" w:rsidRDefault="00801593" w:rsidP="0080159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Figure 1: Small intestine lymphoma </w:t>
      </w:r>
    </w:p>
    <w:p w14:paraId="4CB03CF2" w14:textId="77777777" w:rsidR="00801593" w:rsidRDefault="00801593" w:rsidP="0080159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Figure 2: Small intestine telangiectasia </w:t>
      </w:r>
    </w:p>
    <w:p w14:paraId="201EE5A2" w14:textId="77777777" w:rsidR="00801593" w:rsidRDefault="00801593" w:rsidP="0080159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Figure 3: Small intestine ulcer </w:t>
      </w:r>
    </w:p>
    <w:p w14:paraId="5C5C49E6" w14:textId="77777777" w:rsidR="00801593" w:rsidRDefault="00801593" w:rsidP="008015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4: Small intestine adenocarcinoma</w:t>
      </w:r>
    </w:p>
    <w:p w14:paraId="771EDCA5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Figure 1 Small</w:t>
      </w:r>
      <w:r w:rsidRPr="00004021">
        <w:rPr>
          <w:rFonts w:eastAsiaTheme="minorEastAsia"/>
          <w:lang w:eastAsia="zh-CN"/>
        </w:rPr>
        <w:noBreakHyphen/>
        <w:t>intestinal lymphoma</w:t>
      </w:r>
    </w:p>
    <w:p w14:paraId="7603A9F6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Endoscopic image of small</w:t>
      </w:r>
      <w:r w:rsidRPr="00004021">
        <w:rPr>
          <w:rFonts w:eastAsiaTheme="minorEastAsia"/>
          <w:lang w:eastAsia="zh-CN"/>
        </w:rPr>
        <w:noBreakHyphen/>
        <w:t>intestinal lymphoma obtained by double</w:t>
      </w:r>
      <w:r w:rsidRPr="00004021">
        <w:rPr>
          <w:rFonts w:eastAsiaTheme="minorEastAsia"/>
          <w:lang w:eastAsia="zh-CN"/>
        </w:rPr>
        <w:noBreakHyphen/>
        <w:t>balloon enteroscopy (DBE). It demonstrates the endoscopic morphology of small</w:t>
      </w:r>
      <w:r w:rsidRPr="00004021">
        <w:rPr>
          <w:rFonts w:eastAsiaTheme="minorEastAsia"/>
          <w:lang w:eastAsia="zh-CN"/>
        </w:rPr>
        <w:noBreakHyphen/>
        <w:t>intestinal neoplastic lesions enrolled in this study and provides visual endoscopic evidence for the tumor subgroup.</w:t>
      </w:r>
    </w:p>
    <w:p w14:paraId="059C44AC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Figure 2 Small</w:t>
      </w:r>
      <w:r w:rsidRPr="00004021">
        <w:rPr>
          <w:rFonts w:eastAsiaTheme="minorEastAsia"/>
          <w:lang w:eastAsia="zh-CN"/>
        </w:rPr>
        <w:noBreakHyphen/>
        <w:t>intestinal telangiectasia</w:t>
      </w:r>
    </w:p>
    <w:p w14:paraId="5703292A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DBE image of small</w:t>
      </w:r>
      <w:r w:rsidRPr="00004021">
        <w:rPr>
          <w:rFonts w:eastAsiaTheme="minorEastAsia"/>
          <w:lang w:eastAsia="zh-CN"/>
        </w:rPr>
        <w:noBreakHyphen/>
        <w:t>intestinal telangiectasia. This lesion represents a common cause of obscure gastrointestinal bleeding in the present study and intuitively shows the endoscopic appearance of bleeding</w:t>
      </w:r>
      <w:r w:rsidRPr="00004021">
        <w:rPr>
          <w:rFonts w:eastAsiaTheme="minorEastAsia"/>
          <w:lang w:eastAsia="zh-CN"/>
        </w:rPr>
        <w:noBreakHyphen/>
        <w:t>origin foci.</w:t>
      </w:r>
    </w:p>
    <w:p w14:paraId="2F4F1051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Figure 3 Small</w:t>
      </w:r>
      <w:r w:rsidRPr="00004021">
        <w:rPr>
          <w:rFonts w:eastAsiaTheme="minorEastAsia"/>
          <w:lang w:eastAsia="zh-CN"/>
        </w:rPr>
        <w:noBreakHyphen/>
        <w:t>intestinal ulcer</w:t>
      </w:r>
    </w:p>
    <w:p w14:paraId="0731C806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DBE image of small</w:t>
      </w:r>
      <w:r w:rsidRPr="00004021">
        <w:rPr>
          <w:rFonts w:eastAsiaTheme="minorEastAsia"/>
          <w:lang w:eastAsia="zh-CN"/>
        </w:rPr>
        <w:noBreakHyphen/>
        <w:t>intestinal ulcer. Corresponding to the small</w:t>
      </w:r>
      <w:r w:rsidRPr="00004021">
        <w:rPr>
          <w:rFonts w:eastAsiaTheme="minorEastAsia"/>
          <w:lang w:eastAsia="zh-CN"/>
        </w:rPr>
        <w:noBreakHyphen/>
        <w:t>intestinal ulcer subgroup in this research, it presents the endoscopic morphology of target ulcerative lesions.</w:t>
      </w:r>
    </w:p>
    <w:p w14:paraId="1BD3446E" w14:textId="77777777" w:rsidR="00004021" w:rsidRPr="00004021" w:rsidRDefault="00004021" w:rsidP="00004021">
      <w:pPr>
        <w:rPr>
          <w:rFonts w:eastAsiaTheme="minorEastAsia"/>
          <w:lang w:eastAsia="zh-CN"/>
        </w:rPr>
      </w:pPr>
      <w:r w:rsidRPr="00004021">
        <w:rPr>
          <w:rFonts w:eastAsiaTheme="minorEastAsia"/>
          <w:lang w:eastAsia="zh-CN"/>
        </w:rPr>
        <w:t>Figure 4 Small</w:t>
      </w:r>
      <w:r w:rsidRPr="00004021">
        <w:rPr>
          <w:rFonts w:eastAsiaTheme="minorEastAsia"/>
          <w:lang w:eastAsia="zh-CN"/>
        </w:rPr>
        <w:noBreakHyphen/>
        <w:t>intestinal adenocarcinoma</w:t>
      </w:r>
    </w:p>
    <w:p w14:paraId="5E26790C" w14:textId="580F28DF" w:rsidR="00801593" w:rsidRPr="00004021" w:rsidRDefault="00004021">
      <w:pPr>
        <w:rPr>
          <w:rFonts w:eastAsiaTheme="minorEastAsia" w:hint="eastAsia"/>
          <w:lang w:eastAsia="zh-CN"/>
        </w:rPr>
      </w:pPr>
      <w:r w:rsidRPr="00004021">
        <w:rPr>
          <w:rFonts w:eastAsiaTheme="minorEastAsia"/>
          <w:lang w:eastAsia="zh-CN"/>
        </w:rPr>
        <w:t>DBE image of small</w:t>
      </w:r>
      <w:r w:rsidRPr="00004021">
        <w:rPr>
          <w:rFonts w:eastAsiaTheme="minorEastAsia"/>
          <w:lang w:eastAsia="zh-CN"/>
        </w:rPr>
        <w:noBreakHyphen/>
        <w:t>intestinal adenocarcinoma, a malignant small</w:t>
      </w:r>
      <w:r w:rsidRPr="00004021">
        <w:rPr>
          <w:rFonts w:eastAsiaTheme="minorEastAsia"/>
          <w:lang w:eastAsia="zh-CN"/>
        </w:rPr>
        <w:noBreakHyphen/>
        <w:t>intestinal tumor. It supplies typical visual endoscopic data for the tumor subgroup.</w:t>
      </w:r>
    </w:p>
    <w:sectPr w:rsidR="00801593" w:rsidRPr="000040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date="1900-01-01T00:00:00Z" w:initials="">
    <w:p w14:paraId="36C33EA9" w14:textId="77777777" w:rsidR="00801593" w:rsidRDefault="00801593">
      <w:pPr>
        <w:pStyle w:val="af"/>
        <w:jc w:val="left"/>
      </w:pPr>
      <w:r>
        <w:rPr>
          <w:rStyle w:val="af2"/>
        </w:rPr>
        <w:annotationRef/>
      </w:r>
      <w:r>
        <w:rPr>
          <w:color w:val="333333"/>
          <w:highlight w:val="white"/>
        </w:rPr>
        <w:t>For guidance on the preparation of illustrations, pictures, and graphs in electronic format, please read Sage’s </w:t>
      </w:r>
      <w:hyperlink r:id="rId1" w:history="1">
        <w:r>
          <w:rPr>
            <w:rStyle w:val="af1"/>
          </w:rPr>
          <w:t>artwork guidelines</w:t>
        </w:r>
      </w:hyperlink>
      <w:r>
        <w:rPr>
          <w:color w:val="333333"/>
          <w:highlight w:val="white"/>
        </w:rPr>
        <w:t>.</w:t>
      </w:r>
      <w:r>
        <w:t xml:space="preserve"> </w:t>
      </w:r>
    </w:p>
  </w:comment>
  <w:comment w:id="1" w:author="Author" w:date="1900-01-01T00:00:00Z" w:initials="">
    <w:p w14:paraId="7B47A6CB" w14:textId="77777777" w:rsidR="00801593" w:rsidRDefault="00801593">
      <w:pPr>
        <w:pStyle w:val="af"/>
        <w:jc w:val="left"/>
      </w:pPr>
      <w:r>
        <w:rPr>
          <w:rStyle w:val="af2"/>
        </w:rPr>
        <w:annotationRef/>
      </w:r>
      <w:r>
        <w:t>Please clarify the Figure numbers. Each figure should have only one number.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C33EA9" w15:done="0"/>
  <w15:commentEx w15:paraId="7B47A6C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C33EA9" w16cid:durableId="69478116"/>
  <w16cid:commentId w16cid:paraId="7B47A6CB" w16cid:durableId="61BDB6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3F4CC" w14:textId="77777777" w:rsidR="000C7C85" w:rsidRDefault="000C7C85" w:rsidP="00004021">
      <w:r>
        <w:separator/>
      </w:r>
    </w:p>
  </w:endnote>
  <w:endnote w:type="continuationSeparator" w:id="0">
    <w:p w14:paraId="4002F445" w14:textId="77777777" w:rsidR="000C7C85" w:rsidRDefault="000C7C85" w:rsidP="0000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5EDA0" w14:textId="77777777" w:rsidR="000C7C85" w:rsidRDefault="000C7C85" w:rsidP="00004021">
      <w:r>
        <w:separator/>
      </w:r>
    </w:p>
  </w:footnote>
  <w:footnote w:type="continuationSeparator" w:id="0">
    <w:p w14:paraId="26F42594" w14:textId="77777777" w:rsidR="000C7C85" w:rsidRDefault="000C7C85" w:rsidP="0000402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93"/>
    <w:rsid w:val="00004021"/>
    <w:rsid w:val="000C7C85"/>
    <w:rsid w:val="0026218F"/>
    <w:rsid w:val="0038492D"/>
    <w:rsid w:val="005343E2"/>
    <w:rsid w:val="00801593"/>
    <w:rsid w:val="008F10E6"/>
    <w:rsid w:val="00A75082"/>
    <w:rsid w:val="00AA3E1B"/>
    <w:rsid w:val="00D14D03"/>
    <w:rsid w:val="00D5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399391"/>
  <w15:chartTrackingRefBased/>
  <w15:docId w15:val="{84F35F86-49A7-484A-81B1-ADB613D1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593"/>
    <w:pPr>
      <w:widowControl w:val="0"/>
      <w:jc w:val="both"/>
    </w:pPr>
    <w:rPr>
      <w:rFonts w:ascii="Calibri" w:eastAsia="Calibri" w:hAnsi="Calibri" w:cs="Calibri"/>
      <w:kern w:val="0"/>
      <w:szCs w:val="2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0159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5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159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159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59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59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59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59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159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1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1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159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159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0159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15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15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15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15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01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15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015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15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015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15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15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1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015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159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80159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text"/>
    <w:basedOn w:val="a"/>
    <w:link w:val="af0"/>
    <w:uiPriority w:val="99"/>
    <w:rsid w:val="00801593"/>
    <w:rPr>
      <w:sz w:val="20"/>
    </w:rPr>
  </w:style>
  <w:style w:type="character" w:customStyle="1" w:styleId="af0">
    <w:name w:val="批注文字 字符"/>
    <w:basedOn w:val="a0"/>
    <w:link w:val="af"/>
    <w:uiPriority w:val="99"/>
    <w:rsid w:val="00801593"/>
    <w:rPr>
      <w:rFonts w:ascii="Calibri" w:eastAsia="Calibri" w:hAnsi="Calibri" w:cs="Calibri"/>
      <w:kern w:val="0"/>
      <w:sz w:val="20"/>
      <w:szCs w:val="20"/>
      <w:lang w:eastAsia="en-US"/>
    </w:rPr>
  </w:style>
  <w:style w:type="character" w:styleId="af1">
    <w:name w:val="Hyperlink"/>
    <w:basedOn w:val="a0"/>
    <w:rsid w:val="00801593"/>
    <w:rPr>
      <w:color w:val="0563C1"/>
    </w:rPr>
  </w:style>
  <w:style w:type="character" w:styleId="af2">
    <w:name w:val="annotation reference"/>
    <w:basedOn w:val="a0"/>
    <w:uiPriority w:val="99"/>
    <w:rsid w:val="00801593"/>
    <w:rPr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0040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004021"/>
    <w:rPr>
      <w:rFonts w:ascii="Calibri" w:eastAsia="Calibri" w:hAnsi="Calibri" w:cs="Calibri"/>
      <w:kern w:val="0"/>
      <w:sz w:val="18"/>
      <w:szCs w:val="18"/>
      <w:lang w:eastAsia="en-US"/>
    </w:rPr>
  </w:style>
  <w:style w:type="paragraph" w:styleId="af5">
    <w:name w:val="footer"/>
    <w:basedOn w:val="a"/>
    <w:link w:val="af6"/>
    <w:uiPriority w:val="99"/>
    <w:unhideWhenUsed/>
    <w:rsid w:val="000040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6">
    <w:name w:val="页脚 字符"/>
    <w:basedOn w:val="a0"/>
    <w:link w:val="af5"/>
    <w:uiPriority w:val="99"/>
    <w:rsid w:val="00004021"/>
    <w:rPr>
      <w:rFonts w:ascii="Calibri" w:eastAsia="Calibri" w:hAnsi="Calibri" w:cs="Calibr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agepub.com/artwork-msg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666</Words>
  <Characters>3926</Characters>
  <Application>Microsoft Office Word</Application>
  <DocSecurity>0</DocSecurity>
  <Lines>785</Lines>
  <Paragraphs>353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馨月 胡</dc:creator>
  <cp:keywords/>
  <dc:description/>
  <cp:lastModifiedBy>馨月 胡</cp:lastModifiedBy>
  <cp:revision>3</cp:revision>
  <dcterms:created xsi:type="dcterms:W3CDTF">2026-09-04T04:02:00Z</dcterms:created>
  <dcterms:modified xsi:type="dcterms:W3CDTF">2026-09-17T02:55:00Z</dcterms:modified>
</cp:coreProperties>
</file>