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E3A48" w14:textId="77777777" w:rsidR="00BC7E2B" w:rsidRDefault="00BC7E2B" w:rsidP="00BC7E2B">
      <w:pPr>
        <w:pStyle w:val="Title"/>
      </w:pPr>
      <w:r>
        <w:rPr>
          <w:rFonts w:ascii="Times New Roman" w:hAnsi="Times New Roman"/>
          <w:b/>
          <w:bCs/>
          <w:sz w:val="24"/>
          <w:szCs w:val="24"/>
        </w:rPr>
        <w:t>Table 1.</w:t>
      </w:r>
      <w:r>
        <w:rPr>
          <w:rFonts w:ascii="Times New Roman" w:hAnsi="Times New Roman"/>
          <w:sz w:val="24"/>
          <w:szCs w:val="24"/>
        </w:rPr>
        <w:t xml:space="preserve"> Demographic, Clinical, and Laboratory Characteristics of the Patients</w:t>
      </w:r>
    </w:p>
    <w:tbl>
      <w:tblPr>
        <w:tblW w:w="86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BC7E2B" w14:paraId="0251C0B1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EC13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7F5E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Value</w:t>
            </w:r>
          </w:p>
        </w:tc>
      </w:tr>
      <w:tr w:rsidR="00BC7E2B" w14:paraId="74756AF0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A001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18E1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250 (52.2%)</w:t>
            </w:r>
          </w:p>
        </w:tc>
      </w:tr>
      <w:tr w:rsidR="00BC7E2B" w14:paraId="376D587F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45DD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FF2A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229 (47.8%)</w:t>
            </w:r>
          </w:p>
        </w:tc>
      </w:tr>
      <w:tr w:rsidR="00BC7E2B" w14:paraId="311B4450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D9F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F1D7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58.47 ± 15.76</w:t>
            </w:r>
          </w:p>
        </w:tc>
      </w:tr>
      <w:tr w:rsidR="00BC7E2B" w14:paraId="7585F9ED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88D3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Never smokers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EAD96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117 (48.8%)</w:t>
            </w:r>
          </w:p>
        </w:tc>
      </w:tr>
      <w:tr w:rsidR="00BC7E2B" w14:paraId="77C69B29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2004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Former smokers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249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70 (29.2%)</w:t>
            </w:r>
          </w:p>
        </w:tc>
      </w:tr>
      <w:tr w:rsidR="00BC7E2B" w14:paraId="22537B76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B64F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Current smokers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D0EF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53 (22.1%)</w:t>
            </w:r>
          </w:p>
        </w:tc>
      </w:tr>
      <w:tr w:rsidR="00BC7E2B" w14:paraId="0A96D892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42904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mMRC 0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685C6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40 (8.4%)</w:t>
            </w:r>
          </w:p>
        </w:tc>
      </w:tr>
      <w:tr w:rsidR="00BC7E2B" w14:paraId="726FDA50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F122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mMRC 1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78BE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68 (14.2%)</w:t>
            </w:r>
          </w:p>
        </w:tc>
      </w:tr>
      <w:tr w:rsidR="00BC7E2B" w14:paraId="5D5BF50F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7196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mMRC 2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5BB3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237 (49.5%)</w:t>
            </w:r>
          </w:p>
        </w:tc>
      </w:tr>
      <w:tr w:rsidR="00BC7E2B" w14:paraId="77BD2DA5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5369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mMRC 3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CE9A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101 (21.1%)</w:t>
            </w:r>
          </w:p>
        </w:tc>
      </w:tr>
      <w:tr w:rsidR="00BC7E2B" w14:paraId="00442DE5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FBB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mMRC 4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08CB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33 (6.9%)</w:t>
            </w:r>
          </w:p>
        </w:tc>
      </w:tr>
      <w:tr w:rsidR="00BC7E2B" w14:paraId="6D65C9AA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147A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History of tuberculosis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620D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44 (18.4%)</w:t>
            </w:r>
          </w:p>
        </w:tc>
      </w:tr>
      <w:tr w:rsidR="00BC7E2B" w14:paraId="46945091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6737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Childhood pneumonia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9A8F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 (1.3%)</w:t>
            </w:r>
          </w:p>
        </w:tc>
      </w:tr>
      <w:tr w:rsidR="00BC7E2B" w14:paraId="37702901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3AB0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Kartagener syndrome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54260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 (0.2%)</w:t>
            </w:r>
          </w:p>
        </w:tc>
      </w:tr>
      <w:tr w:rsidR="00BC7E2B" w14:paraId="6764F011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1D3D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AAT mutation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7EB9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16 (3.3%)</w:t>
            </w:r>
          </w:p>
        </w:tc>
      </w:tr>
      <w:tr w:rsidR="00BC7E2B" w14:paraId="077AB3DB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A69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Immunodeficiency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52C8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 (0.6%)</w:t>
            </w:r>
          </w:p>
        </w:tc>
      </w:tr>
      <w:tr w:rsidR="00BC7E2B" w14:paraId="3CF05CD0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86A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Inflammatory bowel disease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4104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 (0.2%)</w:t>
            </w:r>
          </w:p>
        </w:tc>
      </w:tr>
      <w:tr w:rsidR="00BC7E2B" w14:paraId="37F96426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5712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Connective tissue disease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3AE7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 (0.6%)</w:t>
            </w:r>
          </w:p>
        </w:tc>
      </w:tr>
      <w:tr w:rsidR="00BC7E2B" w14:paraId="4EAF86E2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3D9F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FEV1/FVC (%)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D187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70.68 ± 12.68</w:t>
            </w:r>
          </w:p>
        </w:tc>
      </w:tr>
      <w:tr w:rsidR="00BC7E2B" w14:paraId="7011F046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6722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FEV1 (% predicted)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62B2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56.77 ± 22.91</w:t>
            </w:r>
          </w:p>
        </w:tc>
      </w:tr>
      <w:tr w:rsidR="00BC7E2B" w14:paraId="10A2CAD1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B925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FEV1 (L)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AA0A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1.81 (0.44–3.85)</w:t>
            </w:r>
          </w:p>
        </w:tc>
      </w:tr>
      <w:tr w:rsidR="00BC7E2B" w14:paraId="05C0B19D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B6FB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FVC (% predicted)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9BDB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65.76 ± 23.84</w:t>
            </w:r>
          </w:p>
        </w:tc>
      </w:tr>
      <w:tr w:rsidR="00BC7E2B" w14:paraId="667355F9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A7F1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FVC (L)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8CB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2.58 ± 1.01</w:t>
            </w:r>
          </w:p>
        </w:tc>
      </w:tr>
      <w:tr w:rsidR="00BC7E2B" w14:paraId="08CC57D7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227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Hospitalization (respiratory)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46C5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280 (58.5%)</w:t>
            </w:r>
          </w:p>
        </w:tc>
      </w:tr>
      <w:tr w:rsidR="00BC7E2B" w14:paraId="21D9B68D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282B0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ICU admission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C5A86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85 (17.7%)</w:t>
            </w:r>
          </w:p>
        </w:tc>
      </w:tr>
      <w:tr w:rsidR="00BC7E2B" w14:paraId="581861CF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CF9F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Mortality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E622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61 (12.7%)</w:t>
            </w:r>
          </w:p>
        </w:tc>
      </w:tr>
      <w:tr w:rsidR="00BC7E2B" w14:paraId="076D72A6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D34C4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Emergency visits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E12A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266 (55.5%)</w:t>
            </w:r>
          </w:p>
        </w:tc>
      </w:tr>
      <w:tr w:rsidR="00BC7E2B" w14:paraId="01948164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3FAB6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Sputum culture performed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5D8A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264 (55.1%)</w:t>
            </w:r>
          </w:p>
        </w:tc>
      </w:tr>
      <w:tr w:rsidR="00BC7E2B" w14:paraId="198C1B77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4983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Positive culture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F78D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183 (38.2%)</w:t>
            </w:r>
          </w:p>
        </w:tc>
      </w:tr>
      <w:tr w:rsidR="00BC7E2B" w14:paraId="61C14084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656A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  <w:t>Pseudomonas aeruginosa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74E3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124 (66.8%)</w:t>
            </w:r>
          </w:p>
        </w:tc>
      </w:tr>
      <w:tr w:rsidR="00BC7E2B" w14:paraId="2B126AE2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F74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  <w:t>Klebsiella pneumoniae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FF54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10 (5.4%)</w:t>
            </w:r>
          </w:p>
        </w:tc>
      </w:tr>
      <w:tr w:rsidR="00BC7E2B" w14:paraId="6EE1143C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B26C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  <w:t>Escherichia coli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AC554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14 (7.6%)</w:t>
            </w:r>
          </w:p>
        </w:tc>
      </w:tr>
      <w:tr w:rsidR="00BC7E2B" w14:paraId="6AC70D37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23124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  <w:t>Staphylococcus aureus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408E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 (1.6%)</w:t>
            </w:r>
          </w:p>
        </w:tc>
      </w:tr>
      <w:tr w:rsidR="00BC7E2B" w14:paraId="3EDECFBD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2DBC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  <w:t>Haemophilus influenzae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5872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8 (4.3%)</w:t>
            </w:r>
          </w:p>
        </w:tc>
      </w:tr>
      <w:tr w:rsidR="00BC7E2B" w14:paraId="2D5CCF55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4671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2D61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8 (4.3%)</w:t>
            </w:r>
          </w:p>
        </w:tc>
      </w:tr>
      <w:tr w:rsidR="00BC7E2B" w14:paraId="4572C40E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ABD94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  <w:t>Candida spp.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7BE7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 (3.3%)</w:t>
            </w:r>
          </w:p>
        </w:tc>
      </w:tr>
      <w:tr w:rsidR="00BC7E2B" w14:paraId="78557D80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82B58" w14:textId="77777777" w:rsidR="00BC7E2B" w:rsidRDefault="00BC7E2B" w:rsidP="00183719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  <w:t>Pseudomonas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 isolation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3BC24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124 (25.9%)</w:t>
            </w:r>
          </w:p>
        </w:tc>
      </w:tr>
      <w:tr w:rsidR="00BC7E2B" w14:paraId="39B855C5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CA23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Colonization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7140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41 (8.6%)</w:t>
            </w:r>
          </w:p>
        </w:tc>
      </w:tr>
      <w:tr w:rsidR="00BC7E2B" w14:paraId="12B3016D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F2F6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Colonization treatment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A24D0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 (1.3%)</w:t>
            </w:r>
          </w:p>
        </w:tc>
      </w:tr>
      <w:tr w:rsidR="00BC7E2B" w14:paraId="4405F1CD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A7F7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Respiratory support use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2CB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195 (40.7%)</w:t>
            </w:r>
          </w:p>
        </w:tc>
      </w:tr>
      <w:tr w:rsidR="00BC7E2B" w14:paraId="73D35214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269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LTOT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6E53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58 (29.7%)</w:t>
            </w:r>
          </w:p>
        </w:tc>
      </w:tr>
      <w:tr w:rsidR="00BC7E2B" w14:paraId="62ABEBDC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0BBD6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Nebulizer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2A9E0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77 (39.5%)</w:t>
            </w:r>
          </w:p>
        </w:tc>
      </w:tr>
      <w:tr w:rsidR="00BC7E2B" w14:paraId="7087DFA4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44FE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NIV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B44B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60 (30.8%)</w:t>
            </w:r>
          </w:p>
        </w:tc>
      </w:tr>
      <w:tr w:rsidR="00BC7E2B" w14:paraId="57E166C2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B9B8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ICS use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9605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416 (86.8%)</w:t>
            </w:r>
          </w:p>
        </w:tc>
      </w:tr>
      <w:tr w:rsidR="00BC7E2B" w14:paraId="6D7D9201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FFE0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ICS duration (months)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80A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 (1–450)</w:t>
            </w:r>
          </w:p>
        </w:tc>
      </w:tr>
      <w:tr w:rsidR="00BC7E2B" w14:paraId="56A6FF0E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115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Cystic bronchiectasis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0526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218 (45.5%)</w:t>
            </w:r>
          </w:p>
        </w:tc>
      </w:tr>
      <w:tr w:rsidR="00BC7E2B" w14:paraId="2587EDC7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3A5C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lastRenderedPageBreak/>
              <w:t>Tubular bronchiectasis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CDB5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173 (36.1%)</w:t>
            </w:r>
          </w:p>
        </w:tc>
      </w:tr>
      <w:tr w:rsidR="00BC7E2B" w14:paraId="43DD3595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9BC3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Varicose bronchiectasis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66A6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88 (18.4%)</w:t>
            </w:r>
          </w:p>
        </w:tc>
      </w:tr>
      <w:tr w:rsidR="00BC7E2B" w14:paraId="6C3C2765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5D4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Right lung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904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54 (11.3%)</w:t>
            </w:r>
          </w:p>
        </w:tc>
      </w:tr>
      <w:tr w:rsidR="00BC7E2B" w14:paraId="2FA422AE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0369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Left lung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B2416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109 (22.8%)</w:t>
            </w:r>
          </w:p>
        </w:tc>
      </w:tr>
      <w:tr w:rsidR="00BC7E2B" w14:paraId="3D02F61B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33A0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Bilateral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565E6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316 (66.0%)</w:t>
            </w:r>
          </w:p>
        </w:tc>
      </w:tr>
      <w:tr w:rsidR="00BC7E2B" w14:paraId="7976CE51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8439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Affected lobes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5291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 (1–6)</w:t>
            </w:r>
          </w:p>
        </w:tc>
      </w:tr>
      <w:tr w:rsidR="00BC7E2B" w14:paraId="74411AA5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EDA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COVID-19 vaccine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A7BE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118 (24.6%)</w:t>
            </w:r>
          </w:p>
        </w:tc>
      </w:tr>
      <w:tr w:rsidR="00BC7E2B" w14:paraId="0F7B050D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82D5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Influenza vaccine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0571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35 (7.3%)</w:t>
            </w:r>
          </w:p>
        </w:tc>
      </w:tr>
      <w:tr w:rsidR="00BC7E2B" w14:paraId="54B84E7A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D78E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Pneumococcal vaccine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4CE3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68 (14.2%)</w:t>
            </w:r>
          </w:p>
        </w:tc>
      </w:tr>
      <w:tr w:rsidR="00BC7E2B" w14:paraId="2A331646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77C2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Neutrophils (/µL)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E7B6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6340 (130–61800)</w:t>
            </w:r>
          </w:p>
        </w:tc>
      </w:tr>
      <w:tr w:rsidR="00BC7E2B" w14:paraId="7FAE2900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A372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Lymphocytes (/µL)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7DB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1890 (225–9170)</w:t>
            </w:r>
          </w:p>
        </w:tc>
      </w:tr>
      <w:tr w:rsidR="00BC7E2B" w14:paraId="4A42413C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7DC6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Eosinophils (/µL)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7CD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110 (0–2590)</w:t>
            </w:r>
          </w:p>
        </w:tc>
      </w:tr>
      <w:tr w:rsidR="00BC7E2B" w14:paraId="08BA70D5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D81A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Eosinophils (%)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8C6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1.00 (0–20)</w:t>
            </w:r>
          </w:p>
        </w:tc>
      </w:tr>
      <w:tr w:rsidR="00BC7E2B" w14:paraId="7E841DB3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75E10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Platelets (/µL)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07EF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273000 (193000–769000)</w:t>
            </w:r>
          </w:p>
        </w:tc>
      </w:tr>
      <w:tr w:rsidR="00BC7E2B" w14:paraId="4FC627F6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56E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ENR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6FE4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0.02 (0.00–0.513)</w:t>
            </w:r>
          </w:p>
        </w:tc>
      </w:tr>
      <w:tr w:rsidR="00BC7E2B" w14:paraId="7C8E1D44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7E25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NLR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39CA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3.16 (0.20–43.39)</w:t>
            </w:r>
          </w:p>
        </w:tc>
      </w:tr>
      <w:tr w:rsidR="00BC7E2B" w14:paraId="25CF91B4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5AF0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SII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8FDD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862.57 (0.28–13715.61)</w:t>
            </w:r>
          </w:p>
        </w:tc>
      </w:tr>
      <w:tr w:rsidR="00BC7E2B" w14:paraId="60818A4B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5636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FACED Mild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27AE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351 (73.3%)</w:t>
            </w:r>
          </w:p>
        </w:tc>
      </w:tr>
      <w:tr w:rsidR="00BC7E2B" w14:paraId="17BE60A6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336A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FACED Moderate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5D6C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100 (20.9%)</w:t>
            </w:r>
          </w:p>
        </w:tc>
      </w:tr>
      <w:tr w:rsidR="00BC7E2B" w14:paraId="3C8F9971" w14:textId="77777777" w:rsidTr="00183719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E828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FACED Severe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2D7D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28 (5.8%)</w:t>
            </w:r>
          </w:p>
        </w:tc>
      </w:tr>
    </w:tbl>
    <w:p w14:paraId="6BFE5652" w14:textId="77777777" w:rsidR="00BC7E2B" w:rsidRDefault="00BC7E2B" w:rsidP="00BC7E2B">
      <w:r>
        <w:rPr>
          <w:rFonts w:ascii="Times New Roman" w:hAnsi="Times New Roman"/>
          <w:b/>
          <w:bCs/>
          <w:sz w:val="24"/>
          <w:szCs w:val="24"/>
        </w:rPr>
        <w:t>Abbreviations:</w:t>
      </w:r>
      <w:r>
        <w:rPr>
          <w:rFonts w:ascii="Times New Roman" w:hAnsi="Times New Roman"/>
          <w:sz w:val="24"/>
          <w:szCs w:val="24"/>
        </w:rPr>
        <w:t xml:space="preserve"> AAT, alpha-1 antitrypsin; ENR, eosinophil-to-neutrophil ratio; FEV1, forced expiratory volume in 1 second; FVC, forced vital capacity; ICU, intensive care unit; ICS, inhaled corticosteroid; LTOT, long-term oxygen therapy; mMRC, modified Medical Research Council dyspnea scale; NIV, non-invasive ventilation; NLR, neutrophil-to-lymphocyte ratio; SII, systemic immune-inflammation index.</w:t>
      </w:r>
    </w:p>
    <w:p w14:paraId="17427291" w14:textId="77777777" w:rsidR="00BC7E2B" w:rsidRDefault="00BC7E2B" w:rsidP="00BC7E2B">
      <w:pPr>
        <w:rPr>
          <w:rFonts w:ascii="Times New Roman" w:hAnsi="Times New Roman"/>
          <w:sz w:val="24"/>
          <w:szCs w:val="24"/>
        </w:rPr>
      </w:pPr>
    </w:p>
    <w:p w14:paraId="6B31D201" w14:textId="77777777" w:rsidR="00BC7E2B" w:rsidRDefault="00BC7E2B" w:rsidP="00BC7E2B">
      <w:pPr>
        <w:pStyle w:val="Title"/>
      </w:pPr>
      <w:r>
        <w:rPr>
          <w:rFonts w:ascii="Times New Roman" w:hAnsi="Times New Roman"/>
          <w:b/>
          <w:bCs/>
          <w:sz w:val="24"/>
          <w:szCs w:val="24"/>
        </w:rPr>
        <w:t>Table 2</w:t>
      </w:r>
      <w:r>
        <w:rPr>
          <w:rFonts w:ascii="Times New Roman" w:hAnsi="Times New Roman"/>
          <w:sz w:val="24"/>
          <w:szCs w:val="24"/>
        </w:rPr>
        <w:t>. Comparison of Patients With and Without Mortality</w:t>
      </w:r>
    </w:p>
    <w:tbl>
      <w:tblPr>
        <w:tblW w:w="86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2160"/>
        <w:gridCol w:w="2160"/>
        <w:gridCol w:w="2160"/>
      </w:tblGrid>
      <w:tr w:rsidR="00BC7E2B" w14:paraId="4444C7AD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26C7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7237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Mortality (+)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83BC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Mortality (-)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B5B2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p-value</w:t>
            </w:r>
          </w:p>
        </w:tc>
      </w:tr>
      <w:tr w:rsidR="00BC7E2B" w14:paraId="6BA95E87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D0FE4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761B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26 (10.4%)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72B0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224 (89.6%)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88F2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0.109</w:t>
            </w:r>
          </w:p>
        </w:tc>
      </w:tr>
      <w:tr w:rsidR="00BC7E2B" w14:paraId="4EADEC9C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C4F30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BEE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35 (15.3%)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57A6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194 (84.7%)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6ACB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BC7E2B" w14:paraId="57B3C19B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AF29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A57F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65 ± 7.07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E4E6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61.17 ± 11.30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3251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416D01AD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475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Occupational exposure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99A1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 (50.0%)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665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18 (32.1%)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89084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0.597</w:t>
            </w:r>
          </w:p>
        </w:tc>
      </w:tr>
      <w:tr w:rsidR="00BC7E2B" w14:paraId="48724A1A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62F0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Never smokers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5F51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 (42.9%)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7F78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114 (48.9%)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0BCA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0.910</w:t>
            </w:r>
          </w:p>
        </w:tc>
      </w:tr>
      <w:tr w:rsidR="00BC7E2B" w14:paraId="3FE3DD67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B5D0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Former smokers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DBC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 (28.6%)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6A3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68 (29.2%)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F419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BC7E2B" w14:paraId="51C4FED2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17E0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Current smokers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CA290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 (28.6%)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56E3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51 (21.9%)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2103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BC7E2B" w14:paraId="6D84B56E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0AD6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Smoking (pack-years)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956E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30 (16–44)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8D4B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24 (10–80)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5F5D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0.130</w:t>
            </w:r>
          </w:p>
        </w:tc>
      </w:tr>
      <w:tr w:rsidR="00BC7E2B" w14:paraId="6206AC36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40F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mMRC score 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6DF7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38 (62.3%)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86D04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199 (47.6%)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0B8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0.001</w:t>
            </w:r>
          </w:p>
        </w:tc>
      </w:tr>
      <w:tr w:rsidR="00BC7E2B" w14:paraId="6D4BAA06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96FD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FEV1/FVC (%)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4EF0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49.00 ± 5.37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31B3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60.86 ± 11.58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8CD5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0.006</w:t>
            </w:r>
          </w:p>
        </w:tc>
      </w:tr>
      <w:tr w:rsidR="00BC7E2B" w14:paraId="07952E3E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935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FEV1 (L)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ECDC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1.51 (1.34–1.68)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8A04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1.61 (0.98–3.12)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E07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0.006</w:t>
            </w:r>
          </w:p>
        </w:tc>
      </w:tr>
      <w:tr w:rsidR="00BC7E2B" w14:paraId="518E15E5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C16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Hospitalization (respiratory)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7BE86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57 (93.4%)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4EB4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223 (53.3%)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3DF66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08CC91BD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ADF7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ICU admission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C0F0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31 (50.8%)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6DB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54 (12.9%)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FF95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5C8972AA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FB60F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Intubation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8325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23 (71.9%)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02C1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8 (14.5%)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84B3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40750197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0C8C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Emergency visits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B4F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54 (88.5%)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600B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212 (50.7%)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625C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0751A318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AC8B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lastRenderedPageBreak/>
              <w:t>Sputum culture performed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2B33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49 (80.3%)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19780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215 (51.4%)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D99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7BC13788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A816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Positive sputum culture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2E9F0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37 (60.7%)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58BC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146 (34.9%)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56C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07F1F90A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466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val="en-US"/>
              </w:rPr>
              <w:t>Pseudomonas aeruginosa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6C4B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29 (47.5%)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DF97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95 (22.7%)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29884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55C0A5EC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BBC7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Respiratory support use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AE8A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38 (62.3%)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CB91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157 (37.6%)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69B4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78BD4BBB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3D7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ICS use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55CF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58 (95.1%)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D56C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358 (85.6%)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470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0.042</w:t>
            </w:r>
          </w:p>
        </w:tc>
      </w:tr>
      <w:tr w:rsidR="00BC7E2B" w14:paraId="49BBAF92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43F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ICS duration (months)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E238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91.50 (23–160)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5EDF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70 (24–160)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753ED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0C00FCF6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B5346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COVID-19 vaccine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6791A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4 (6.6%)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097A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114 (27.3%)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71799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395D8CC6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51B9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Pneumococcal vaccine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F7E5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 (4.9%)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EA25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65 (15.6%)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3861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0.026</w:t>
            </w:r>
          </w:p>
        </w:tc>
      </w:tr>
      <w:tr w:rsidR="00BC7E2B" w14:paraId="433F5257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E4FD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Neutrophils (/µL)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9325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5475 (5370–5580)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E5A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6750 (2150–19880)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72BFC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0.003</w:t>
            </w:r>
          </w:p>
        </w:tc>
      </w:tr>
      <w:tr w:rsidR="00BC7E2B" w14:paraId="7720F806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6ADB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NLR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43F9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5.29 (0.20–39.87)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78D18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3.01 (0.81–43.39)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CAF62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&lt;0.001</w:t>
            </w:r>
          </w:p>
        </w:tc>
      </w:tr>
      <w:tr w:rsidR="00BC7E2B" w14:paraId="0B914118" w14:textId="77777777" w:rsidTr="00183719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7EB93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SII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547BB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1463.31 (31.69–13715.61)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DCF44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812.58 (0.28–13060.78)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209E" w14:textId="77777777" w:rsidR="00BC7E2B" w:rsidRDefault="00BC7E2B" w:rsidP="00183719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0.001</w:t>
            </w:r>
          </w:p>
        </w:tc>
      </w:tr>
    </w:tbl>
    <w:p w14:paraId="5E7AEB4A" w14:textId="77777777" w:rsidR="00BC7E2B" w:rsidRDefault="00BC7E2B" w:rsidP="00BC7E2B">
      <w:r>
        <w:rPr>
          <w:rFonts w:ascii="Times New Roman" w:hAnsi="Times New Roman"/>
          <w:b/>
          <w:bCs/>
          <w:sz w:val="24"/>
          <w:szCs w:val="24"/>
        </w:rPr>
        <w:t>Abbreviations:</w:t>
      </w:r>
      <w:r>
        <w:rPr>
          <w:rFonts w:ascii="Times New Roman" w:hAnsi="Times New Roman"/>
          <w:sz w:val="24"/>
          <w:szCs w:val="24"/>
        </w:rPr>
        <w:t xml:space="preserve"> AAT, alpha-1 antitrypsin; ENR, eosinophil-to-neutrophil ratio; FEV1, forced expiratory volume in 1 second; FVC, forced vital capacity; ICU, intensive care unit; ICS, inhaled corticosteroid; LTOT, long-term oxygen therapy; mMRC, modified Medical Research Council dyspnea scale; NIV, non-invasive ventilation; NLR, neutrophil-to-lymphocyte ratio; SII, systemic immune-inflammation index.</w:t>
      </w:r>
    </w:p>
    <w:p w14:paraId="2CA17137" w14:textId="77777777" w:rsidR="00BC7E2B" w:rsidRDefault="00BC7E2B" w:rsidP="00BC7E2B">
      <w:pPr>
        <w:rPr>
          <w:rFonts w:ascii="Times New Roman" w:hAnsi="Times New Roman"/>
          <w:sz w:val="24"/>
          <w:szCs w:val="24"/>
        </w:rPr>
      </w:pPr>
    </w:p>
    <w:p w14:paraId="48812412" w14:textId="77777777" w:rsidR="00BC7E2B" w:rsidRDefault="00BC7E2B" w:rsidP="00BC7E2B">
      <w:r>
        <w:rPr>
          <w:rFonts w:ascii="Times New Roman" w:hAnsi="Times New Roman"/>
          <w:b/>
          <w:bCs/>
          <w:sz w:val="24"/>
          <w:szCs w:val="24"/>
        </w:rPr>
        <w:t xml:space="preserve">Table 3. </w:t>
      </w:r>
      <w:r>
        <w:rPr>
          <w:rFonts w:ascii="Times New Roman" w:hAnsi="Times New Roman"/>
          <w:sz w:val="24"/>
          <w:szCs w:val="24"/>
        </w:rPr>
        <w:t>Univariate and Multivariate Analysis of Factors Associated with Mortality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86"/>
        <w:gridCol w:w="1351"/>
        <w:gridCol w:w="1245"/>
        <w:gridCol w:w="894"/>
        <w:gridCol w:w="1547"/>
        <w:gridCol w:w="1245"/>
        <w:gridCol w:w="894"/>
      </w:tblGrid>
      <w:tr w:rsidR="00BC7E2B" w14:paraId="45B52284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19F42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75CD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Univariate Analysis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1E1AD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B727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2A65A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Multivariate Analysis*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4BF35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83F67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24189837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A027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D40E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 (95% CI)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EE88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 coefficient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EA09C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p-value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46C4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 (95% CI)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A669D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β coefficient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F5CD2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p-value</w:t>
            </w:r>
          </w:p>
        </w:tc>
      </w:tr>
      <w:tr w:rsidR="00BC7E2B" w14:paraId="0025882A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4B19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Age (years)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1E51B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1.065 (1.042–1.089)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F33A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0.063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D1E13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B6A3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66F17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0CA80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10BA2BA3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569E2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mMRC score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BC68B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C7047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C2CF5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0.131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592B0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9420E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7DDF1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3BC0FD51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8D1D3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FEV1/FVC (%)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65BAD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0.943 (0.902–0.985)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7D563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-0.059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21321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0.008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9C7F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0.975 (0.922–1.031)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4A73B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-0.026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35E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0.367</w:t>
            </w:r>
          </w:p>
        </w:tc>
      </w:tr>
      <w:tr w:rsidR="00BC7E2B" w14:paraId="6B9DFF71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E5D0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FEV1 (L)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7512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0.219 (0.064–0.756)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10EC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-1.517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2F9B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0.016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29C00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0.242 (0.059–0.995)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7808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-1.420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A43F5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0.049</w:t>
            </w:r>
          </w:p>
        </w:tc>
      </w:tr>
      <w:tr w:rsidR="00BC7E2B" w14:paraId="28DEFFCA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D928E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Respiratory hospitalization (yes)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C18D8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12.461 (4.440–34.968)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1E657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2.523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E8992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08A8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EDA0C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FCE01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5284E6C5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7B2F1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Number of hospitalizations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870C3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0.797 (0.664–0.957)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ABEEF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-0.227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BA55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0.015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32EF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D4EDC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7304E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4D6A9516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5E384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ICU admission (yes)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6118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6.965 (3.909–12.411)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B21F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1.941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C3DD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EBE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12.788 (2.893–56.537)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69EA3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2.549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0A30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</w:tr>
      <w:tr w:rsidR="00BC7E2B" w14:paraId="155EDC6E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65586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Intubation (yes)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BA8B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15.014 (5.124–43.993)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F5FA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2.709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69F0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CE83E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6540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1C77E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58768ACC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B2F84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Emergency department visit (yes)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AC6B3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7.496 (3.333–16.856)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5A2AA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2.014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DFAE0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0FCE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470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E8E50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4A815309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797FD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Number of emergency visits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EA39E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0.898 (0.831–0.969)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7D50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-0.108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3D485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0.006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CB288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9D870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E9AD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73B981FE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B5B28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Positive sputum culture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4F408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2.872 (1.654–4.986)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C35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1.055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C410F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8CA98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10383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6758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63382BF9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E430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Pseudomonas aeruginosa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isolation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AC31B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3.081 (1.774–5.352)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BA918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1.125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2BFBC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43BE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1.888 (0.432–8.254)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D5EC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0.635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488FC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0.399</w:t>
            </w:r>
          </w:p>
        </w:tc>
      </w:tr>
      <w:tr w:rsidR="00BC7E2B" w14:paraId="1F0AD93B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BD62E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Use of respiratory support devices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4A40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2.747 (1.578–4.781)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5DAE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1.010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B2CB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EC0FE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EB4AD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639F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7BC0DFF8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C62C1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ICS use (yes)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57A6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3.240 (0.984–10.675)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597AA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1.176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80AEE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0.053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832D1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24270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B733D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1E4B50F4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D341E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Duration of ICS use (months)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522A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0.992 (0.984–1.00)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F9D5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-0.009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3D452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0.037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50CBB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62B9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3088A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5397F7FF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D6AAB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COVID-19 vaccination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0DA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0.187 (0.066–0.528)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3F8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-1.676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B9D38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0.002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B4756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C677C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AF790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5984865B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1E3AE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Pneumococcal vaccination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4F3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0.281 (0.085–0.924)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3FC5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-1.270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4B67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0.037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93F7C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57E2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938CB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1F51D92C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33D41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Neutrophils (/µL)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CB8A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1.00 (1.00–1.00)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A60AD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83EC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0.005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0BB9E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A6FCB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F9EF5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03D4846D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5415B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NLR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907C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1.053 (1.016–1.092)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BD85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0.052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296EB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0.005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49C1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5461F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FE157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7E2B" w14:paraId="3C0E23BB" w14:textId="77777777" w:rsidTr="00183719">
        <w:tc>
          <w:tcPr>
            <w:tcW w:w="1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F775" w14:textId="77777777" w:rsidR="00BC7E2B" w:rsidRDefault="00BC7E2B" w:rsidP="00183719">
            <w:pPr>
              <w:spacing w:line="276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SII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9FD47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1.00 (1.00–1.00)</w:t>
            </w: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641FE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E85C4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  <w:tc>
          <w:tcPr>
            <w:tcW w:w="1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E7789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999D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DE385" w14:textId="77777777" w:rsidR="00BC7E2B" w:rsidRDefault="00BC7E2B" w:rsidP="0018371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7DA28A" w14:textId="77777777" w:rsidR="00BC7E2B" w:rsidRDefault="00BC7E2B" w:rsidP="00BC7E2B">
      <w:r>
        <w:rPr>
          <w:rFonts w:ascii="Times New Roman" w:hAnsi="Times New Roman"/>
          <w:b/>
          <w:bCs/>
          <w:sz w:val="24"/>
          <w:szCs w:val="24"/>
        </w:rPr>
        <w:t>Abbreviations:</w:t>
      </w:r>
      <w:r>
        <w:rPr>
          <w:rFonts w:ascii="Times New Roman" w:hAnsi="Times New Roman"/>
          <w:sz w:val="24"/>
          <w:szCs w:val="24"/>
        </w:rPr>
        <w:t xml:space="preserve"> CI, confidence interval; FEV1, forced expiratory volume in 1 second; FVC, forced vital capacity; ICU, intensive care unit; ICS, inhaled corticosteroid; mMRC, modified Medical Research Council dyspnea scale; NLR, neutrophil-to-lymphocyte ratio; OR, odds ratio; SII, systemic immune-inflammation index.</w:t>
      </w:r>
    </w:p>
    <w:p w14:paraId="78EE13B2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2B"/>
    <w:rsid w:val="000C4033"/>
    <w:rsid w:val="00173ED8"/>
    <w:rsid w:val="002F50B1"/>
    <w:rsid w:val="00301683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BC7E2B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9E531"/>
  <w15:chartTrackingRefBased/>
  <w15:docId w15:val="{4251CD4D-2F29-4866-AA38-2CEA543D6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E2B"/>
    <w:pPr>
      <w:suppressAutoHyphens/>
      <w:autoSpaceDN w:val="0"/>
      <w:spacing w:line="256" w:lineRule="auto"/>
    </w:pPr>
    <w:rPr>
      <w:rFonts w:ascii="Calibri" w:eastAsia="Calibri" w:hAnsi="Calibri" w:cs="Times New Roman"/>
      <w:kern w:val="3"/>
      <w:sz w:val="22"/>
      <w:szCs w:val="22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E2B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E2B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E2B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E2B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E2B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E2B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E2B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E2B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E2B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E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E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E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E2B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7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E2B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7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E2B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7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E2B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7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E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874</Words>
  <Characters>4986</Characters>
  <Application>Microsoft Office Word</Application>
  <DocSecurity>0</DocSecurity>
  <Lines>41</Lines>
  <Paragraphs>11</Paragraphs>
  <ScaleCrop>false</ScaleCrop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2026-09-28T09:23:00Z</dcterms:created>
  <dcterms:modified xsi:type="dcterms:W3CDTF">2026-09-28T09:23:00Z</dcterms:modified>
</cp:coreProperties>
</file>