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95B16" w14:textId="3DEBAF56" w:rsidR="00033095" w:rsidRDefault="005815CA" w:rsidP="00E31EDF">
      <w:pPr>
        <w:widowControl w:val="0"/>
        <w:ind w:left="480" w:hanging="480"/>
        <w:jc w:val="both"/>
        <w:rPr>
          <w:sz w:val="30"/>
          <w:szCs w:val="30"/>
        </w:rPr>
      </w:pPr>
      <w:r w:rsidRPr="00F66B8D">
        <w:rPr>
          <w:sz w:val="30"/>
          <w:szCs w:val="30"/>
        </w:rPr>
        <w:t>Supplemental Material</w:t>
      </w:r>
    </w:p>
    <w:p w14:paraId="15B24140" w14:textId="77777777" w:rsidR="00F6559A" w:rsidRPr="00C66140" w:rsidRDefault="00F6559A" w:rsidP="00E31EDF">
      <w:pPr>
        <w:widowControl w:val="0"/>
        <w:ind w:left="480" w:hanging="480"/>
        <w:jc w:val="both"/>
        <w:rPr>
          <w:sz w:val="30"/>
          <w:szCs w:val="30"/>
        </w:rPr>
      </w:pPr>
    </w:p>
    <w:p w14:paraId="03182327" w14:textId="77777777" w:rsidR="00033095" w:rsidRPr="00F66B8D" w:rsidRDefault="005815CA" w:rsidP="00E31EDF">
      <w:pPr>
        <w:jc w:val="both"/>
      </w:pPr>
      <w:r w:rsidRPr="00F66B8D">
        <w:t>Table S1: Reference genomes used in this study</w:t>
      </w:r>
    </w:p>
    <w:tbl>
      <w:tblPr>
        <w:tblStyle w:val="a"/>
        <w:tblW w:w="9200" w:type="dxa"/>
        <w:tblLayout w:type="fixed"/>
        <w:tblLook w:val="0400" w:firstRow="0" w:lastRow="0" w:firstColumn="0" w:lastColumn="0" w:noHBand="0" w:noVBand="1"/>
      </w:tblPr>
      <w:tblGrid>
        <w:gridCol w:w="2233"/>
        <w:gridCol w:w="1609"/>
        <w:gridCol w:w="2080"/>
        <w:gridCol w:w="3278"/>
      </w:tblGrid>
      <w:tr w:rsidR="00033095" w:rsidRPr="00F66B8D" w14:paraId="7F8298B5" w14:textId="77777777">
        <w:trPr>
          <w:trHeight w:val="268"/>
        </w:trPr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0093F92" w14:textId="77777777" w:rsidR="00033095" w:rsidRPr="00F66B8D" w:rsidRDefault="005815CA" w:rsidP="00E31EDF">
            <w:pPr>
              <w:jc w:val="both"/>
              <w:rPr>
                <w:b/>
                <w:color w:val="000000"/>
              </w:rPr>
            </w:pPr>
            <w:r w:rsidRPr="00F66B8D">
              <w:rPr>
                <w:b/>
                <w:color w:val="000000"/>
              </w:rPr>
              <w:t>Species</w:t>
            </w:r>
          </w:p>
        </w:tc>
        <w:tc>
          <w:tcPr>
            <w:tcW w:w="16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DD8AAEC" w14:textId="77777777" w:rsidR="00033095" w:rsidRPr="00F66B8D" w:rsidRDefault="005815CA" w:rsidP="00E31EDF">
            <w:pPr>
              <w:jc w:val="both"/>
              <w:rPr>
                <w:b/>
                <w:color w:val="000000"/>
              </w:rPr>
            </w:pPr>
            <w:proofErr w:type="spellStart"/>
            <w:r w:rsidRPr="00F66B8D">
              <w:rPr>
                <w:b/>
                <w:color w:val="000000"/>
              </w:rPr>
              <w:t>Bioproject</w:t>
            </w:r>
            <w:proofErr w:type="spellEnd"/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C21D2E9" w14:textId="77777777" w:rsidR="00033095" w:rsidRPr="00F66B8D" w:rsidRDefault="005815CA" w:rsidP="00E31EDF">
            <w:pPr>
              <w:jc w:val="both"/>
              <w:rPr>
                <w:b/>
                <w:color w:val="000000"/>
              </w:rPr>
            </w:pPr>
            <w:r w:rsidRPr="00F66B8D">
              <w:rPr>
                <w:b/>
                <w:color w:val="000000"/>
              </w:rPr>
              <w:t>Accession</w:t>
            </w:r>
          </w:p>
        </w:tc>
        <w:tc>
          <w:tcPr>
            <w:tcW w:w="32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8A510CE" w14:textId="77777777" w:rsidR="00033095" w:rsidRPr="00F66B8D" w:rsidRDefault="005815CA" w:rsidP="00E31EDF">
            <w:pPr>
              <w:jc w:val="both"/>
              <w:rPr>
                <w:b/>
                <w:color w:val="000000"/>
              </w:rPr>
            </w:pPr>
            <w:r w:rsidRPr="00F66B8D">
              <w:rPr>
                <w:b/>
                <w:color w:val="000000"/>
              </w:rPr>
              <w:t>Reference</w:t>
            </w:r>
          </w:p>
        </w:tc>
      </w:tr>
      <w:tr w:rsidR="00033095" w:rsidRPr="00F66B8D" w14:paraId="1DA57725" w14:textId="77777777">
        <w:trPr>
          <w:trHeight w:val="268"/>
        </w:trPr>
        <w:tc>
          <w:tcPr>
            <w:tcW w:w="22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50294AD8" w14:textId="77777777" w:rsidR="00033095" w:rsidRPr="00F66B8D" w:rsidRDefault="005815CA" w:rsidP="00E31EDF">
            <w:pPr>
              <w:jc w:val="both"/>
              <w:rPr>
                <w:i/>
                <w:color w:val="000000"/>
              </w:rPr>
            </w:pPr>
            <w:proofErr w:type="spellStart"/>
            <w:r w:rsidRPr="00F66B8D">
              <w:rPr>
                <w:i/>
                <w:color w:val="000000"/>
              </w:rPr>
              <w:t>Exaiptasia</w:t>
            </w:r>
            <w:proofErr w:type="spellEnd"/>
            <w:r w:rsidRPr="00F66B8D">
              <w:rPr>
                <w:i/>
                <w:color w:val="000000"/>
              </w:rPr>
              <w:t xml:space="preserve"> pallida</w:t>
            </w:r>
          </w:p>
        </w:tc>
        <w:tc>
          <w:tcPr>
            <w:tcW w:w="16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5B291A4E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PRJNA261862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52E31A5F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GCA_001417965.1</w:t>
            </w:r>
          </w:p>
        </w:tc>
        <w:tc>
          <w:tcPr>
            <w:tcW w:w="327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6D7787E6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(Baumgarten et al. 2015)</w:t>
            </w:r>
          </w:p>
        </w:tc>
      </w:tr>
      <w:tr w:rsidR="00033095" w:rsidRPr="00F66B8D" w14:paraId="041ACBE5" w14:textId="77777777">
        <w:trPr>
          <w:trHeight w:val="268"/>
        </w:trPr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D89231" w14:textId="77777777" w:rsidR="00033095" w:rsidRPr="00F66B8D" w:rsidRDefault="005815CA" w:rsidP="00E31EDF">
            <w:pPr>
              <w:jc w:val="both"/>
              <w:rPr>
                <w:i/>
                <w:color w:val="000000"/>
              </w:rPr>
            </w:pPr>
            <w:r w:rsidRPr="00F66B8D">
              <w:rPr>
                <w:i/>
                <w:color w:val="000000"/>
              </w:rPr>
              <w:t xml:space="preserve">Acropora </w:t>
            </w:r>
            <w:proofErr w:type="spellStart"/>
            <w:r w:rsidRPr="00F66B8D">
              <w:rPr>
                <w:i/>
                <w:color w:val="000000"/>
              </w:rPr>
              <w:t>millepora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6D5424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PRJNA633778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41CA1D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GCA_013753865.1</w:t>
            </w: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F376A0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(Fuller et al. 2020)</w:t>
            </w:r>
          </w:p>
        </w:tc>
      </w:tr>
      <w:tr w:rsidR="00033095" w:rsidRPr="00F66B8D" w14:paraId="4BDC8860" w14:textId="77777777">
        <w:trPr>
          <w:trHeight w:val="268"/>
        </w:trPr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0CB5A9" w14:textId="77777777" w:rsidR="00033095" w:rsidRPr="00F66B8D" w:rsidRDefault="005815CA" w:rsidP="00E31EDF">
            <w:pPr>
              <w:jc w:val="both"/>
              <w:rPr>
                <w:i/>
                <w:color w:val="000000"/>
              </w:rPr>
            </w:pPr>
            <w:r w:rsidRPr="00F66B8D">
              <w:rPr>
                <w:i/>
                <w:color w:val="000000"/>
              </w:rPr>
              <w:t xml:space="preserve">Bombus </w:t>
            </w:r>
            <w:proofErr w:type="spellStart"/>
            <w:r w:rsidRPr="00F66B8D">
              <w:rPr>
                <w:i/>
                <w:color w:val="000000"/>
              </w:rPr>
              <w:t>terrestris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A1C0FA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PRJNA45869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751394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GCA_000214255.1</w:t>
            </w: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7D1007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(</w:t>
            </w:r>
            <w:proofErr w:type="spellStart"/>
            <w:r w:rsidRPr="00F66B8D">
              <w:rPr>
                <w:color w:val="000000"/>
              </w:rPr>
              <w:t>Sadd</w:t>
            </w:r>
            <w:proofErr w:type="spellEnd"/>
            <w:r w:rsidRPr="00F66B8D">
              <w:rPr>
                <w:color w:val="000000"/>
              </w:rPr>
              <w:t xml:space="preserve"> et al. 2015)</w:t>
            </w:r>
          </w:p>
        </w:tc>
      </w:tr>
      <w:tr w:rsidR="00033095" w:rsidRPr="00F66B8D" w14:paraId="61F84D2D" w14:textId="77777777">
        <w:trPr>
          <w:trHeight w:val="268"/>
        </w:trPr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68AEAD" w14:textId="77777777" w:rsidR="00033095" w:rsidRPr="00F66B8D" w:rsidRDefault="005815CA" w:rsidP="00E31EDF">
            <w:pPr>
              <w:jc w:val="both"/>
              <w:rPr>
                <w:i/>
                <w:color w:val="000000"/>
              </w:rPr>
            </w:pPr>
            <w:proofErr w:type="spellStart"/>
            <w:r w:rsidRPr="00F66B8D">
              <w:rPr>
                <w:i/>
                <w:color w:val="000000"/>
              </w:rPr>
              <w:t>Ceratina</w:t>
            </w:r>
            <w:proofErr w:type="spellEnd"/>
            <w:r w:rsidRPr="00F66B8D">
              <w:rPr>
                <w:i/>
                <w:color w:val="000000"/>
              </w:rPr>
              <w:t xml:space="preserve"> </w:t>
            </w:r>
            <w:proofErr w:type="spellStart"/>
            <w:r w:rsidRPr="00F66B8D">
              <w:rPr>
                <w:i/>
                <w:color w:val="000000"/>
              </w:rPr>
              <w:t>calcarata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0220F3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PRJNA299559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B6FF04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GCA_001652005.1</w:t>
            </w: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621625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(</w:t>
            </w:r>
            <w:proofErr w:type="spellStart"/>
            <w:r w:rsidRPr="00F66B8D">
              <w:rPr>
                <w:color w:val="000000"/>
              </w:rPr>
              <w:t>Rehan</w:t>
            </w:r>
            <w:proofErr w:type="spellEnd"/>
            <w:r w:rsidRPr="00F66B8D">
              <w:rPr>
                <w:color w:val="000000"/>
              </w:rPr>
              <w:t xml:space="preserve"> et al. 2016)</w:t>
            </w:r>
          </w:p>
        </w:tc>
      </w:tr>
      <w:tr w:rsidR="00033095" w:rsidRPr="00F66B8D" w14:paraId="4E51A543" w14:textId="77777777">
        <w:trPr>
          <w:trHeight w:val="268"/>
        </w:trPr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B598FC" w14:textId="77777777" w:rsidR="00033095" w:rsidRPr="00F66B8D" w:rsidRDefault="005815CA" w:rsidP="00E31EDF">
            <w:pPr>
              <w:jc w:val="both"/>
              <w:rPr>
                <w:i/>
                <w:color w:val="000000"/>
              </w:rPr>
            </w:pPr>
            <w:proofErr w:type="spellStart"/>
            <w:r w:rsidRPr="00F66B8D">
              <w:rPr>
                <w:i/>
                <w:color w:val="000000"/>
              </w:rPr>
              <w:t>Ooceraea</w:t>
            </w:r>
            <w:proofErr w:type="spellEnd"/>
            <w:r w:rsidRPr="00F66B8D">
              <w:rPr>
                <w:i/>
                <w:color w:val="000000"/>
              </w:rPr>
              <w:t xml:space="preserve"> </w:t>
            </w:r>
            <w:proofErr w:type="spellStart"/>
            <w:r w:rsidRPr="00F66B8D">
              <w:rPr>
                <w:i/>
                <w:color w:val="000000"/>
              </w:rPr>
              <w:t>biroi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BAA2AA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PRJNA420369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FF0031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GCA_003672135.1</w:t>
            </w: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B726A0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 xml:space="preserve">(McKenzie and </w:t>
            </w:r>
            <w:proofErr w:type="spellStart"/>
            <w:r w:rsidRPr="00F66B8D">
              <w:rPr>
                <w:color w:val="000000"/>
              </w:rPr>
              <w:t>Kronauer</w:t>
            </w:r>
            <w:proofErr w:type="spellEnd"/>
            <w:r w:rsidRPr="00F66B8D">
              <w:rPr>
                <w:color w:val="000000"/>
              </w:rPr>
              <w:t xml:space="preserve"> 2018)</w:t>
            </w:r>
          </w:p>
        </w:tc>
      </w:tr>
      <w:tr w:rsidR="00033095" w:rsidRPr="00F66B8D" w14:paraId="1055CA8F" w14:textId="77777777">
        <w:trPr>
          <w:trHeight w:val="268"/>
        </w:trPr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D3DCCB7" w14:textId="77777777" w:rsidR="00033095" w:rsidRPr="00F66B8D" w:rsidRDefault="005815CA" w:rsidP="00E31EDF">
            <w:pPr>
              <w:jc w:val="both"/>
              <w:rPr>
                <w:i/>
                <w:color w:val="000000"/>
              </w:rPr>
            </w:pPr>
            <w:r w:rsidRPr="00F66B8D">
              <w:rPr>
                <w:i/>
                <w:color w:val="000000"/>
              </w:rPr>
              <w:t>Bombyx mori</w:t>
            </w:r>
          </w:p>
        </w:tc>
        <w:tc>
          <w:tcPr>
            <w:tcW w:w="160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6E345FF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PRJDA20217</w:t>
            </w:r>
          </w:p>
        </w:tc>
        <w:tc>
          <w:tcPr>
            <w:tcW w:w="208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8012659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GCF_000151625.1</w:t>
            </w:r>
          </w:p>
        </w:tc>
        <w:tc>
          <w:tcPr>
            <w:tcW w:w="327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F28EE95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(Xia et al. 2008)</w:t>
            </w:r>
          </w:p>
        </w:tc>
      </w:tr>
      <w:tr w:rsidR="00033095" w:rsidRPr="00F66B8D" w14:paraId="7E992926" w14:textId="77777777">
        <w:trPr>
          <w:trHeight w:val="268"/>
        </w:trPr>
        <w:tc>
          <w:tcPr>
            <w:tcW w:w="22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6489050" w14:textId="77777777" w:rsidR="00033095" w:rsidRPr="00F66B8D" w:rsidRDefault="005815CA" w:rsidP="00E31EDF">
            <w:pPr>
              <w:jc w:val="both"/>
              <w:rPr>
                <w:i/>
                <w:color w:val="000000"/>
              </w:rPr>
            </w:pPr>
            <w:proofErr w:type="spellStart"/>
            <w:r w:rsidRPr="00F66B8D">
              <w:rPr>
                <w:i/>
                <w:color w:val="000000"/>
              </w:rPr>
              <w:t>Stylophora</w:t>
            </w:r>
            <w:proofErr w:type="spellEnd"/>
            <w:r w:rsidRPr="00F66B8D">
              <w:rPr>
                <w:i/>
                <w:color w:val="000000"/>
              </w:rPr>
              <w:t xml:space="preserve"> </w:t>
            </w:r>
            <w:proofErr w:type="spellStart"/>
            <w:r w:rsidRPr="00F66B8D">
              <w:rPr>
                <w:i/>
                <w:color w:val="000000"/>
              </w:rPr>
              <w:t>pistillata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8D52806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PRJDA20217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46D5BA6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GCA_002571385.1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261D79C" w14:textId="77777777" w:rsidR="00033095" w:rsidRPr="00F66B8D" w:rsidRDefault="005815CA" w:rsidP="00E31EDF">
            <w:pPr>
              <w:jc w:val="both"/>
              <w:rPr>
                <w:color w:val="000000"/>
              </w:rPr>
            </w:pPr>
            <w:r w:rsidRPr="00F66B8D">
              <w:rPr>
                <w:color w:val="000000"/>
              </w:rPr>
              <w:t>(</w:t>
            </w:r>
            <w:proofErr w:type="spellStart"/>
            <w:r w:rsidRPr="00F66B8D">
              <w:rPr>
                <w:color w:val="000000"/>
              </w:rPr>
              <w:t>Voolstra</w:t>
            </w:r>
            <w:proofErr w:type="spellEnd"/>
            <w:r w:rsidRPr="00F66B8D">
              <w:rPr>
                <w:color w:val="000000"/>
              </w:rPr>
              <w:t xml:space="preserve"> et al. 2017)</w:t>
            </w:r>
          </w:p>
        </w:tc>
      </w:tr>
    </w:tbl>
    <w:p w14:paraId="54CCA0D3" w14:textId="77777777" w:rsidR="00033095" w:rsidRPr="00F66B8D" w:rsidRDefault="005815CA" w:rsidP="00E31EDF">
      <w:pPr>
        <w:jc w:val="both"/>
      </w:pPr>
      <w:r w:rsidRPr="00F66B8D">
        <w:t xml:space="preserve"> </w:t>
      </w:r>
      <w:r w:rsidRPr="00F66B8D">
        <w:br w:type="page"/>
      </w:r>
    </w:p>
    <w:p w14:paraId="49429F89" w14:textId="77777777" w:rsidR="00033095" w:rsidRPr="00F66B8D" w:rsidRDefault="005815CA" w:rsidP="00E31EDF">
      <w:pPr>
        <w:keepNext/>
        <w:jc w:val="center"/>
      </w:pPr>
      <w:r w:rsidRPr="00F66B8D">
        <w:rPr>
          <w:noProof/>
        </w:rPr>
        <w:lastRenderedPageBreak/>
        <w:drawing>
          <wp:inline distT="0" distB="0" distL="0" distR="0" wp14:anchorId="194515A9" wp14:editId="0A5CB00B">
            <wp:extent cx="4105487" cy="1776413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487" cy="1776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EF1F4B" w14:textId="77777777" w:rsidR="00033095" w:rsidRPr="00F66B8D" w:rsidRDefault="005815CA" w:rsidP="00E31EDF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 w:rsidRPr="00F66B8D">
        <w:rPr>
          <w:color w:val="000000"/>
        </w:rPr>
        <w:t xml:space="preserve">Figure S1: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and transcriptional differences between polyp types in </w:t>
      </w:r>
      <w:r w:rsidRPr="00F66B8D">
        <w:rPr>
          <w:i/>
          <w:color w:val="000000"/>
        </w:rPr>
        <w:t xml:space="preserve">A. </w:t>
      </w:r>
      <w:proofErr w:type="spellStart"/>
      <w:r w:rsidRPr="00F66B8D">
        <w:rPr>
          <w:i/>
          <w:color w:val="000000"/>
        </w:rPr>
        <w:t>millepora</w:t>
      </w:r>
      <w:proofErr w:type="spellEnd"/>
      <w:r w:rsidRPr="00F66B8D">
        <w:rPr>
          <w:color w:val="000000"/>
        </w:rPr>
        <w:t xml:space="preserve"> show no reproducible relationship. The title of each panel indicates the assay used to measure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differences. All axes are on the log</w:t>
      </w:r>
      <w:r w:rsidRPr="00F66B8D">
        <w:rPr>
          <w:color w:val="000000"/>
          <w:vertAlign w:val="subscript"/>
        </w:rPr>
        <w:t>2</w:t>
      </w:r>
      <w:r w:rsidRPr="00F66B8D">
        <w:rPr>
          <w:color w:val="000000"/>
        </w:rPr>
        <w:t xml:space="preserve"> scale.</w:t>
      </w:r>
    </w:p>
    <w:p w14:paraId="3F902F87" w14:textId="77777777" w:rsidR="00033095" w:rsidRPr="00F66B8D" w:rsidRDefault="00033095" w:rsidP="00E31EDF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197C1920" w14:textId="77777777" w:rsidR="00033095" w:rsidRPr="00F66B8D" w:rsidRDefault="00033095" w:rsidP="00E31EDF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i/>
          <w:color w:val="1F497D"/>
          <w:sz w:val="18"/>
          <w:szCs w:val="18"/>
        </w:rPr>
      </w:pPr>
    </w:p>
    <w:p w14:paraId="48DC9440" w14:textId="77777777" w:rsidR="00033095" w:rsidRPr="00F66B8D" w:rsidRDefault="005815CA" w:rsidP="00E31EDF">
      <w:pPr>
        <w:keepNext/>
        <w:jc w:val="center"/>
        <w:rPr>
          <w:color w:val="000000"/>
        </w:rPr>
      </w:pPr>
      <w:r w:rsidRPr="00F66B8D">
        <w:rPr>
          <w:noProof/>
          <w:color w:val="000000"/>
        </w:rPr>
        <w:drawing>
          <wp:inline distT="0" distB="0" distL="0" distR="0" wp14:anchorId="20DA3997" wp14:editId="6EE0140B">
            <wp:extent cx="5157788" cy="276900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788" cy="2769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303ADC" w14:textId="77777777" w:rsidR="00033095" w:rsidRPr="00F66B8D" w:rsidRDefault="005815CA" w:rsidP="00E31EDF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i/>
          <w:color w:val="1F497D"/>
          <w:sz w:val="18"/>
          <w:szCs w:val="18"/>
        </w:rPr>
      </w:pPr>
      <w:r w:rsidRPr="00F66B8D">
        <w:rPr>
          <w:color w:val="000000"/>
        </w:rPr>
        <w:t xml:space="preserve">Figure S2: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and transcriptional differences between experimental conditions show little or no relationship. The contrasts for each study are given in Figure </w:t>
      </w:r>
      <w:r w:rsidRPr="00F66B8D">
        <w:t>1</w:t>
      </w:r>
      <w:r w:rsidRPr="00F66B8D">
        <w:rPr>
          <w:color w:val="000000"/>
        </w:rPr>
        <w:t>. All axes are on the log</w:t>
      </w:r>
      <w:r w:rsidRPr="00F66B8D">
        <w:rPr>
          <w:color w:val="000000"/>
          <w:vertAlign w:val="subscript"/>
        </w:rPr>
        <w:t>2</w:t>
      </w:r>
      <w:r w:rsidRPr="00F66B8D">
        <w:rPr>
          <w:color w:val="000000"/>
        </w:rPr>
        <w:t xml:space="preserve"> scale.</w:t>
      </w:r>
    </w:p>
    <w:p w14:paraId="424EDB12" w14:textId="77777777" w:rsidR="00033095" w:rsidRPr="00F66B8D" w:rsidRDefault="00033095" w:rsidP="00E31EDF">
      <w:pPr>
        <w:jc w:val="both"/>
      </w:pPr>
    </w:p>
    <w:p w14:paraId="66371083" w14:textId="77777777" w:rsidR="00033095" w:rsidRPr="00F66B8D" w:rsidRDefault="00033095" w:rsidP="00E31EDF">
      <w:pPr>
        <w:jc w:val="both"/>
      </w:pPr>
    </w:p>
    <w:p w14:paraId="69815CA9" w14:textId="77777777" w:rsidR="00033095" w:rsidRPr="00F66B8D" w:rsidRDefault="005815CA" w:rsidP="00E31EDF">
      <w:pPr>
        <w:keepNext/>
        <w:jc w:val="center"/>
      </w:pPr>
      <w:r w:rsidRPr="00F66B8D">
        <w:rPr>
          <w:noProof/>
        </w:rPr>
        <w:lastRenderedPageBreak/>
        <w:drawing>
          <wp:inline distT="0" distB="0" distL="0" distR="0" wp14:anchorId="256DE10F" wp14:editId="035FC80E">
            <wp:extent cx="4271963" cy="1868167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1868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CCAEE4" w14:textId="77777777" w:rsidR="00033095" w:rsidRPr="00F66B8D" w:rsidRDefault="005815CA" w:rsidP="00E31EDF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 w:rsidRPr="00F66B8D">
        <w:rPr>
          <w:color w:val="000000"/>
        </w:rPr>
        <w:t xml:space="preserve">Figure S3: Promoter methylation and transcriptional differences between polyp types in </w:t>
      </w:r>
      <w:r w:rsidRPr="00F66B8D">
        <w:rPr>
          <w:i/>
          <w:color w:val="000000"/>
        </w:rPr>
        <w:t xml:space="preserve">A. </w:t>
      </w:r>
      <w:proofErr w:type="spellStart"/>
      <w:r w:rsidRPr="00F66B8D">
        <w:rPr>
          <w:i/>
          <w:color w:val="000000"/>
        </w:rPr>
        <w:t>millepora</w:t>
      </w:r>
      <w:proofErr w:type="spellEnd"/>
      <w:r w:rsidRPr="00F66B8D">
        <w:rPr>
          <w:color w:val="000000"/>
        </w:rPr>
        <w:t xml:space="preserve"> show no relationship.</w:t>
      </w:r>
    </w:p>
    <w:p w14:paraId="215E1F19" w14:textId="77777777" w:rsidR="00033095" w:rsidRPr="00F66B8D" w:rsidRDefault="00033095" w:rsidP="00E31EDF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32DBB363" w14:textId="77777777" w:rsidR="00033095" w:rsidRPr="00F66B8D" w:rsidRDefault="00033095" w:rsidP="00E31EDF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317DA45F" w14:textId="77777777" w:rsidR="00033095" w:rsidRPr="00F66B8D" w:rsidRDefault="005815CA" w:rsidP="00E31EDF">
      <w:pPr>
        <w:jc w:val="center"/>
      </w:pPr>
      <w:r w:rsidRPr="00F66B8D">
        <w:rPr>
          <w:noProof/>
        </w:rPr>
        <w:drawing>
          <wp:inline distT="0" distB="0" distL="0" distR="0" wp14:anchorId="0C8A7F21" wp14:editId="383BD7C0">
            <wp:extent cx="5786438" cy="280966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6438" cy="2809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17AE53" w14:textId="77777777" w:rsidR="00033095" w:rsidRPr="00F66B8D" w:rsidRDefault="005815CA" w:rsidP="00E31EDF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 w:rsidRPr="00F66B8D">
        <w:rPr>
          <w:color w:val="000000"/>
        </w:rPr>
        <w:t>Figure S4: Promoter methylation and transcriptional differences between experimental conditions show no relationship.</w:t>
      </w:r>
    </w:p>
    <w:p w14:paraId="73876983" w14:textId="77777777" w:rsidR="00033095" w:rsidRPr="00F66B8D" w:rsidRDefault="005815CA" w:rsidP="00E31EDF">
      <w:pPr>
        <w:keepNext/>
        <w:jc w:val="center"/>
      </w:pPr>
      <w:r w:rsidRPr="00F66B8D">
        <w:br w:type="page"/>
      </w:r>
      <w:r w:rsidRPr="00F66B8D">
        <w:rPr>
          <w:noProof/>
        </w:rPr>
        <w:lastRenderedPageBreak/>
        <w:drawing>
          <wp:inline distT="0" distB="0" distL="0" distR="0" wp14:anchorId="6AD0B484" wp14:editId="63AA2F00">
            <wp:extent cx="5166708" cy="3262313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708" cy="3262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E7ABBF" w14:textId="77777777" w:rsidR="00033095" w:rsidRPr="00F66B8D" w:rsidRDefault="005815CA" w:rsidP="00E31EDF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 w:rsidRPr="00F66B8D">
        <w:rPr>
          <w:color w:val="000000"/>
        </w:rPr>
        <w:t xml:space="preserve">Figure S5: Relationships between differential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and gene expression between </w:t>
      </w:r>
      <w:r w:rsidRPr="00F66B8D">
        <w:rPr>
          <w:i/>
          <w:color w:val="000000"/>
        </w:rPr>
        <w:t xml:space="preserve">A. </w:t>
      </w:r>
      <w:proofErr w:type="spellStart"/>
      <w:r w:rsidRPr="00F66B8D">
        <w:rPr>
          <w:i/>
          <w:color w:val="000000"/>
        </w:rPr>
        <w:t>millepora</w:t>
      </w:r>
      <w:proofErr w:type="spellEnd"/>
      <w:r w:rsidRPr="00F66B8D">
        <w:rPr>
          <w:color w:val="000000"/>
        </w:rPr>
        <w:t xml:space="preserve"> polyp types and baseline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level. X axes show baseline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level. Y axes shows differential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between polyp types (top panels) and differential transcription between polyp types (bottom panels). Top panels: Differential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between polyp types was linked with baseline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level for the MBD-seq and </w:t>
      </w:r>
      <w:proofErr w:type="spellStart"/>
      <w:r w:rsidRPr="00F66B8D">
        <w:rPr>
          <w:color w:val="000000"/>
        </w:rPr>
        <w:t>mdRAD</w:t>
      </w:r>
      <w:proofErr w:type="spellEnd"/>
      <w:r w:rsidRPr="00F66B8D">
        <w:rPr>
          <w:color w:val="000000"/>
        </w:rPr>
        <w:t xml:space="preserve"> datasets, but not for WGBS. Bottom panels: For all three methylation datasets, the low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class of genes was somewhat upregulated in axial compared to radial polyps, and the high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class was somewhat downregulated</w:t>
      </w:r>
      <w:r w:rsidRPr="00F66B8D">
        <w:t>.</w:t>
      </w:r>
    </w:p>
    <w:p w14:paraId="4EB47A41" w14:textId="77777777" w:rsidR="00033095" w:rsidRPr="00F66B8D" w:rsidRDefault="005815CA" w:rsidP="00E31EDF">
      <w:pPr>
        <w:keepNext/>
        <w:jc w:val="center"/>
      </w:pPr>
      <w:r w:rsidRPr="00F66B8D">
        <w:rPr>
          <w:noProof/>
        </w:rPr>
        <w:lastRenderedPageBreak/>
        <w:drawing>
          <wp:inline distT="0" distB="0" distL="0" distR="0" wp14:anchorId="12DA075E" wp14:editId="515957FF">
            <wp:extent cx="4552950" cy="2820050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82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C2EE78" w14:textId="77777777" w:rsidR="00033095" w:rsidRPr="00F66B8D" w:rsidRDefault="005815CA" w:rsidP="00E31EDF">
      <w:pPr>
        <w:keepNext/>
        <w:jc w:val="center"/>
      </w:pPr>
      <w:r w:rsidRPr="00F66B8D">
        <w:rPr>
          <w:noProof/>
        </w:rPr>
        <w:drawing>
          <wp:inline distT="0" distB="0" distL="0" distR="0" wp14:anchorId="6B91A9FA" wp14:editId="4E32BB94">
            <wp:extent cx="2581480" cy="3338513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480" cy="3338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437025" w14:textId="77777777" w:rsidR="00033095" w:rsidRPr="00F66B8D" w:rsidRDefault="005815CA" w:rsidP="00E31EDF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 w:rsidRPr="00F66B8D">
        <w:rPr>
          <w:color w:val="000000"/>
        </w:rPr>
        <w:t xml:space="preserve">Figure S6: Scatterplots of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change against mean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level. Only three studies (Silkworm, Termite, and Carpenter bee) showed changes in methylation between conditions based on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class. Density plots of methylation change for the two classes show the change was specific to the high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class.</w:t>
      </w:r>
    </w:p>
    <w:p w14:paraId="7F3233B3" w14:textId="77777777" w:rsidR="00033095" w:rsidRPr="00F66B8D" w:rsidRDefault="005815CA" w:rsidP="00E31EDF">
      <w:pPr>
        <w:keepNext/>
        <w:jc w:val="both"/>
      </w:pPr>
      <w:r w:rsidRPr="00F66B8D">
        <w:br w:type="page"/>
      </w:r>
      <w:r w:rsidRPr="00F66B8D">
        <w:rPr>
          <w:noProof/>
        </w:rPr>
        <w:lastRenderedPageBreak/>
        <w:drawing>
          <wp:inline distT="0" distB="0" distL="0" distR="0" wp14:anchorId="0B52FC01" wp14:editId="099A60AC">
            <wp:extent cx="5943600" cy="3679825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F64852" w14:textId="77777777" w:rsidR="00033095" w:rsidRPr="00F66B8D" w:rsidRDefault="005815CA" w:rsidP="00E31EDF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 w:rsidRPr="00F66B8D">
        <w:rPr>
          <w:color w:val="000000"/>
        </w:rPr>
        <w:t xml:space="preserve">Figure S7: Scatterplots of transcriptional change against mean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level. Only two studies (bumblebee and honeybee) showed changes in transcription based on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class. These two are shown in greater detail in Figure </w:t>
      </w:r>
      <w:r w:rsidRPr="00F66B8D">
        <w:t>4</w:t>
      </w:r>
      <w:r w:rsidRPr="00F66B8D">
        <w:rPr>
          <w:color w:val="000000"/>
        </w:rPr>
        <w:t xml:space="preserve">. Note that these were distinct from the studies showing class-level changes in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(Figure S</w:t>
      </w:r>
      <w:r w:rsidRPr="00F66B8D">
        <w:t>6</w:t>
      </w:r>
      <w:r w:rsidRPr="00F66B8D">
        <w:rPr>
          <w:color w:val="000000"/>
        </w:rPr>
        <w:t>).</w:t>
      </w:r>
    </w:p>
    <w:p w14:paraId="5A415A03" w14:textId="77777777" w:rsidR="00033095" w:rsidRPr="00F66B8D" w:rsidRDefault="005815CA" w:rsidP="00E31EDF">
      <w:pPr>
        <w:jc w:val="both"/>
      </w:pPr>
      <w:r w:rsidRPr="00F66B8D">
        <w:br w:type="page"/>
      </w:r>
    </w:p>
    <w:p w14:paraId="18271855" w14:textId="77777777" w:rsidR="00033095" w:rsidRPr="00F66B8D" w:rsidRDefault="00033095" w:rsidP="00E31EDF">
      <w:pPr>
        <w:jc w:val="both"/>
      </w:pPr>
    </w:p>
    <w:p w14:paraId="2EDD364B" w14:textId="77777777" w:rsidR="00033095" w:rsidRPr="00F66B8D" w:rsidRDefault="005815CA" w:rsidP="00E31EDF">
      <w:pPr>
        <w:keepNext/>
        <w:jc w:val="both"/>
      </w:pPr>
      <w:r w:rsidRPr="00F66B8D">
        <w:rPr>
          <w:noProof/>
        </w:rPr>
        <w:drawing>
          <wp:inline distT="0" distB="0" distL="0" distR="0" wp14:anchorId="027B63B4" wp14:editId="52ACB33A">
            <wp:extent cx="5943600" cy="593471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4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78A4AC" w14:textId="77777777" w:rsidR="00033095" w:rsidRDefault="005815CA" w:rsidP="00E31EDF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 w:rsidRPr="00F66B8D">
        <w:rPr>
          <w:color w:val="000000"/>
        </w:rPr>
        <w:t xml:space="preserve">Figure S8: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and transcriptional differences between experimental conditions show little or no relationship. Each pair of volcano plots is associated with the scatterplot below. The first volcano plot shows differences in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, with significant genes (q-value from </w:t>
      </w:r>
      <w:proofErr w:type="spellStart"/>
      <w:r w:rsidRPr="00F66B8D">
        <w:rPr>
          <w:color w:val="000000"/>
        </w:rPr>
        <w:t>MethylKit</w:t>
      </w:r>
      <w:proofErr w:type="spellEnd"/>
      <w:r w:rsidRPr="00F66B8D">
        <w:rPr>
          <w:color w:val="000000"/>
        </w:rPr>
        <w:t xml:space="preserve"> &lt; 0.1) shown in red. The second shows differences in transcription, with significant genes in blue (FDR &lt; 0.1). The count of significant genes is given above each volcano plot. The scatterplots are the same as those shown in Figure 5, with expression differences on the Y axis and </w:t>
      </w:r>
      <w:proofErr w:type="spellStart"/>
      <w:r w:rsidRPr="00F66B8D">
        <w:rPr>
          <w:color w:val="000000"/>
        </w:rPr>
        <w:t>gbM</w:t>
      </w:r>
      <w:proofErr w:type="spellEnd"/>
      <w:r w:rsidRPr="00F66B8D">
        <w:rPr>
          <w:color w:val="000000"/>
        </w:rPr>
        <w:t xml:space="preserve"> differences on the X. The contrasts for each study are given in Figure </w:t>
      </w:r>
      <w:r w:rsidRPr="00F66B8D">
        <w:t>1</w:t>
      </w:r>
      <w:r w:rsidRPr="00F66B8D">
        <w:rPr>
          <w:color w:val="000000"/>
        </w:rPr>
        <w:t>.</w:t>
      </w:r>
    </w:p>
    <w:p w14:paraId="6A525AFC" w14:textId="77777777" w:rsidR="00033095" w:rsidRDefault="00033095" w:rsidP="00E31EDF">
      <w:pPr>
        <w:widowControl w:val="0"/>
        <w:ind w:left="480" w:hanging="480"/>
        <w:jc w:val="both"/>
        <w:rPr>
          <w:b/>
        </w:rPr>
      </w:pPr>
    </w:p>
    <w:p w14:paraId="7479632A" w14:textId="77777777" w:rsidR="00033095" w:rsidRDefault="00033095" w:rsidP="00E31EDF">
      <w:pPr>
        <w:widowControl w:val="0"/>
        <w:ind w:left="480" w:hanging="480"/>
        <w:jc w:val="both"/>
        <w:rPr>
          <w:b/>
        </w:rPr>
      </w:pPr>
    </w:p>
    <w:p w14:paraId="6FDE387E" w14:textId="77777777" w:rsidR="00033095" w:rsidRDefault="00033095" w:rsidP="00E31EDF">
      <w:pPr>
        <w:widowControl w:val="0"/>
        <w:jc w:val="both"/>
        <w:rPr>
          <w:b/>
        </w:rPr>
      </w:pPr>
    </w:p>
    <w:sectPr w:rsidR="00033095" w:rsidSect="00F66B8D">
      <w:footerReference w:type="default" r:id="rId15"/>
      <w:pgSz w:w="12240" w:h="15840"/>
      <w:pgMar w:top="1440" w:right="1080" w:bottom="1440" w:left="1080" w:header="720" w:footer="720" w:gutter="0"/>
      <w:lnNumType w:countBy="1" w:restart="continuous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61077" w14:textId="77777777" w:rsidR="00AB10FD" w:rsidRDefault="00AB10FD">
      <w:r>
        <w:separator/>
      </w:r>
    </w:p>
  </w:endnote>
  <w:endnote w:type="continuationSeparator" w:id="0">
    <w:p w14:paraId="59C26A0E" w14:textId="77777777" w:rsidR="00AB10FD" w:rsidRDefault="00AB1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01C4C" w14:textId="77777777" w:rsidR="00033095" w:rsidRDefault="005815CA">
    <w:pPr>
      <w:jc w:val="right"/>
    </w:pPr>
    <w:r>
      <w:fldChar w:fldCharType="begin"/>
    </w:r>
    <w:r>
      <w:instrText>PAGE</w:instrText>
    </w:r>
    <w:r>
      <w:fldChar w:fldCharType="separate"/>
    </w:r>
    <w:r w:rsidR="00F66B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3A8DC" w14:textId="77777777" w:rsidR="00AB10FD" w:rsidRDefault="00AB10FD">
      <w:r>
        <w:separator/>
      </w:r>
    </w:p>
  </w:footnote>
  <w:footnote w:type="continuationSeparator" w:id="0">
    <w:p w14:paraId="3504E4CC" w14:textId="77777777" w:rsidR="00AB10FD" w:rsidRDefault="00AB10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095"/>
    <w:rsid w:val="00033095"/>
    <w:rsid w:val="001972D3"/>
    <w:rsid w:val="005815CA"/>
    <w:rsid w:val="006E2987"/>
    <w:rsid w:val="00963A82"/>
    <w:rsid w:val="009C69D9"/>
    <w:rsid w:val="009D763A"/>
    <w:rsid w:val="00AB10FD"/>
    <w:rsid w:val="00C66140"/>
    <w:rsid w:val="00E31EDF"/>
    <w:rsid w:val="00E61039"/>
    <w:rsid w:val="00F6559A"/>
    <w:rsid w:val="00F66B8D"/>
    <w:rsid w:val="00FC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872399"/>
  <w15:docId w15:val="{37768B5A-BDD8-794D-961C-B645B4AC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F66B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470</Words>
  <Characters>2680</Characters>
  <Application>Microsoft Office Word</Application>
  <DocSecurity>0</DocSecurity>
  <Lines>22</Lines>
  <Paragraphs>6</Paragraphs>
  <ScaleCrop>false</ScaleCrop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Groves Dixon</cp:lastModifiedBy>
  <cp:revision>5</cp:revision>
  <cp:lastPrinted>2021-11-19T16:21:00Z</cp:lastPrinted>
  <dcterms:created xsi:type="dcterms:W3CDTF">2021-11-19T16:42:00Z</dcterms:created>
  <dcterms:modified xsi:type="dcterms:W3CDTF">2021-11-19T16:57:00Z</dcterms:modified>
</cp:coreProperties>
</file>