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b/>
          <w:bCs/>
          <w:sz w:val="24"/>
          <w:szCs w:val="24"/>
        </w:rPr>
      </w:pPr>
      <w:bookmarkStart w:id="0" w:name="OLE_LINK15"/>
      <w:bookmarkEnd w:id="0"/>
      <w:r>
        <w:rPr>
          <w:rFonts w:hint="eastAsia"/>
          <w:b/>
          <w:bCs/>
          <w:sz w:val="24"/>
          <w:szCs w:val="24"/>
        </w:rPr>
        <w:t>Supplementary Materials</w:t>
      </w:r>
    </w:p>
    <w:p>
      <w:pPr>
        <w:spacing w:line="480" w:lineRule="auto"/>
        <w:rPr>
          <w:b/>
          <w:bCs/>
        </w:rPr>
      </w:pPr>
    </w:p>
    <w:p>
      <w:pPr>
        <w:autoSpaceDE w:val="0"/>
        <w:spacing w:line="480" w:lineRule="auto"/>
        <w:rPr>
          <w:rFonts w:ascii="Times New Roman" w:hAnsi="Times New Roman"/>
          <w:b/>
          <w:bCs/>
        </w:rPr>
      </w:pPr>
      <w:r>
        <w:rPr>
          <w:rFonts w:ascii="Times New Roman" w:hAnsi="Times New Roman"/>
          <w:b/>
          <w:bCs/>
        </w:rPr>
        <w:t>Source apportionment and source-specific health risk of heavy metals in urban road dust of Jinan City, East China</w:t>
      </w:r>
    </w:p>
    <w:p>
      <w:pPr>
        <w:autoSpaceDE w:val="0"/>
        <w:spacing w:line="480" w:lineRule="auto"/>
        <w:rPr>
          <w:rFonts w:ascii="Times New Roman" w:hAnsi="Times New Roman"/>
        </w:rPr>
      </w:pPr>
    </w:p>
    <w:p>
      <w:pPr>
        <w:autoSpaceDE w:val="0"/>
        <w:spacing w:line="480" w:lineRule="auto"/>
        <w:rPr>
          <w:rFonts w:ascii="Times New Roman" w:hAnsi="Times New Roman"/>
        </w:rPr>
      </w:pPr>
      <w:r>
        <w:rPr>
          <w:rFonts w:ascii="Times New Roman" w:hAnsi="Times New Roman"/>
        </w:rPr>
        <w:t>Shengwei Zhang</w:t>
      </w:r>
      <w:r>
        <w:rPr>
          <w:rFonts w:ascii="Times New Roman" w:hAnsi="Times New Roman"/>
          <w:vertAlign w:val="superscript"/>
        </w:rPr>
        <w:t>a,b</w:t>
      </w:r>
      <w:r>
        <w:rPr>
          <w:rFonts w:ascii="Times New Roman" w:hAnsi="Times New Roman"/>
        </w:rPr>
        <w:t>, Ge Ma</w:t>
      </w:r>
      <w:r>
        <w:rPr>
          <w:rFonts w:ascii="Times New Roman" w:hAnsi="Times New Roman"/>
          <w:vertAlign w:val="superscript"/>
        </w:rPr>
        <w:t>a</w:t>
      </w:r>
      <w:r>
        <w:rPr>
          <w:rFonts w:ascii="Times New Roman" w:hAnsi="Times New Roman"/>
        </w:rPr>
        <w:t>,</w:t>
      </w:r>
      <w:r>
        <w:rPr>
          <w:rFonts w:hint="eastAsia" w:ascii="Times New Roman" w:hAnsi="Times New Roman"/>
        </w:rPr>
        <w:t xml:space="preserve"> Shuzhen Dong</w:t>
      </w:r>
      <w:r>
        <w:rPr>
          <w:rFonts w:hint="eastAsia" w:ascii="Times New Roman" w:hAnsi="Times New Roman"/>
          <w:vertAlign w:val="superscript"/>
        </w:rPr>
        <w:t>a,c</w:t>
      </w:r>
      <w:r>
        <w:rPr>
          <w:rFonts w:hint="eastAsia" w:ascii="Times New Roman" w:hAnsi="Times New Roman"/>
        </w:rPr>
        <w:t xml:space="preserve">, </w:t>
      </w:r>
      <w:r>
        <w:rPr>
          <w:rFonts w:hint="eastAsia" w:ascii="Times New Roman" w:hAnsi="Times New Roman"/>
          <w:lang w:val="en-US" w:eastAsia="zh-CN"/>
        </w:rPr>
        <w:t>Xang-Zhou Meng</w:t>
      </w:r>
      <w:r>
        <w:rPr>
          <w:rFonts w:hint="eastAsia" w:ascii="Times New Roman" w:hAnsi="Times New Roman"/>
          <w:vertAlign w:val="superscript"/>
          <w:lang w:val="en-US" w:eastAsia="zh-CN"/>
        </w:rPr>
        <w:t>d</w:t>
      </w:r>
      <w:r>
        <w:rPr>
          <w:rFonts w:hint="eastAsia" w:ascii="Times New Roman" w:hAnsi="Times New Roman"/>
          <w:lang w:val="en-US" w:eastAsia="zh-CN"/>
        </w:rPr>
        <w:t xml:space="preserve">, </w:t>
      </w:r>
      <w:r>
        <w:rPr>
          <w:rFonts w:ascii="Times New Roman" w:hAnsi="Times New Roman"/>
        </w:rPr>
        <w:t>Lijun Wang</w:t>
      </w:r>
      <w:r>
        <w:rPr>
          <w:rFonts w:ascii="Times New Roman" w:hAnsi="Times New Roman"/>
          <w:vertAlign w:val="superscript"/>
        </w:rPr>
        <w:t>a,*</w:t>
      </w:r>
    </w:p>
    <w:p>
      <w:pPr>
        <w:autoSpaceDE w:val="0"/>
        <w:spacing w:line="480" w:lineRule="auto"/>
        <w:rPr>
          <w:rFonts w:ascii="Times New Roman" w:hAnsi="Times New Roman"/>
        </w:rPr>
      </w:pPr>
      <w:r>
        <w:rPr>
          <w:rFonts w:hint="eastAsia" w:ascii="Times New Roman" w:hAnsi="Times New Roman"/>
          <w:color w:val="0000FF"/>
          <w:vertAlign w:val="superscript"/>
        </w:rPr>
        <w:t>a</w:t>
      </w:r>
      <w:r>
        <w:rPr>
          <w:rFonts w:ascii="Times New Roman" w:hAnsi="Times New Roman"/>
        </w:rPr>
        <w:t>Department of Environmental Science and Engineering, School of Geography and Tourism, Shaanxi Normal University, Xi’an 710119, China</w:t>
      </w:r>
    </w:p>
    <w:p>
      <w:pPr>
        <w:autoSpaceDE w:val="0"/>
        <w:spacing w:line="480" w:lineRule="auto"/>
        <w:rPr>
          <w:rFonts w:ascii="Times New Roman" w:hAnsi="Times New Roman"/>
        </w:rPr>
      </w:pPr>
      <w:r>
        <w:rPr>
          <w:rFonts w:hint="eastAsia" w:ascii="Times New Roman" w:hAnsi="Times New Roman"/>
          <w:color w:val="0000FF"/>
          <w:vertAlign w:val="superscript"/>
        </w:rPr>
        <w:t>b</w:t>
      </w:r>
      <w:r>
        <w:rPr>
          <w:rFonts w:ascii="Times New Roman" w:hAnsi="Times New Roman"/>
        </w:rPr>
        <w:t>State Key Laboratory of Water Environment Simulation, School of Environment, Beijing Normal University, Beijing 100875, China</w:t>
      </w:r>
    </w:p>
    <w:p>
      <w:pPr>
        <w:autoSpaceDE w:val="0"/>
        <w:spacing w:line="480" w:lineRule="auto"/>
        <w:rPr>
          <w:rFonts w:hint="eastAsia" w:ascii="Times New Roman" w:hAnsi="Times New Roman"/>
        </w:rPr>
      </w:pPr>
      <w:r>
        <w:rPr>
          <w:rFonts w:hint="eastAsia" w:ascii="Times New Roman" w:hAnsi="Times New Roman"/>
          <w:color w:val="0000FF"/>
          <w:vertAlign w:val="superscript"/>
        </w:rPr>
        <w:t>c</w:t>
      </w:r>
      <w:r>
        <w:rPr>
          <w:rFonts w:hint="eastAsia" w:ascii="Times New Roman" w:hAnsi="Times New Roman"/>
        </w:rPr>
        <w:t>Shangluo City Meteorological Bureau, Shangluo 726000, China</w:t>
      </w:r>
    </w:p>
    <w:p>
      <w:pPr>
        <w:keepNext w:val="0"/>
        <w:keepLines w:val="0"/>
        <w:widowControl w:val="0"/>
        <w:suppressLineNumbers w:val="0"/>
        <w:spacing w:before="0" w:beforeAutospacing="0" w:after="0" w:afterAutospacing="0" w:line="480" w:lineRule="auto"/>
        <w:ind w:left="0" w:right="0"/>
        <w:jc w:val="both"/>
        <w:rPr>
          <w:rFonts w:hint="default" w:ascii="Times New Roman" w:hAnsi="Times New Roman" w:cs="Times New Roman"/>
          <w:highlight w:val="yellow"/>
          <w:lang w:val="en-US"/>
        </w:rPr>
      </w:pPr>
      <w:r>
        <w:rPr>
          <w:rFonts w:hint="eastAsia" w:ascii="Times New Roman" w:hAnsi="Times New Roman" w:cs="Times New Roman"/>
          <w:color w:val="1D41D5"/>
          <w:kern w:val="2"/>
          <w:sz w:val="21"/>
          <w:szCs w:val="24"/>
          <w:vertAlign w:val="superscript"/>
          <w:lang w:val="en-US" w:eastAsia="zh-CN" w:bidi="ar"/>
        </w:rPr>
        <w:t>d</w:t>
      </w:r>
      <w:r>
        <w:rPr>
          <w:rFonts w:hint="default" w:ascii="Times New Roman" w:hAnsi="Times New Roman" w:eastAsia="宋体" w:cs="Times New Roman"/>
          <w:kern w:val="2"/>
          <w:sz w:val="21"/>
          <w:szCs w:val="24"/>
          <w:lang w:val="en-US" w:eastAsia="zh-CN" w:bidi="ar"/>
        </w:rPr>
        <w:t>State Key Laboratory of Pollution Control and Resources Reuse, College of Environmental Science and Engineering, Tongji University, Shanghai 200092, China</w:t>
      </w:r>
    </w:p>
    <w:p>
      <w:pPr>
        <w:autoSpaceDE w:val="0"/>
        <w:spacing w:line="480" w:lineRule="auto"/>
        <w:rPr>
          <w:rFonts w:hint="eastAsia" w:ascii="Times New Roman" w:hAnsi="Times New Roman"/>
        </w:rPr>
      </w:pPr>
    </w:p>
    <w:p>
      <w:pPr>
        <w:autoSpaceDE w:val="0"/>
        <w:spacing w:line="480" w:lineRule="auto"/>
        <w:rPr>
          <w:rFonts w:ascii="Times New Roman" w:hAnsi="Times New Roman"/>
        </w:rPr>
        <w:sectPr>
          <w:footerReference r:id="rId3" w:type="default"/>
          <w:pgSz w:w="11906" w:h="16838"/>
          <w:pgMar w:top="1440" w:right="1800" w:bottom="1440" w:left="1800" w:header="851" w:footer="992" w:gutter="0"/>
          <w:lnNumType w:countBy="1" w:restart="continuous"/>
          <w:cols w:space="720" w:num="1"/>
          <w:docGrid w:type="lines" w:linePitch="312" w:charSpace="0"/>
        </w:sectPr>
      </w:pPr>
      <w:r>
        <w:rPr>
          <w:rFonts w:ascii="Times New Roman" w:hAnsi="Times New Roman"/>
        </w:rPr>
        <w:t xml:space="preserve">*Corresponding author E-mail: </w:t>
      </w:r>
      <w:r>
        <w:rPr>
          <w:rFonts w:ascii="Times New Roman" w:hAnsi="Times New Roman"/>
          <w:color w:val="0000FF"/>
        </w:rPr>
        <w:t>wanglijun@snnu.edu.cn</w:t>
      </w:r>
      <w:r>
        <w:rPr>
          <w:rFonts w:ascii="Times New Roman" w:hAnsi="Times New Roman"/>
        </w:rPr>
        <w:t xml:space="preserve"> (L. Wang)</w:t>
      </w:r>
    </w:p>
    <w:p>
      <w:pPr>
        <w:autoSpaceDE w:val="0"/>
        <w:spacing w:line="480" w:lineRule="auto"/>
        <w:rPr>
          <w:b/>
          <w:bCs/>
          <w:kern w:val="0"/>
        </w:rPr>
      </w:pPr>
      <w:r>
        <w:rPr>
          <w:rFonts w:hint="eastAsia"/>
          <w:b/>
          <w:bCs/>
          <w:kern w:val="0"/>
        </w:rPr>
        <w:t>Text 1. Sample digestion</w:t>
      </w:r>
    </w:p>
    <w:p>
      <w:pPr>
        <w:autoSpaceDE w:val="0"/>
        <w:spacing w:line="480" w:lineRule="auto"/>
        <w:rPr>
          <w:kern w:val="0"/>
        </w:rPr>
        <w:sectPr>
          <w:footerReference r:id="rId4" w:type="default"/>
          <w:pgSz w:w="11906" w:h="16838"/>
          <w:pgMar w:top="1440" w:right="1800" w:bottom="1440" w:left="1800" w:header="851" w:footer="992" w:gutter="0"/>
          <w:cols w:space="720" w:num="1"/>
          <w:docGrid w:type="lines" w:linePitch="312" w:charSpace="0"/>
        </w:sectPr>
      </w:pPr>
      <w:r>
        <w:rPr>
          <w:rFonts w:hint="eastAsia"/>
          <w:kern w:val="0"/>
        </w:rPr>
        <w:t xml:space="preserve">The digestion of road dust samples was described in our previous work </w:t>
      </w:r>
      <w:r>
        <w:rPr>
          <w:rFonts w:hint="eastAsia"/>
          <w:color w:val="0000FF"/>
          <w:kern w:val="0"/>
        </w:rPr>
        <w:t>(Wang et al</w:t>
      </w:r>
      <w:r>
        <w:rPr>
          <w:rFonts w:hint="eastAsia"/>
          <w:color w:val="0000FF"/>
          <w:kern w:val="0"/>
          <w:lang w:eastAsia="zh-CN"/>
        </w:rPr>
        <w:t>.</w:t>
      </w:r>
      <w:r>
        <w:rPr>
          <w:rFonts w:hint="eastAsia"/>
          <w:color w:val="0000FF"/>
          <w:kern w:val="0"/>
        </w:rPr>
        <w:t xml:space="preserve"> 2018)</w:t>
      </w:r>
      <w:r>
        <w:rPr>
          <w:rFonts w:hint="eastAsia"/>
          <w:kern w:val="0"/>
        </w:rPr>
        <w:t xml:space="preserve">. In briefly, a total of </w:t>
      </w:r>
      <w:r>
        <w:rPr>
          <w:kern w:val="0"/>
        </w:rPr>
        <w:t xml:space="preserve">0.50 g </w:t>
      </w:r>
      <w:r>
        <w:rPr>
          <w:rFonts w:hint="eastAsia"/>
          <w:kern w:val="0"/>
        </w:rPr>
        <w:t>road dust</w:t>
      </w:r>
      <w:r>
        <w:rPr>
          <w:kern w:val="0"/>
        </w:rPr>
        <w:t xml:space="preserve"> sample was </w:t>
      </w:r>
      <w:r>
        <w:rPr>
          <w:rFonts w:hint="eastAsia"/>
          <w:kern w:val="0"/>
        </w:rPr>
        <w:t xml:space="preserve">weighted, </w:t>
      </w:r>
      <w:r>
        <w:rPr>
          <w:kern w:val="0"/>
        </w:rPr>
        <w:t>placed in</w:t>
      </w:r>
      <w:r>
        <w:rPr>
          <w:rFonts w:hint="eastAsia"/>
          <w:kern w:val="0"/>
        </w:rPr>
        <w:t>to</w:t>
      </w:r>
      <w:r>
        <w:rPr>
          <w:kern w:val="0"/>
        </w:rPr>
        <w:t xml:space="preserve"> a </w:t>
      </w:r>
      <w:r>
        <w:rPr>
          <w:rFonts w:hint="eastAsia"/>
          <w:kern w:val="0"/>
        </w:rPr>
        <w:t>50-mL t</w:t>
      </w:r>
      <w:r>
        <w:rPr>
          <w:kern w:val="0"/>
        </w:rPr>
        <w:t>eflon crucible</w:t>
      </w:r>
      <w:r>
        <w:rPr>
          <w:rFonts w:hint="eastAsia"/>
          <w:kern w:val="0"/>
        </w:rPr>
        <w:t>, and wetted using a small amount of ultra-pure water. After concentrated hydrogen nitrate (</w:t>
      </w:r>
      <w:r>
        <w:rPr>
          <w:kern w:val="0"/>
        </w:rPr>
        <w:t>HNO</w:t>
      </w:r>
      <w:r>
        <w:rPr>
          <w:kern w:val="0"/>
          <w:vertAlign w:val="subscript"/>
        </w:rPr>
        <w:t>3</w:t>
      </w:r>
      <w:r>
        <w:rPr>
          <w:rFonts w:hint="eastAsia"/>
          <w:kern w:val="0"/>
          <w:vertAlign w:val="subscript"/>
        </w:rPr>
        <w:t>,</w:t>
      </w:r>
      <w:r>
        <w:rPr>
          <w:kern w:val="0"/>
          <w:vertAlign w:val="subscript"/>
        </w:rPr>
        <w:t xml:space="preserve"> </w:t>
      </w:r>
      <w:r>
        <w:rPr>
          <w:kern w:val="0"/>
        </w:rPr>
        <w:t xml:space="preserve">5 mL), </w:t>
      </w:r>
      <w:r>
        <w:rPr>
          <w:rFonts w:hint="eastAsia"/>
          <w:kern w:val="0"/>
        </w:rPr>
        <w:t>hydrofluoric acid (</w:t>
      </w:r>
      <w:r>
        <w:rPr>
          <w:kern w:val="0"/>
        </w:rPr>
        <w:t>HF</w:t>
      </w:r>
      <w:r>
        <w:rPr>
          <w:rFonts w:hint="eastAsia"/>
          <w:kern w:val="0"/>
        </w:rPr>
        <w:t>,</w:t>
      </w:r>
      <w:r>
        <w:rPr>
          <w:kern w:val="0"/>
        </w:rPr>
        <w:t xml:space="preserve"> 5 mL) and </w:t>
      </w:r>
      <w:r>
        <w:rPr>
          <w:rFonts w:hint="eastAsia"/>
          <w:kern w:val="0"/>
        </w:rPr>
        <w:t>perchloric acid (</w:t>
      </w:r>
      <w:r>
        <w:rPr>
          <w:kern w:val="0"/>
        </w:rPr>
        <w:t>HClO</w:t>
      </w:r>
      <w:r>
        <w:rPr>
          <w:kern w:val="0"/>
          <w:vertAlign w:val="subscript"/>
        </w:rPr>
        <w:t>4</w:t>
      </w:r>
      <w:r>
        <w:rPr>
          <w:rFonts w:hint="eastAsia"/>
          <w:kern w:val="0"/>
        </w:rPr>
        <w:t xml:space="preserve">, </w:t>
      </w:r>
      <w:r>
        <w:rPr>
          <w:kern w:val="0"/>
        </w:rPr>
        <w:t>3 mL)</w:t>
      </w:r>
      <w:r>
        <w:rPr>
          <w:rFonts w:hint="eastAsia"/>
          <w:kern w:val="0"/>
        </w:rPr>
        <w:t xml:space="preserve"> were added</w:t>
      </w:r>
      <w:r>
        <w:rPr>
          <w:kern w:val="0"/>
        </w:rPr>
        <w:t xml:space="preserve">, </w:t>
      </w:r>
      <w:r>
        <w:rPr>
          <w:rFonts w:hint="eastAsia"/>
          <w:kern w:val="0"/>
        </w:rPr>
        <w:t>it was</w:t>
      </w:r>
      <w:r>
        <w:rPr>
          <w:kern w:val="0"/>
        </w:rPr>
        <w:t xml:space="preserve"> heated with </w:t>
      </w:r>
      <w:r>
        <w:rPr>
          <w:rFonts w:hint="eastAsia"/>
          <w:kern w:val="0"/>
        </w:rPr>
        <w:t xml:space="preserve">an </w:t>
      </w:r>
      <w:r>
        <w:rPr>
          <w:kern w:val="0"/>
        </w:rPr>
        <w:t xml:space="preserve">electric heating plate </w:t>
      </w:r>
      <w:r>
        <w:rPr>
          <w:rFonts w:hint="eastAsia"/>
          <w:kern w:val="0"/>
        </w:rPr>
        <w:t>until</w:t>
      </w:r>
      <w:r>
        <w:rPr>
          <w:kern w:val="0"/>
        </w:rPr>
        <w:t xml:space="preserve"> </w:t>
      </w:r>
      <w:r>
        <w:rPr>
          <w:rFonts w:hint="eastAsia"/>
          <w:kern w:val="0"/>
        </w:rPr>
        <w:t>near</w:t>
      </w:r>
      <w:r>
        <w:rPr>
          <w:kern w:val="0"/>
        </w:rPr>
        <w:t xml:space="preserve"> dry</w:t>
      </w:r>
      <w:r>
        <w:rPr>
          <w:rFonts w:hint="eastAsia"/>
          <w:kern w:val="0"/>
        </w:rPr>
        <w:t>ness</w:t>
      </w:r>
      <w:r>
        <w:rPr>
          <w:kern w:val="0"/>
        </w:rPr>
        <w:t xml:space="preserve">. </w:t>
      </w:r>
      <w:r>
        <w:rPr>
          <w:rFonts w:hint="eastAsia"/>
          <w:kern w:val="0"/>
        </w:rPr>
        <w:t>It was</w:t>
      </w:r>
      <w:r>
        <w:rPr>
          <w:kern w:val="0"/>
        </w:rPr>
        <w:t xml:space="preserve"> digested with HNO</w:t>
      </w:r>
      <w:r>
        <w:rPr>
          <w:kern w:val="0"/>
          <w:vertAlign w:val="subscript"/>
        </w:rPr>
        <w:t>3</w:t>
      </w:r>
      <w:r>
        <w:rPr>
          <w:kern w:val="0"/>
        </w:rPr>
        <w:t xml:space="preserve"> (3 mL), HF (3 mL) and HClO</w:t>
      </w:r>
      <w:r>
        <w:rPr>
          <w:kern w:val="0"/>
          <w:vertAlign w:val="subscript"/>
        </w:rPr>
        <w:t>4</w:t>
      </w:r>
      <w:r>
        <w:rPr>
          <w:kern w:val="0"/>
        </w:rPr>
        <w:t xml:space="preserve"> (1 mL) again. </w:t>
      </w:r>
      <w:r>
        <w:rPr>
          <w:rFonts w:hint="eastAsia"/>
          <w:kern w:val="0"/>
        </w:rPr>
        <w:t xml:space="preserve">The residual was dissolved and transferred into a 25-mL </w:t>
      </w:r>
      <w:r>
        <w:rPr>
          <w:kern w:val="0"/>
        </w:rPr>
        <w:t>volumetric flask</w:t>
      </w:r>
      <w:r>
        <w:rPr>
          <w:rFonts w:hint="eastAsia"/>
          <w:kern w:val="0"/>
        </w:rPr>
        <w:t xml:space="preserve"> and diluted to 25 mL with the solution of </w:t>
      </w:r>
      <w:r>
        <w:rPr>
          <w:kern w:val="0"/>
        </w:rPr>
        <w:t>25% HNO</w:t>
      </w:r>
      <w:r>
        <w:rPr>
          <w:kern w:val="0"/>
          <w:vertAlign w:val="subscript"/>
        </w:rPr>
        <w:t>3</w:t>
      </w:r>
      <w:r>
        <w:rPr>
          <w:kern w:val="0"/>
        </w:rPr>
        <w:t xml:space="preserve"> (v</w:t>
      </w:r>
      <w:r>
        <w:rPr>
          <w:rFonts w:hint="eastAsia"/>
          <w:kern w:val="0"/>
        </w:rPr>
        <w:t xml:space="preserve"> </w:t>
      </w:r>
      <w:r>
        <w:rPr>
          <w:kern w:val="0"/>
        </w:rPr>
        <w:t>:</w:t>
      </w:r>
      <w:r>
        <w:rPr>
          <w:rFonts w:hint="eastAsia"/>
          <w:kern w:val="0"/>
        </w:rPr>
        <w:t xml:space="preserve"> </w:t>
      </w:r>
      <w:r>
        <w:rPr>
          <w:kern w:val="0"/>
        </w:rPr>
        <w:t xml:space="preserve">v). </w:t>
      </w:r>
      <w:r>
        <w:rPr>
          <w:rFonts w:hint="eastAsia"/>
          <w:kern w:val="0"/>
        </w:rPr>
        <w:t xml:space="preserve">The prepared solution was </w:t>
      </w:r>
      <w:r>
        <w:rPr>
          <w:kern w:val="0"/>
        </w:rPr>
        <w:t>store</w:t>
      </w:r>
      <w:r>
        <w:rPr>
          <w:rFonts w:hint="eastAsia"/>
          <w:kern w:val="0"/>
        </w:rPr>
        <w:t>d</w:t>
      </w:r>
      <w:r>
        <w:rPr>
          <w:kern w:val="0"/>
        </w:rPr>
        <w:t xml:space="preserve"> at 4 °C before analysis.</w:t>
      </w:r>
    </w:p>
    <w:p>
      <w:pPr>
        <w:autoSpaceDE w:val="0"/>
        <w:spacing w:line="480" w:lineRule="auto"/>
        <w:rPr>
          <w:b/>
          <w:bCs/>
          <w:kern w:val="0"/>
        </w:rPr>
      </w:pPr>
      <w:r>
        <w:rPr>
          <w:rFonts w:hint="eastAsia"/>
          <w:b/>
          <w:bCs/>
          <w:kern w:val="0"/>
        </w:rPr>
        <w:t>Text 2. BCR sequential extraction</w:t>
      </w:r>
    </w:p>
    <w:p>
      <w:pPr>
        <w:keepNext w:val="0"/>
        <w:keepLines w:val="0"/>
        <w:pageBreakBefore w:val="0"/>
        <w:widowControl w:val="0"/>
        <w:kinsoku/>
        <w:wordWrap/>
        <w:overflowPunct/>
        <w:topLinePunct w:val="0"/>
        <w:autoSpaceDE/>
        <w:autoSpaceDN/>
        <w:bidi w:val="0"/>
        <w:adjustRightInd/>
        <w:snapToGrid/>
        <w:spacing w:line="456" w:lineRule="auto"/>
        <w:textAlignment w:val="auto"/>
        <w:outlineLvl w:val="9"/>
        <w:rPr>
          <w:kern w:val="0"/>
        </w:rPr>
      </w:pPr>
      <w:r>
        <w:rPr>
          <w:rFonts w:hint="eastAsia"/>
          <w:kern w:val="0"/>
        </w:rPr>
        <w:t xml:space="preserve">The modified BCR sequential extraction was described in our previous studies </w:t>
      </w:r>
      <w:r>
        <w:rPr>
          <w:rFonts w:hint="eastAsia"/>
          <w:color w:val="0000FF"/>
          <w:kern w:val="0"/>
        </w:rPr>
        <w:t>(Wang et al</w:t>
      </w:r>
      <w:r>
        <w:rPr>
          <w:rFonts w:hint="eastAsia"/>
          <w:color w:val="0000FF"/>
          <w:kern w:val="0"/>
          <w:lang w:eastAsia="zh-CN"/>
        </w:rPr>
        <w:t>.</w:t>
      </w:r>
      <w:r>
        <w:rPr>
          <w:rFonts w:hint="eastAsia"/>
          <w:color w:val="0000FF"/>
          <w:kern w:val="0"/>
        </w:rPr>
        <w:t xml:space="preserve"> 2015)</w:t>
      </w:r>
      <w:r>
        <w:rPr>
          <w:rFonts w:hint="eastAsia"/>
          <w:kern w:val="0"/>
        </w:rPr>
        <w:t>. The detailed processes were as follows:</w:t>
      </w:r>
    </w:p>
    <w:p>
      <w:pPr>
        <w:keepNext w:val="0"/>
        <w:keepLines w:val="0"/>
        <w:pageBreakBefore w:val="0"/>
        <w:widowControl w:val="0"/>
        <w:kinsoku/>
        <w:wordWrap/>
        <w:overflowPunct/>
        <w:topLinePunct w:val="0"/>
        <w:autoSpaceDE/>
        <w:autoSpaceDN/>
        <w:bidi w:val="0"/>
        <w:adjustRightInd/>
        <w:snapToGrid/>
        <w:spacing w:line="456" w:lineRule="auto"/>
        <w:textAlignment w:val="auto"/>
        <w:outlineLvl w:val="9"/>
        <w:rPr>
          <w:kern w:val="0"/>
        </w:rPr>
      </w:pPr>
      <w:r>
        <w:rPr>
          <w:kern w:val="0"/>
        </w:rPr>
        <w:t>Step 1 (</w:t>
      </w:r>
      <w:r>
        <w:rPr>
          <w:rFonts w:hint="eastAsia"/>
          <w:kern w:val="0"/>
        </w:rPr>
        <w:t>A</w:t>
      </w:r>
      <w:r>
        <w:rPr>
          <w:kern w:val="0"/>
        </w:rPr>
        <w:t>cid soluble</w:t>
      </w:r>
      <w:r>
        <w:rPr>
          <w:rFonts w:hint="eastAsia"/>
          <w:kern w:val="0"/>
        </w:rPr>
        <w:t xml:space="preserve"> state</w:t>
      </w:r>
      <w:r>
        <w:rPr>
          <w:kern w:val="0"/>
        </w:rPr>
        <w:t xml:space="preserve">): </w:t>
      </w:r>
      <w:r>
        <w:rPr>
          <w:rFonts w:hint="eastAsia"/>
          <w:kern w:val="0"/>
        </w:rPr>
        <w:t xml:space="preserve">A total of </w:t>
      </w:r>
      <w:r>
        <w:rPr>
          <w:kern w:val="0"/>
        </w:rPr>
        <w:t xml:space="preserve">0.80 g </w:t>
      </w:r>
      <w:r>
        <w:rPr>
          <w:rFonts w:hint="eastAsia"/>
          <w:kern w:val="0"/>
        </w:rPr>
        <w:t>road</w:t>
      </w:r>
      <w:r>
        <w:rPr>
          <w:kern w:val="0"/>
        </w:rPr>
        <w:t xml:space="preserve"> </w:t>
      </w:r>
      <w:r>
        <w:rPr>
          <w:rFonts w:hint="eastAsia"/>
          <w:kern w:val="0"/>
        </w:rPr>
        <w:t xml:space="preserve">dust </w:t>
      </w:r>
      <w:r>
        <w:rPr>
          <w:kern w:val="0"/>
        </w:rPr>
        <w:t xml:space="preserve">sample was </w:t>
      </w:r>
      <w:r>
        <w:rPr>
          <w:rFonts w:hint="eastAsia"/>
          <w:kern w:val="0"/>
        </w:rPr>
        <w:t>weighted and</w:t>
      </w:r>
      <w:r>
        <w:rPr>
          <w:kern w:val="0"/>
        </w:rPr>
        <w:t xml:space="preserve"> placed in</w:t>
      </w:r>
      <w:r>
        <w:rPr>
          <w:rFonts w:hint="eastAsia"/>
          <w:kern w:val="0"/>
        </w:rPr>
        <w:t>to</w:t>
      </w:r>
      <w:r>
        <w:rPr>
          <w:kern w:val="0"/>
        </w:rPr>
        <w:t xml:space="preserve"> a 100</w:t>
      </w:r>
      <w:r>
        <w:rPr>
          <w:rFonts w:hint="eastAsia"/>
          <w:kern w:val="0"/>
        </w:rPr>
        <w:t>-</w:t>
      </w:r>
      <w:r>
        <w:rPr>
          <w:kern w:val="0"/>
        </w:rPr>
        <w:t xml:space="preserve">mL </w:t>
      </w:r>
      <w:r>
        <w:rPr>
          <w:rFonts w:hint="eastAsia"/>
          <w:kern w:val="0"/>
        </w:rPr>
        <w:t>e</w:t>
      </w:r>
      <w:r>
        <w:rPr>
          <w:kern w:val="0"/>
        </w:rPr>
        <w:t>rlenmeyer</w:t>
      </w:r>
      <w:r>
        <w:rPr>
          <w:rFonts w:hint="eastAsia"/>
          <w:kern w:val="0"/>
        </w:rPr>
        <w:t xml:space="preserve"> flask.</w:t>
      </w:r>
      <w:r>
        <w:rPr>
          <w:kern w:val="0"/>
        </w:rPr>
        <w:t xml:space="preserve"> </w:t>
      </w:r>
      <w:r>
        <w:rPr>
          <w:rFonts w:hint="eastAsia"/>
          <w:kern w:val="0"/>
        </w:rPr>
        <w:t xml:space="preserve">After A </w:t>
      </w:r>
      <w:r>
        <w:rPr>
          <w:kern w:val="0"/>
        </w:rPr>
        <w:t xml:space="preserve">32 mL </w:t>
      </w:r>
      <w:r>
        <w:rPr>
          <w:rFonts w:hint="eastAsia"/>
          <w:kern w:val="0"/>
        </w:rPr>
        <w:t xml:space="preserve">solution </w:t>
      </w:r>
      <w:r>
        <w:rPr>
          <w:kern w:val="0"/>
        </w:rPr>
        <w:t>of 0.11 mol/L CH</w:t>
      </w:r>
      <w:r>
        <w:rPr>
          <w:kern w:val="0"/>
          <w:vertAlign w:val="subscript"/>
        </w:rPr>
        <w:t>3</w:t>
      </w:r>
      <w:r>
        <w:rPr>
          <w:kern w:val="0"/>
        </w:rPr>
        <w:t>COOH</w:t>
      </w:r>
      <w:r>
        <w:rPr>
          <w:rFonts w:hint="eastAsia"/>
          <w:kern w:val="0"/>
        </w:rPr>
        <w:t xml:space="preserve"> was </w:t>
      </w:r>
      <w:r>
        <w:rPr>
          <w:kern w:val="0"/>
        </w:rPr>
        <w:t>add</w:t>
      </w:r>
      <w:r>
        <w:rPr>
          <w:rFonts w:hint="eastAsia"/>
          <w:kern w:val="0"/>
        </w:rPr>
        <w:t>ed</w:t>
      </w:r>
      <w:r>
        <w:rPr>
          <w:kern w:val="0"/>
        </w:rPr>
        <w:t xml:space="preserve">, </w:t>
      </w:r>
      <w:r>
        <w:rPr>
          <w:rFonts w:hint="eastAsia"/>
          <w:kern w:val="0"/>
        </w:rPr>
        <w:t>it was shaken</w:t>
      </w:r>
      <w:r>
        <w:rPr>
          <w:kern w:val="0"/>
        </w:rPr>
        <w:t xml:space="preserve"> for 16 h</w:t>
      </w:r>
      <w:r>
        <w:rPr>
          <w:rFonts w:hint="eastAsia"/>
          <w:kern w:val="0"/>
        </w:rPr>
        <w:t xml:space="preserve"> </w:t>
      </w:r>
      <w:r>
        <w:rPr>
          <w:kern w:val="0"/>
        </w:rPr>
        <w:t xml:space="preserve">at room temperature. </w:t>
      </w:r>
      <w:r>
        <w:rPr>
          <w:rFonts w:hint="eastAsia"/>
          <w:kern w:val="0"/>
        </w:rPr>
        <w:t>Next</w:t>
      </w:r>
      <w:r>
        <w:rPr>
          <w:kern w:val="0"/>
        </w:rPr>
        <w:t xml:space="preserve">, </w:t>
      </w:r>
      <w:r>
        <w:rPr>
          <w:rFonts w:hint="eastAsia"/>
          <w:kern w:val="0"/>
        </w:rPr>
        <w:t xml:space="preserve">it was </w:t>
      </w:r>
      <w:r>
        <w:rPr>
          <w:kern w:val="0"/>
        </w:rPr>
        <w:t xml:space="preserve">transferred to </w:t>
      </w:r>
      <w:r>
        <w:rPr>
          <w:rFonts w:hint="eastAsia"/>
          <w:kern w:val="0"/>
        </w:rPr>
        <w:t>a</w:t>
      </w:r>
      <w:r>
        <w:rPr>
          <w:kern w:val="0"/>
        </w:rPr>
        <w:t xml:space="preserve"> </w:t>
      </w:r>
      <w:r>
        <w:rPr>
          <w:rFonts w:hint="eastAsia"/>
          <w:kern w:val="0"/>
        </w:rPr>
        <w:t xml:space="preserve">50-mL glass </w:t>
      </w:r>
      <w:r>
        <w:rPr>
          <w:kern w:val="0"/>
        </w:rPr>
        <w:t xml:space="preserve">centrifuge tube </w:t>
      </w:r>
      <w:r>
        <w:rPr>
          <w:rFonts w:hint="eastAsia"/>
          <w:kern w:val="0"/>
        </w:rPr>
        <w:t>and</w:t>
      </w:r>
      <w:r>
        <w:rPr>
          <w:kern w:val="0"/>
        </w:rPr>
        <w:t xml:space="preserve"> centrifugat</w:t>
      </w:r>
      <w:r>
        <w:rPr>
          <w:rFonts w:hint="eastAsia"/>
          <w:kern w:val="0"/>
        </w:rPr>
        <w:t>ed for</w:t>
      </w:r>
      <w:r>
        <w:rPr>
          <w:kern w:val="0"/>
        </w:rPr>
        <w:t xml:space="preserve"> </w:t>
      </w:r>
      <w:r>
        <w:rPr>
          <w:rFonts w:hint="eastAsia"/>
          <w:kern w:val="0"/>
        </w:rPr>
        <w:t>10 min at 7000 r/min</w:t>
      </w:r>
      <w:r>
        <w:rPr>
          <w:kern w:val="0"/>
        </w:rPr>
        <w:t xml:space="preserve">. </w:t>
      </w:r>
      <w:r>
        <w:rPr>
          <w:rFonts w:hint="eastAsia"/>
          <w:kern w:val="0"/>
        </w:rPr>
        <w:t>T</w:t>
      </w:r>
      <w:r>
        <w:rPr>
          <w:kern w:val="0"/>
        </w:rPr>
        <w:t xml:space="preserve">he supernatant </w:t>
      </w:r>
      <w:r>
        <w:rPr>
          <w:rFonts w:hint="eastAsia"/>
          <w:kern w:val="0"/>
        </w:rPr>
        <w:t>was transferred in</w:t>
      </w:r>
      <w:r>
        <w:rPr>
          <w:kern w:val="0"/>
        </w:rPr>
        <w:t>to a 100</w:t>
      </w:r>
      <w:r>
        <w:rPr>
          <w:rFonts w:hint="eastAsia"/>
          <w:kern w:val="0"/>
        </w:rPr>
        <w:t>-</w:t>
      </w:r>
      <w:r>
        <w:rPr>
          <w:kern w:val="0"/>
        </w:rPr>
        <w:t>mL beaker and steamed to near dry</w:t>
      </w:r>
      <w:r>
        <w:rPr>
          <w:rFonts w:hint="eastAsia"/>
          <w:kern w:val="0"/>
        </w:rPr>
        <w:t>ness</w:t>
      </w:r>
      <w:r>
        <w:rPr>
          <w:kern w:val="0"/>
        </w:rPr>
        <w:t xml:space="preserve"> using a hot plate, then dissolved</w:t>
      </w:r>
      <w:r>
        <w:rPr>
          <w:rFonts w:hint="eastAsia"/>
          <w:kern w:val="0"/>
        </w:rPr>
        <w:t xml:space="preserve"> by </w:t>
      </w:r>
      <w:r>
        <w:rPr>
          <w:kern w:val="0"/>
        </w:rPr>
        <w:t>add</w:t>
      </w:r>
      <w:r>
        <w:rPr>
          <w:rFonts w:hint="eastAsia"/>
          <w:kern w:val="0"/>
        </w:rPr>
        <w:t xml:space="preserve">ing </w:t>
      </w:r>
      <w:r>
        <w:rPr>
          <w:kern w:val="0"/>
        </w:rPr>
        <w:t>5 mL</w:t>
      </w:r>
      <w:r>
        <w:rPr>
          <w:rFonts w:hint="eastAsia"/>
          <w:kern w:val="0"/>
        </w:rPr>
        <w:t xml:space="preserve"> solution of</w:t>
      </w:r>
      <w:r>
        <w:rPr>
          <w:kern w:val="0"/>
        </w:rPr>
        <w:t xml:space="preserve"> 1.0 mol/L HNO</w:t>
      </w:r>
      <w:r>
        <w:rPr>
          <w:kern w:val="0"/>
          <w:vertAlign w:val="subscript"/>
        </w:rPr>
        <w:t>3</w:t>
      </w:r>
      <w:r>
        <w:rPr>
          <w:rFonts w:hint="eastAsia"/>
          <w:kern w:val="0"/>
          <w:vertAlign w:val="subscript"/>
        </w:rPr>
        <w:t xml:space="preserve">, </w:t>
      </w:r>
      <w:r>
        <w:rPr>
          <w:kern w:val="0"/>
        </w:rPr>
        <w:t xml:space="preserve">and finally </w:t>
      </w:r>
      <w:r>
        <w:rPr>
          <w:rFonts w:hint="eastAsia"/>
          <w:kern w:val="0"/>
        </w:rPr>
        <w:t>transferred</w:t>
      </w:r>
      <w:r>
        <w:rPr>
          <w:kern w:val="0"/>
        </w:rPr>
        <w:t xml:space="preserve"> into a 25</w:t>
      </w:r>
      <w:r>
        <w:rPr>
          <w:rFonts w:hint="eastAsia"/>
          <w:kern w:val="0"/>
        </w:rPr>
        <w:t>-</w:t>
      </w:r>
      <w:r>
        <w:rPr>
          <w:kern w:val="0"/>
        </w:rPr>
        <w:t xml:space="preserve">mL volumetric flask. </w:t>
      </w:r>
      <w:r>
        <w:rPr>
          <w:rFonts w:hint="eastAsia"/>
          <w:kern w:val="0"/>
        </w:rPr>
        <w:t xml:space="preserve">After 20 mL </w:t>
      </w:r>
      <w:r>
        <w:rPr>
          <w:kern w:val="0"/>
        </w:rPr>
        <w:t>ultra</w:t>
      </w:r>
      <w:r>
        <w:rPr>
          <w:rFonts w:hint="eastAsia"/>
          <w:kern w:val="0"/>
        </w:rPr>
        <w:t>-</w:t>
      </w:r>
      <w:r>
        <w:rPr>
          <w:kern w:val="0"/>
        </w:rPr>
        <w:t>pure water</w:t>
      </w:r>
      <w:r>
        <w:rPr>
          <w:rFonts w:hint="eastAsia"/>
          <w:kern w:val="0"/>
        </w:rPr>
        <w:t xml:space="preserve"> was added into t</w:t>
      </w:r>
      <w:r>
        <w:rPr>
          <w:kern w:val="0"/>
        </w:rPr>
        <w:t xml:space="preserve">he </w:t>
      </w:r>
      <w:r>
        <w:rPr>
          <w:rFonts w:hint="eastAsia"/>
          <w:kern w:val="0"/>
        </w:rPr>
        <w:t xml:space="preserve">solid </w:t>
      </w:r>
      <w:r>
        <w:rPr>
          <w:kern w:val="0"/>
        </w:rPr>
        <w:t>residue</w:t>
      </w:r>
      <w:r>
        <w:rPr>
          <w:rFonts w:hint="eastAsia"/>
          <w:kern w:val="0"/>
        </w:rPr>
        <w:t xml:space="preserve">, it was </w:t>
      </w:r>
      <w:r>
        <w:rPr>
          <w:kern w:val="0"/>
        </w:rPr>
        <w:t>shake</w:t>
      </w:r>
      <w:r>
        <w:rPr>
          <w:rFonts w:hint="eastAsia"/>
          <w:kern w:val="0"/>
        </w:rPr>
        <w:t>n</w:t>
      </w:r>
      <w:r>
        <w:rPr>
          <w:kern w:val="0"/>
        </w:rPr>
        <w:t xml:space="preserve"> for 15 min and centrifuged, then the supernatant</w:t>
      </w:r>
      <w:r>
        <w:rPr>
          <w:rFonts w:hint="eastAsia"/>
          <w:kern w:val="0"/>
        </w:rPr>
        <w:t xml:space="preserve"> was </w:t>
      </w:r>
      <w:r>
        <w:rPr>
          <w:kern w:val="0"/>
        </w:rPr>
        <w:t>discarded.</w:t>
      </w:r>
    </w:p>
    <w:p>
      <w:pPr>
        <w:keepNext w:val="0"/>
        <w:keepLines w:val="0"/>
        <w:pageBreakBefore w:val="0"/>
        <w:widowControl w:val="0"/>
        <w:kinsoku/>
        <w:wordWrap/>
        <w:overflowPunct/>
        <w:topLinePunct w:val="0"/>
        <w:autoSpaceDE/>
        <w:autoSpaceDN/>
        <w:bidi w:val="0"/>
        <w:adjustRightInd/>
        <w:snapToGrid/>
        <w:spacing w:line="456" w:lineRule="auto"/>
        <w:textAlignment w:val="auto"/>
        <w:outlineLvl w:val="9"/>
        <w:rPr>
          <w:kern w:val="0"/>
        </w:rPr>
      </w:pPr>
      <w:r>
        <w:rPr>
          <w:kern w:val="0"/>
        </w:rPr>
        <w:t>Step 2 (</w:t>
      </w:r>
      <w:r>
        <w:rPr>
          <w:rFonts w:hint="eastAsia"/>
          <w:kern w:val="0"/>
        </w:rPr>
        <w:t>R</w:t>
      </w:r>
      <w:r>
        <w:rPr>
          <w:kern w:val="0"/>
        </w:rPr>
        <w:t xml:space="preserve">educible state): A 32 mL </w:t>
      </w:r>
      <w:r>
        <w:rPr>
          <w:rFonts w:hint="eastAsia"/>
          <w:kern w:val="0"/>
        </w:rPr>
        <w:t xml:space="preserve">solution </w:t>
      </w:r>
      <w:r>
        <w:rPr>
          <w:kern w:val="0"/>
        </w:rPr>
        <w:t xml:space="preserve">of 0.5 mol/L </w:t>
      </w:r>
      <w:r>
        <w:rPr>
          <w:rFonts w:hint="eastAsia"/>
          <w:kern w:val="0"/>
        </w:rPr>
        <w:t>HO</w:t>
      </w:r>
      <w:r>
        <w:rPr>
          <w:kern w:val="0"/>
        </w:rPr>
        <w:t>NH</w:t>
      </w:r>
      <w:r>
        <w:rPr>
          <w:kern w:val="0"/>
          <w:vertAlign w:val="subscript"/>
        </w:rPr>
        <w:t>2</w:t>
      </w:r>
      <w:r>
        <w:rPr>
          <w:kern w:val="0"/>
        </w:rPr>
        <w:t xml:space="preserve">HCl </w:t>
      </w:r>
      <w:r>
        <w:rPr>
          <w:rFonts w:hint="eastAsia"/>
          <w:kern w:val="0"/>
        </w:rPr>
        <w:t xml:space="preserve">was added into </w:t>
      </w:r>
      <w:r>
        <w:rPr>
          <w:kern w:val="0"/>
        </w:rPr>
        <w:t>to the residue of Step 1</w:t>
      </w:r>
      <w:r>
        <w:rPr>
          <w:rFonts w:hint="eastAsia"/>
          <w:kern w:val="0"/>
        </w:rPr>
        <w:t xml:space="preserve"> and the pH value of solution was</w:t>
      </w:r>
      <w:r>
        <w:rPr>
          <w:kern w:val="0"/>
        </w:rPr>
        <w:t xml:space="preserve"> </w:t>
      </w:r>
      <w:r>
        <w:rPr>
          <w:rFonts w:hint="eastAsia"/>
          <w:kern w:val="0"/>
        </w:rPr>
        <w:t>a</w:t>
      </w:r>
      <w:r>
        <w:rPr>
          <w:kern w:val="0"/>
        </w:rPr>
        <w:t>djusted to 2 with 2 mol/L HNO</w:t>
      </w:r>
      <w:r>
        <w:rPr>
          <w:kern w:val="0"/>
          <w:vertAlign w:val="subscript"/>
        </w:rPr>
        <w:t>3</w:t>
      </w:r>
      <w:r>
        <w:rPr>
          <w:rFonts w:hint="eastAsia"/>
          <w:kern w:val="0"/>
        </w:rPr>
        <w:t>. It was</w:t>
      </w:r>
      <w:r>
        <w:rPr>
          <w:kern w:val="0"/>
        </w:rPr>
        <w:t xml:space="preserve"> shake</w:t>
      </w:r>
      <w:r>
        <w:rPr>
          <w:rFonts w:hint="eastAsia"/>
          <w:kern w:val="0"/>
        </w:rPr>
        <w:t>n</w:t>
      </w:r>
      <w:r>
        <w:rPr>
          <w:kern w:val="0"/>
        </w:rPr>
        <w:t xml:space="preserve"> for 16 h</w:t>
      </w:r>
      <w:r>
        <w:rPr>
          <w:rFonts w:hint="eastAsia"/>
          <w:kern w:val="0"/>
        </w:rPr>
        <w:t xml:space="preserve"> </w:t>
      </w:r>
      <w:r>
        <w:rPr>
          <w:kern w:val="0"/>
        </w:rPr>
        <w:t xml:space="preserve">at room temperature, </w:t>
      </w:r>
      <w:r>
        <w:rPr>
          <w:rFonts w:hint="eastAsia"/>
          <w:kern w:val="0"/>
        </w:rPr>
        <w:t xml:space="preserve">then </w:t>
      </w:r>
      <w:r>
        <w:rPr>
          <w:kern w:val="0"/>
        </w:rPr>
        <w:t>centrifuged</w:t>
      </w:r>
      <w:r>
        <w:rPr>
          <w:rFonts w:hint="eastAsia"/>
          <w:kern w:val="0"/>
        </w:rPr>
        <w:t xml:space="preserve"> with the method above.</w:t>
      </w:r>
      <w:r>
        <w:rPr>
          <w:kern w:val="0"/>
        </w:rPr>
        <w:t xml:space="preserve"> </w:t>
      </w:r>
      <w:r>
        <w:rPr>
          <w:rFonts w:hint="eastAsia"/>
          <w:kern w:val="0"/>
        </w:rPr>
        <w:t>T</w:t>
      </w:r>
      <w:r>
        <w:rPr>
          <w:kern w:val="0"/>
        </w:rPr>
        <w:t xml:space="preserve">he </w:t>
      </w:r>
      <w:r>
        <w:rPr>
          <w:rFonts w:hint="eastAsia"/>
          <w:kern w:val="0"/>
        </w:rPr>
        <w:t xml:space="preserve">treatment of the </w:t>
      </w:r>
      <w:r>
        <w:rPr>
          <w:kern w:val="0"/>
        </w:rPr>
        <w:t>supernatant</w:t>
      </w:r>
      <w:r>
        <w:rPr>
          <w:rFonts w:hint="eastAsia"/>
          <w:kern w:val="0"/>
        </w:rPr>
        <w:t xml:space="preserve"> and residual was same to the description above.</w:t>
      </w:r>
      <w:r>
        <w:rPr>
          <w:kern w:val="0"/>
        </w:rPr>
        <w:t xml:space="preserve"> </w:t>
      </w:r>
    </w:p>
    <w:p>
      <w:pPr>
        <w:keepNext w:val="0"/>
        <w:keepLines w:val="0"/>
        <w:pageBreakBefore w:val="0"/>
        <w:widowControl w:val="0"/>
        <w:kinsoku/>
        <w:wordWrap/>
        <w:overflowPunct/>
        <w:topLinePunct w:val="0"/>
        <w:autoSpaceDE/>
        <w:autoSpaceDN/>
        <w:bidi w:val="0"/>
        <w:adjustRightInd/>
        <w:snapToGrid/>
        <w:spacing w:line="456" w:lineRule="auto"/>
        <w:textAlignment w:val="auto"/>
        <w:outlineLvl w:val="9"/>
        <w:rPr>
          <w:kern w:val="0"/>
        </w:rPr>
      </w:pPr>
      <w:r>
        <w:rPr>
          <w:kern w:val="0"/>
        </w:rPr>
        <w:t xml:space="preserve">Step 3 (Oxidizable state): A 10 mL </w:t>
      </w:r>
      <w:r>
        <w:rPr>
          <w:rFonts w:hint="eastAsia"/>
          <w:kern w:val="0"/>
        </w:rPr>
        <w:t xml:space="preserve">solution of </w:t>
      </w:r>
      <w:r>
        <w:rPr>
          <w:kern w:val="0"/>
        </w:rPr>
        <w:t>30% H</w:t>
      </w:r>
      <w:r>
        <w:rPr>
          <w:kern w:val="0"/>
          <w:vertAlign w:val="subscript"/>
        </w:rPr>
        <w:t>2</w:t>
      </w:r>
      <w:r>
        <w:rPr>
          <w:kern w:val="0"/>
        </w:rPr>
        <w:t>O</w:t>
      </w:r>
      <w:r>
        <w:rPr>
          <w:kern w:val="0"/>
          <w:vertAlign w:val="subscript"/>
        </w:rPr>
        <w:t xml:space="preserve">2 </w:t>
      </w:r>
      <w:r>
        <w:rPr>
          <w:rFonts w:hint="eastAsia"/>
          <w:kern w:val="0"/>
        </w:rPr>
        <w:t>was added in</w:t>
      </w:r>
      <w:r>
        <w:rPr>
          <w:kern w:val="0"/>
        </w:rPr>
        <w:t xml:space="preserve">to the residue of Step 2 </w:t>
      </w:r>
      <w:r>
        <w:rPr>
          <w:rFonts w:hint="eastAsia"/>
          <w:kern w:val="0"/>
        </w:rPr>
        <w:t xml:space="preserve">and the pH value of solution was </w:t>
      </w:r>
      <w:r>
        <w:rPr>
          <w:kern w:val="0"/>
        </w:rPr>
        <w:t>adjust</w:t>
      </w:r>
      <w:r>
        <w:rPr>
          <w:rFonts w:hint="eastAsia"/>
          <w:kern w:val="0"/>
        </w:rPr>
        <w:t>ed to</w:t>
      </w:r>
      <w:r>
        <w:rPr>
          <w:kern w:val="0"/>
        </w:rPr>
        <w:t xml:space="preserve"> 2</w:t>
      </w:r>
      <w:r>
        <w:rPr>
          <w:rFonts w:hint="eastAsia"/>
          <w:kern w:val="0"/>
        </w:rPr>
        <w:t>-</w:t>
      </w:r>
      <w:r>
        <w:rPr>
          <w:kern w:val="0"/>
        </w:rPr>
        <w:t>3 with HNO</w:t>
      </w:r>
      <w:r>
        <w:rPr>
          <w:kern w:val="0"/>
          <w:vertAlign w:val="subscript"/>
        </w:rPr>
        <w:t>3</w:t>
      </w:r>
      <w:r>
        <w:rPr>
          <w:rFonts w:hint="eastAsia"/>
          <w:kern w:val="0"/>
        </w:rPr>
        <w:t>.</w:t>
      </w:r>
      <w:r>
        <w:rPr>
          <w:kern w:val="0"/>
        </w:rPr>
        <w:t xml:space="preserve"> </w:t>
      </w:r>
      <w:r>
        <w:rPr>
          <w:rFonts w:hint="eastAsia"/>
          <w:kern w:val="0"/>
        </w:rPr>
        <w:t xml:space="preserve">It was </w:t>
      </w:r>
      <w:r>
        <w:rPr>
          <w:kern w:val="0"/>
        </w:rPr>
        <w:t>digested for 1 h</w:t>
      </w:r>
      <w:r>
        <w:rPr>
          <w:rFonts w:hint="eastAsia"/>
          <w:kern w:val="0"/>
        </w:rPr>
        <w:t xml:space="preserve"> </w:t>
      </w:r>
      <w:r>
        <w:rPr>
          <w:kern w:val="0"/>
        </w:rPr>
        <w:t xml:space="preserve">at room temperature, occasionally </w:t>
      </w:r>
      <w:r>
        <w:rPr>
          <w:rFonts w:hint="eastAsia"/>
          <w:kern w:val="0"/>
        </w:rPr>
        <w:t>shaken</w:t>
      </w:r>
      <w:r>
        <w:rPr>
          <w:kern w:val="0"/>
        </w:rPr>
        <w:t>, then heated to 85 °C for 1 h in water bath</w:t>
      </w:r>
      <w:r>
        <w:rPr>
          <w:rFonts w:hint="eastAsia"/>
          <w:kern w:val="0"/>
        </w:rPr>
        <w:t>.</w:t>
      </w:r>
      <w:r>
        <w:rPr>
          <w:kern w:val="0"/>
        </w:rPr>
        <w:t xml:space="preserve"> </w:t>
      </w:r>
      <w:r>
        <w:rPr>
          <w:rFonts w:hint="eastAsia"/>
          <w:kern w:val="0"/>
        </w:rPr>
        <w:t>After a</w:t>
      </w:r>
      <w:r>
        <w:rPr>
          <w:kern w:val="0"/>
        </w:rPr>
        <w:t xml:space="preserve"> 50 mL</w:t>
      </w:r>
      <w:r>
        <w:rPr>
          <w:rFonts w:hint="eastAsia"/>
          <w:kern w:val="0"/>
        </w:rPr>
        <w:t xml:space="preserve"> solution of</w:t>
      </w:r>
      <w:r>
        <w:rPr>
          <w:kern w:val="0"/>
        </w:rPr>
        <w:t xml:space="preserve"> 1.0 mol/L CH</w:t>
      </w:r>
      <w:r>
        <w:rPr>
          <w:kern w:val="0"/>
          <w:vertAlign w:val="subscript"/>
        </w:rPr>
        <w:t>3</w:t>
      </w:r>
      <w:r>
        <w:rPr>
          <w:kern w:val="0"/>
        </w:rPr>
        <w:t>COONH</w:t>
      </w:r>
      <w:r>
        <w:rPr>
          <w:kern w:val="0"/>
          <w:vertAlign w:val="subscript"/>
        </w:rPr>
        <w:t>4</w:t>
      </w:r>
      <w:r>
        <w:rPr>
          <w:kern w:val="0"/>
        </w:rPr>
        <w:t xml:space="preserve"> (</w:t>
      </w:r>
      <w:r>
        <w:rPr>
          <w:rFonts w:hint="eastAsia"/>
          <w:kern w:val="0"/>
        </w:rPr>
        <w:t xml:space="preserve">the </w:t>
      </w:r>
      <w:r>
        <w:rPr>
          <w:kern w:val="0"/>
        </w:rPr>
        <w:t xml:space="preserve">pH </w:t>
      </w:r>
      <w:r>
        <w:rPr>
          <w:rFonts w:hint="eastAsia"/>
          <w:kern w:val="0"/>
        </w:rPr>
        <w:t>of solution was adjusted to</w:t>
      </w:r>
      <w:r>
        <w:rPr>
          <w:kern w:val="0"/>
        </w:rPr>
        <w:t xml:space="preserve"> 2 with HNO</w:t>
      </w:r>
      <w:r>
        <w:rPr>
          <w:kern w:val="0"/>
          <w:vertAlign w:val="subscript"/>
        </w:rPr>
        <w:t>3</w:t>
      </w:r>
      <w:r>
        <w:rPr>
          <w:kern w:val="0"/>
        </w:rPr>
        <w:t>)</w:t>
      </w:r>
      <w:r>
        <w:rPr>
          <w:rFonts w:hint="eastAsia"/>
          <w:kern w:val="0"/>
        </w:rPr>
        <w:t xml:space="preserve"> was added, it was</w:t>
      </w:r>
      <w:r>
        <w:rPr>
          <w:kern w:val="0"/>
        </w:rPr>
        <w:t xml:space="preserve"> shake</w:t>
      </w:r>
      <w:r>
        <w:rPr>
          <w:rFonts w:hint="eastAsia"/>
          <w:kern w:val="0"/>
        </w:rPr>
        <w:t>n</w:t>
      </w:r>
      <w:r>
        <w:rPr>
          <w:kern w:val="0"/>
        </w:rPr>
        <w:t xml:space="preserve"> for 16 h</w:t>
      </w:r>
      <w:r>
        <w:rPr>
          <w:rFonts w:hint="eastAsia"/>
          <w:kern w:val="0"/>
        </w:rPr>
        <w:t xml:space="preserve"> </w:t>
      </w:r>
      <w:r>
        <w:rPr>
          <w:kern w:val="0"/>
        </w:rPr>
        <w:t>at room temperature</w:t>
      </w:r>
      <w:r>
        <w:rPr>
          <w:rFonts w:hint="eastAsia"/>
          <w:kern w:val="0"/>
        </w:rPr>
        <w:t>,</w:t>
      </w:r>
      <w:r>
        <w:rPr>
          <w:kern w:val="0"/>
        </w:rPr>
        <w:t xml:space="preserve"> then centrifuged</w:t>
      </w:r>
      <w:r>
        <w:rPr>
          <w:rFonts w:hint="eastAsia"/>
          <w:kern w:val="0"/>
        </w:rPr>
        <w:t xml:space="preserve"> with the method above.</w:t>
      </w:r>
      <w:r>
        <w:rPr>
          <w:kern w:val="0"/>
        </w:rPr>
        <w:t xml:space="preserve"> </w:t>
      </w:r>
      <w:r>
        <w:rPr>
          <w:rFonts w:hint="eastAsia"/>
          <w:kern w:val="0"/>
        </w:rPr>
        <w:t>The process was repeated. T</w:t>
      </w:r>
      <w:r>
        <w:rPr>
          <w:kern w:val="0"/>
        </w:rPr>
        <w:t xml:space="preserve">he </w:t>
      </w:r>
      <w:r>
        <w:rPr>
          <w:rFonts w:hint="eastAsia"/>
          <w:kern w:val="0"/>
        </w:rPr>
        <w:t xml:space="preserve">treatment of the </w:t>
      </w:r>
      <w:r>
        <w:rPr>
          <w:kern w:val="0"/>
        </w:rPr>
        <w:t>supernatant</w:t>
      </w:r>
      <w:r>
        <w:rPr>
          <w:rFonts w:hint="eastAsia"/>
          <w:kern w:val="0"/>
        </w:rPr>
        <w:t xml:space="preserve"> and residual was same to the description above.</w:t>
      </w:r>
      <w:r>
        <w:rPr>
          <w:kern w:val="0"/>
        </w:rPr>
        <w:t xml:space="preserve"> </w:t>
      </w:r>
    </w:p>
    <w:p>
      <w:pPr>
        <w:keepNext w:val="0"/>
        <w:keepLines w:val="0"/>
        <w:pageBreakBefore w:val="0"/>
        <w:widowControl w:val="0"/>
        <w:kinsoku/>
        <w:wordWrap/>
        <w:overflowPunct/>
        <w:topLinePunct w:val="0"/>
        <w:autoSpaceDE/>
        <w:autoSpaceDN/>
        <w:bidi w:val="0"/>
        <w:adjustRightInd/>
        <w:snapToGrid/>
        <w:spacing w:line="456" w:lineRule="auto"/>
        <w:textAlignment w:val="auto"/>
        <w:outlineLvl w:val="9"/>
        <w:rPr>
          <w:kern w:val="0"/>
        </w:rPr>
      </w:pPr>
      <w:r>
        <w:rPr>
          <w:kern w:val="0"/>
        </w:rPr>
        <w:t>Step 4 (</w:t>
      </w:r>
      <w:r>
        <w:rPr>
          <w:rFonts w:hint="eastAsia"/>
          <w:kern w:val="0"/>
        </w:rPr>
        <w:t>R</w:t>
      </w:r>
      <w:r>
        <w:rPr>
          <w:kern w:val="0"/>
        </w:rPr>
        <w:t xml:space="preserve">esidual state): </w:t>
      </w:r>
      <w:r>
        <w:rPr>
          <w:rFonts w:hint="eastAsia"/>
          <w:kern w:val="0"/>
        </w:rPr>
        <w:t>T</w:t>
      </w:r>
      <w:r>
        <w:rPr>
          <w:kern w:val="0"/>
        </w:rPr>
        <w:t>he residue of Step 3</w:t>
      </w:r>
      <w:r>
        <w:rPr>
          <w:rFonts w:hint="eastAsia"/>
          <w:kern w:val="0"/>
        </w:rPr>
        <w:t xml:space="preserve"> was treated by concentrated </w:t>
      </w:r>
      <w:r>
        <w:rPr>
          <w:kern w:val="0"/>
        </w:rPr>
        <w:t>HF, HNO</w:t>
      </w:r>
      <w:r>
        <w:rPr>
          <w:kern w:val="0"/>
          <w:vertAlign w:val="subscript"/>
        </w:rPr>
        <w:t>3</w:t>
      </w:r>
      <w:r>
        <w:rPr>
          <w:rFonts w:hint="eastAsia"/>
          <w:kern w:val="0"/>
        </w:rPr>
        <w:t xml:space="preserve"> </w:t>
      </w:r>
      <w:r>
        <w:rPr>
          <w:kern w:val="0"/>
        </w:rPr>
        <w:t>and HClO</w:t>
      </w:r>
      <w:r>
        <w:rPr>
          <w:kern w:val="0"/>
          <w:vertAlign w:val="subscript"/>
        </w:rPr>
        <w:t>4</w:t>
      </w:r>
      <w:r>
        <w:rPr>
          <w:kern w:val="0"/>
        </w:rPr>
        <w:t xml:space="preserve">. </w:t>
      </w:r>
      <w:r>
        <w:rPr>
          <w:rFonts w:hint="eastAsia"/>
          <w:kern w:val="0"/>
        </w:rPr>
        <w:t>The treatment process was same to the sample digestion above.</w:t>
      </w:r>
    </w:p>
    <w:p>
      <w:pPr>
        <w:autoSpaceDE w:val="0"/>
        <w:spacing w:line="480" w:lineRule="auto"/>
        <w:rPr>
          <w:b/>
          <w:bCs/>
          <w:kern w:val="0"/>
        </w:rPr>
      </w:pPr>
      <w:r>
        <w:rPr>
          <w:b/>
          <w:bCs/>
          <w:kern w:val="0"/>
        </w:rPr>
        <w:t xml:space="preserve">Text </w:t>
      </w:r>
      <w:r>
        <w:rPr>
          <w:rFonts w:hint="eastAsia"/>
          <w:b/>
          <w:bCs/>
          <w:kern w:val="0"/>
        </w:rPr>
        <w:t>3</w:t>
      </w:r>
      <w:r>
        <w:rPr>
          <w:b/>
          <w:bCs/>
          <w:kern w:val="0"/>
        </w:rPr>
        <w:t>. Instrument parameters</w:t>
      </w:r>
    </w:p>
    <w:p>
      <w:pPr>
        <w:autoSpaceDE w:val="0"/>
        <w:spacing w:line="480" w:lineRule="auto"/>
        <w:rPr>
          <w:kern w:val="0"/>
          <w:highlight w:val="yellow"/>
        </w:rPr>
      </w:pPr>
      <w:r>
        <w:rPr>
          <w:kern w:val="0"/>
        </w:rPr>
        <w:t xml:space="preserve">The concentration and speciation of heavy metals were measured by ICP-AES. High purity (99.9%) argon </w:t>
      </w:r>
      <w:r>
        <w:rPr>
          <w:rFonts w:hint="eastAsia"/>
          <w:kern w:val="0"/>
        </w:rPr>
        <w:t>wa</w:t>
      </w:r>
      <w:r>
        <w:rPr>
          <w:kern w:val="0"/>
        </w:rPr>
        <w:t xml:space="preserve">s used as carrier gas, the partial pressure </w:t>
      </w:r>
      <w:r>
        <w:rPr>
          <w:rFonts w:hint="eastAsia"/>
          <w:kern w:val="0"/>
        </w:rPr>
        <w:t>was</w:t>
      </w:r>
      <w:r>
        <w:rPr>
          <w:kern w:val="0"/>
        </w:rPr>
        <w:t xml:space="preserve"> maintained at 0.7~1.0 MPa, and the optical chamber temperature </w:t>
      </w:r>
      <w:r>
        <w:rPr>
          <w:rFonts w:hint="eastAsia"/>
          <w:kern w:val="0"/>
        </w:rPr>
        <w:t>wa</w:t>
      </w:r>
      <w:r>
        <w:rPr>
          <w:kern w:val="0"/>
        </w:rPr>
        <w:t>s stable to 15 ± 0.1 ℃. The standard curve was constructed with the standard gradients 0, 0.1, 0.5, 1, 2, 4, 8, 10 and 20 mg/L (</w:t>
      </w:r>
      <w:r>
        <w:rPr>
          <w:rFonts w:hint="eastAsia"/>
          <w:kern w:val="0"/>
        </w:rPr>
        <w:t>external standards dissolve into 5% HNO</w:t>
      </w:r>
      <w:r>
        <w:rPr>
          <w:rFonts w:hint="eastAsia"/>
          <w:kern w:val="0"/>
          <w:vertAlign w:val="subscript"/>
        </w:rPr>
        <w:t>3</w:t>
      </w:r>
      <w:r>
        <w:rPr>
          <w:kern w:val="0"/>
        </w:rPr>
        <w:t xml:space="preserve">). </w:t>
      </w:r>
      <w:r>
        <w:rPr>
          <w:rFonts w:hint="eastAsia"/>
          <w:kern w:val="0"/>
        </w:rPr>
        <w:t>E</w:t>
      </w:r>
      <w:r>
        <w:rPr>
          <w:kern w:val="0"/>
        </w:rPr>
        <w:t xml:space="preserve">ach sample </w:t>
      </w:r>
      <w:r>
        <w:rPr>
          <w:rFonts w:hint="eastAsia"/>
          <w:kern w:val="0"/>
        </w:rPr>
        <w:t>is</w:t>
      </w:r>
      <w:r>
        <w:rPr>
          <w:kern w:val="0"/>
        </w:rPr>
        <w:t xml:space="preserve"> measured three times</w:t>
      </w:r>
      <w:r>
        <w:rPr>
          <w:rFonts w:hint="eastAsia"/>
          <w:kern w:val="0"/>
        </w:rPr>
        <w:t>, t</w:t>
      </w:r>
      <w:r>
        <w:rPr>
          <w:kern w:val="0"/>
        </w:rPr>
        <w:t>he relative standard deviation (RSD) was less than 2%</w:t>
      </w:r>
      <w:r>
        <w:rPr>
          <w:rFonts w:hint="eastAsia"/>
          <w:kern w:val="0"/>
        </w:rPr>
        <w:t>,</w:t>
      </w:r>
      <w:r>
        <w:rPr>
          <w:kern w:val="0"/>
        </w:rPr>
        <w:t xml:space="preserve"> and the regression coefficient R</w:t>
      </w:r>
      <w:r>
        <w:rPr>
          <w:kern w:val="0"/>
          <w:vertAlign w:val="superscript"/>
        </w:rPr>
        <w:t>2</w:t>
      </w:r>
      <w:r>
        <w:rPr>
          <w:kern w:val="0"/>
        </w:rPr>
        <w:t xml:space="preserve"> was greater than 0.999. The spectral lines of heavy metals were Co (230.786), Cr (283.565), Cu (324.700), Cd (228.802), Mn (257.611), Ni (231.604), Pb (168.215), V (292.402), Zn (202.613) and Ba (455.404), with corresponding </w:t>
      </w:r>
      <w:r>
        <w:rPr>
          <w:rFonts w:hint="eastAsia"/>
          <w:kern w:val="0"/>
        </w:rPr>
        <w:t xml:space="preserve">instrumental </w:t>
      </w:r>
      <w:r>
        <w:rPr>
          <w:kern w:val="0"/>
        </w:rPr>
        <w:t>limit</w:t>
      </w:r>
      <w:r>
        <w:rPr>
          <w:rFonts w:hint="eastAsia"/>
          <w:kern w:val="0"/>
        </w:rPr>
        <w:t>s</w:t>
      </w:r>
      <w:r>
        <w:rPr>
          <w:kern w:val="0"/>
        </w:rPr>
        <w:t xml:space="preserve"> of detection (L</w:t>
      </w:r>
      <w:r>
        <w:rPr>
          <w:rFonts w:hint="eastAsia"/>
          <w:kern w:val="0"/>
        </w:rPr>
        <w:t>L</w:t>
      </w:r>
      <w:r>
        <w:rPr>
          <w:kern w:val="0"/>
        </w:rPr>
        <w:t>D</w:t>
      </w:r>
      <w:r>
        <w:rPr>
          <w:rFonts w:hint="eastAsia"/>
          <w:kern w:val="0"/>
        </w:rPr>
        <w:t>s</w:t>
      </w:r>
      <w:r>
        <w:rPr>
          <w:kern w:val="0"/>
        </w:rPr>
        <w:t>) 0.003, 0.004, 0.002, 0.001, 0.013, 0.003, 0.008, 0.001, 0.001, 0.001 mg/L, respectively.</w:t>
      </w:r>
    </w:p>
    <w:p>
      <w:pPr>
        <w:autoSpaceDE w:val="0"/>
        <w:spacing w:line="480" w:lineRule="auto"/>
        <w:rPr>
          <w:b/>
        </w:rPr>
      </w:pPr>
    </w:p>
    <w:p>
      <w:pPr>
        <w:autoSpaceDE w:val="0"/>
        <w:spacing w:line="480" w:lineRule="auto"/>
        <w:rPr>
          <w:b/>
        </w:rPr>
      </w:pPr>
      <w:r>
        <w:rPr>
          <w:rFonts w:hint="eastAsia"/>
          <w:b/>
        </w:rPr>
        <w:t>Text 4. PMF receptor model</w:t>
      </w:r>
    </w:p>
    <w:p>
      <w:pPr>
        <w:autoSpaceDE w:val="0"/>
        <w:spacing w:line="480" w:lineRule="auto"/>
        <w:rPr>
          <w:kern w:val="0"/>
        </w:rPr>
      </w:pPr>
      <w:r>
        <w:rPr>
          <w:kern w:val="0"/>
        </w:rPr>
        <w:t xml:space="preserve">PMF receptor model </w:t>
      </w:r>
      <w:r>
        <w:rPr>
          <w:rFonts w:hint="eastAsia"/>
          <w:kern w:val="0"/>
        </w:rPr>
        <w:t>is</w:t>
      </w:r>
      <w:r>
        <w:rPr>
          <w:kern w:val="0"/>
        </w:rPr>
        <w:t xml:space="preserve"> a good tool in apportioning the composition and contribution of </w:t>
      </w:r>
      <w:r>
        <w:rPr>
          <w:rFonts w:hint="eastAsia"/>
          <w:kern w:val="0"/>
        </w:rPr>
        <w:t xml:space="preserve">heavy metal </w:t>
      </w:r>
      <w:r>
        <w:rPr>
          <w:kern w:val="0"/>
        </w:rPr>
        <w:t>source</w:t>
      </w:r>
      <w:r>
        <w:rPr>
          <w:rFonts w:hint="eastAsia"/>
          <w:kern w:val="0"/>
        </w:rPr>
        <w:t>s</w:t>
      </w:r>
      <w:r>
        <w:rPr>
          <w:kern w:val="0"/>
        </w:rPr>
        <w:t xml:space="preserve"> in urban road dust</w:t>
      </w:r>
      <w:r>
        <w:rPr>
          <w:color w:val="0000FF"/>
          <w:kern w:val="0"/>
        </w:rPr>
        <w:t xml:space="preserve"> (Men et al</w:t>
      </w:r>
      <w:r>
        <w:rPr>
          <w:rFonts w:hint="eastAsia"/>
          <w:color w:val="0000FF"/>
          <w:kern w:val="0"/>
          <w:lang w:eastAsia="zh-CN"/>
        </w:rPr>
        <w:t>.</w:t>
      </w:r>
      <w:r>
        <w:rPr>
          <w:color w:val="0000FF"/>
          <w:kern w:val="0"/>
        </w:rPr>
        <w:t xml:space="preserve"> 2018)</w:t>
      </w:r>
      <w:r>
        <w:rPr>
          <w:kern w:val="0"/>
        </w:rPr>
        <w:t xml:space="preserve">. </w:t>
      </w:r>
      <w:r>
        <w:rPr>
          <w:rFonts w:hint="eastAsia"/>
          <w:kern w:val="0"/>
        </w:rPr>
        <w:t>The PMF model</w:t>
      </w:r>
      <w:r>
        <w:rPr>
          <w:kern w:val="0"/>
        </w:rPr>
        <w:t xml:space="preserve"> can be described </w:t>
      </w:r>
      <w:r>
        <w:rPr>
          <w:rFonts w:hint="eastAsia"/>
          <w:kern w:val="0"/>
        </w:rPr>
        <w:t xml:space="preserve">by equation 1 </w:t>
      </w:r>
      <w:r>
        <w:rPr>
          <w:color w:val="0000FF"/>
        </w:rPr>
        <w:t>(</w:t>
      </w:r>
      <w:r>
        <w:rPr>
          <w:rFonts w:eastAsia="Georgia"/>
          <w:color w:val="0000FF"/>
          <w:spacing w:val="1"/>
          <w:kern w:val="0"/>
          <w:shd w:val="clear" w:color="auto" w:fill="FFFFFF"/>
        </w:rPr>
        <w:t xml:space="preserve">Hopke </w:t>
      </w:r>
      <w:r>
        <w:fldChar w:fldCharType="begin"/>
      </w:r>
      <w:r>
        <w:instrText xml:space="preserve"> HYPERLINK \l "CR7" \o "View reference" </w:instrText>
      </w:r>
      <w:r>
        <w:fldChar w:fldCharType="separate"/>
      </w:r>
      <w:r>
        <w:rPr>
          <w:rStyle w:val="6"/>
          <w:spacing w:val="1"/>
          <w:shd w:val="clear" w:color="auto" w:fill="FFFFFF"/>
        </w:rPr>
        <w:t>2003</w:t>
      </w:r>
      <w:r>
        <w:rPr>
          <w:rStyle w:val="6"/>
          <w:spacing w:val="1"/>
          <w:shd w:val="clear" w:color="auto" w:fill="FFFFFF"/>
        </w:rPr>
        <w:fldChar w:fldCharType="end"/>
      </w:r>
      <w:r>
        <w:rPr>
          <w:rFonts w:eastAsia="Source Sans Pro"/>
          <w:color w:val="0000FF"/>
          <w:spacing w:val="1"/>
          <w:shd w:val="clear" w:color="auto" w:fill="FFFFFF"/>
        </w:rPr>
        <w:t>; Manousakas et al</w:t>
      </w:r>
      <w:r>
        <w:rPr>
          <w:rFonts w:hint="eastAsia"/>
          <w:color w:val="0000FF"/>
          <w:spacing w:val="1"/>
          <w:shd w:val="clear" w:color="auto" w:fill="FFFFFF"/>
          <w:lang w:eastAsia="zh-CN"/>
        </w:rPr>
        <w:t>.</w:t>
      </w:r>
      <w:r>
        <w:rPr>
          <w:rFonts w:eastAsia="Source Sans Pro"/>
          <w:color w:val="0000FF"/>
          <w:spacing w:val="1"/>
          <w:shd w:val="clear" w:color="auto" w:fill="FFFFFF"/>
        </w:rPr>
        <w:t xml:space="preserve"> 2017</w:t>
      </w:r>
      <w:r>
        <w:rPr>
          <w:color w:val="0000FF"/>
        </w:rPr>
        <w:t>)</w:t>
      </w:r>
      <w:r>
        <w:t>.</w:t>
      </w:r>
    </w:p>
    <w:p>
      <w:pPr>
        <w:autoSpaceDE w:val="0"/>
        <w:spacing w:line="480" w:lineRule="auto"/>
        <w:rPr>
          <w:color w:val="000000"/>
        </w:rPr>
      </w:pPr>
      <w:r>
        <w:drawing>
          <wp:inline distT="0" distB="0" distL="0" distR="0">
            <wp:extent cx="1454785" cy="278130"/>
            <wp:effectExtent l="0" t="0" r="0" b="7620"/>
            <wp:docPr id="12" name="图片 12" descr="C:\Users\DKY-WLJ\AppData\Local\Temp\ksohtml13608\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DKY-WLJ\AppData\Local\Temp\ksohtml13608\wps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454785" cy="278130"/>
                    </a:xfrm>
                    <a:prstGeom prst="rect">
                      <a:avLst/>
                    </a:prstGeom>
                    <a:noFill/>
                    <a:ln>
                      <a:noFill/>
                    </a:ln>
                  </pic:spPr>
                </pic:pic>
              </a:graphicData>
            </a:graphic>
          </wp:inline>
        </w:drawing>
      </w:r>
      <w:r>
        <w:rPr>
          <w:color w:val="000000"/>
        </w:rPr>
        <w:t xml:space="preserve">                                         </w:t>
      </w:r>
      <w:r>
        <w:rPr>
          <w:rFonts w:hint="eastAsia"/>
          <w:color w:val="000000"/>
        </w:rPr>
        <w:t xml:space="preserve"> </w:t>
      </w:r>
      <w:r>
        <w:rPr>
          <w:color w:val="000000"/>
        </w:rPr>
        <w:t xml:space="preserve">  </w:t>
      </w:r>
      <w:r>
        <w:rPr>
          <w:rFonts w:hint="eastAsia"/>
          <w:color w:val="000000"/>
        </w:rPr>
        <w:t xml:space="preserve"> </w:t>
      </w:r>
      <w:r>
        <w:rPr>
          <w:color w:val="000000"/>
        </w:rPr>
        <w:t xml:space="preserve"> (</w:t>
      </w:r>
      <w:r>
        <w:rPr>
          <w:rFonts w:hint="eastAsia"/>
          <w:color w:val="000000"/>
        </w:rPr>
        <w:t>1</w:t>
      </w:r>
      <w:r>
        <w:rPr>
          <w:color w:val="000000"/>
        </w:rPr>
        <w:t xml:space="preserve">)   </w:t>
      </w:r>
    </w:p>
    <w:p>
      <w:pPr>
        <w:autoSpaceDE w:val="0"/>
        <w:spacing w:line="480" w:lineRule="auto"/>
        <w:rPr>
          <w:color w:val="505050"/>
        </w:rPr>
      </w:pPr>
      <w:r>
        <w:rPr>
          <w:kern w:val="0"/>
        </w:rPr>
        <w:t>where, x</w:t>
      </w:r>
      <w:r>
        <w:rPr>
          <w:kern w:val="0"/>
          <w:vertAlign w:val="subscript"/>
        </w:rPr>
        <w:t>ij</w:t>
      </w:r>
      <w:r>
        <w:rPr>
          <w:kern w:val="0"/>
        </w:rPr>
        <w:t xml:space="preserve"> is the concentration of the ith species measured in the jth sample, f</w:t>
      </w:r>
      <w:r>
        <w:rPr>
          <w:kern w:val="0"/>
          <w:vertAlign w:val="subscript"/>
        </w:rPr>
        <w:t>kj</w:t>
      </w:r>
      <w:r>
        <w:rPr>
          <w:kern w:val="0"/>
        </w:rPr>
        <w:t xml:space="preserve"> is the contribution of the kth source to the jth sample, g</w:t>
      </w:r>
      <w:r>
        <w:rPr>
          <w:kern w:val="0"/>
          <w:vertAlign w:val="subscript"/>
        </w:rPr>
        <w:t>ik</w:t>
      </w:r>
      <w:r>
        <w:rPr>
          <w:kern w:val="0"/>
        </w:rPr>
        <w:t xml:space="preserve"> is the concentration of the ith species from the kth source, and e</w:t>
      </w:r>
      <w:r>
        <w:rPr>
          <w:kern w:val="0"/>
          <w:vertAlign w:val="subscript"/>
        </w:rPr>
        <w:t xml:space="preserve">ij </w:t>
      </w:r>
      <w:r>
        <w:rPr>
          <w:kern w:val="0"/>
        </w:rPr>
        <w:t xml:space="preserve">is the error. </w:t>
      </w:r>
      <w:r>
        <w:t>In the PMF model,</w:t>
      </w:r>
      <w:r>
        <w:rPr>
          <w:color w:val="505050"/>
        </w:rPr>
        <w:t xml:space="preserve"> </w:t>
      </w:r>
      <w:r>
        <w:t xml:space="preserve">factor matrix is calculated under non-negative constraint condition, which means that all the results are positive. The composition and contribution of </w:t>
      </w:r>
      <w:r>
        <w:rPr>
          <w:kern w:val="0"/>
        </w:rPr>
        <w:t>each source are derived from the PMF model by minimizing the sum of an ‘object function’ Q calculated by equation</w:t>
      </w:r>
      <w:r>
        <w:rPr>
          <w:rFonts w:hint="eastAsia"/>
          <w:kern w:val="0"/>
        </w:rPr>
        <w:t xml:space="preserve"> 2</w:t>
      </w:r>
      <w:r>
        <w:rPr>
          <w:kern w:val="0"/>
        </w:rPr>
        <w:t xml:space="preserve"> </w:t>
      </w:r>
      <w:r>
        <w:rPr>
          <w:color w:val="0000FF"/>
        </w:rPr>
        <w:t>(</w:t>
      </w:r>
      <w:r>
        <w:rPr>
          <w:color w:val="0000FF"/>
          <w:kern w:val="0"/>
        </w:rPr>
        <w:t>Norris and Henry, 2014; Kim and Hopke, 2007</w:t>
      </w:r>
      <w:r>
        <w:rPr>
          <w:color w:val="0000FF"/>
        </w:rPr>
        <w:t>)</w:t>
      </w:r>
      <w:r>
        <w:t>.</w:t>
      </w:r>
    </w:p>
    <w:p>
      <w:pPr>
        <w:autoSpaceDE w:val="0"/>
        <w:spacing w:line="480" w:lineRule="auto"/>
        <w:rPr>
          <w:color w:val="000000"/>
        </w:rPr>
      </w:pPr>
      <w:r>
        <w:drawing>
          <wp:inline distT="0" distB="0" distL="0" distR="0">
            <wp:extent cx="1288415" cy="405765"/>
            <wp:effectExtent l="0" t="0" r="6985" b="0"/>
            <wp:docPr id="11" name="图片 11" descr="C:\Users\DKY-WLJ\AppData\Local\Temp\ksohtml13608\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DKY-WLJ\AppData\Local\Temp\ksohtml13608\wps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288415" cy="405765"/>
                    </a:xfrm>
                    <a:prstGeom prst="rect">
                      <a:avLst/>
                    </a:prstGeom>
                    <a:noFill/>
                    <a:ln>
                      <a:noFill/>
                    </a:ln>
                  </pic:spPr>
                </pic:pic>
              </a:graphicData>
            </a:graphic>
          </wp:inline>
        </w:drawing>
      </w:r>
      <w:r>
        <w:rPr>
          <w:color w:val="000000"/>
        </w:rPr>
        <w:t xml:space="preserve">                                              </w:t>
      </w:r>
      <w:r>
        <w:rPr>
          <w:rFonts w:hint="eastAsia"/>
          <w:color w:val="000000"/>
        </w:rPr>
        <w:t xml:space="preserve"> </w:t>
      </w:r>
      <w:r>
        <w:rPr>
          <w:color w:val="000000"/>
        </w:rPr>
        <w:t xml:space="preserve">   (</w:t>
      </w:r>
      <w:r>
        <w:rPr>
          <w:rFonts w:hint="eastAsia"/>
          <w:color w:val="000000"/>
        </w:rPr>
        <w:t>2</w:t>
      </w:r>
      <w:r>
        <w:rPr>
          <w:color w:val="000000"/>
        </w:rPr>
        <w:t>)</w:t>
      </w:r>
    </w:p>
    <w:p>
      <w:pPr>
        <w:autoSpaceDE w:val="0"/>
        <w:spacing w:line="480" w:lineRule="auto"/>
        <w:rPr>
          <w:kern w:val="0"/>
        </w:rPr>
      </w:pPr>
      <w:r>
        <w:rPr>
          <w:kern w:val="0"/>
        </w:rPr>
        <w:t>where, u</w:t>
      </w:r>
      <w:r>
        <w:rPr>
          <w:kern w:val="0"/>
          <w:vertAlign w:val="subscript"/>
        </w:rPr>
        <w:t xml:space="preserve">ij </w:t>
      </w:r>
      <w:r>
        <w:rPr>
          <w:kern w:val="0"/>
        </w:rPr>
        <w:t>is the uncertainty</w:t>
      </w:r>
      <w:r>
        <w:rPr>
          <w:rFonts w:hint="eastAsia"/>
          <w:kern w:val="0"/>
        </w:rPr>
        <w:t>;</w:t>
      </w:r>
      <w:r>
        <w:rPr>
          <w:kern w:val="0"/>
        </w:rPr>
        <w:t xml:space="preserve"> if the concentration is less than or equal to method detection limit (MDL), the uncertainty is equal to 5/6 MDL; otherwise, the uncertainty is calculated </w:t>
      </w:r>
      <w:r>
        <w:rPr>
          <w:rFonts w:hint="eastAsia"/>
          <w:kern w:val="0"/>
        </w:rPr>
        <w:t>by equation 3.</w:t>
      </w:r>
    </w:p>
    <w:p>
      <w:pPr>
        <w:widowControl/>
        <w:autoSpaceDE w:val="0"/>
        <w:spacing w:line="480" w:lineRule="auto"/>
      </w:pPr>
      <w:r>
        <w:drawing>
          <wp:inline distT="0" distB="0" distL="0" distR="0">
            <wp:extent cx="3355340" cy="254635"/>
            <wp:effectExtent l="0" t="0" r="0" b="0"/>
            <wp:docPr id="10" name="图片 10" descr="C:\Users\DKY-WLJ\AppData\Local\Temp\ksohtml13608\wp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DKY-WLJ\AppData\Local\Temp\ksohtml13608\wps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355340" cy="254635"/>
                    </a:xfrm>
                    <a:prstGeom prst="rect">
                      <a:avLst/>
                    </a:prstGeom>
                    <a:noFill/>
                    <a:ln>
                      <a:noFill/>
                    </a:ln>
                  </pic:spPr>
                </pic:pic>
              </a:graphicData>
            </a:graphic>
          </wp:inline>
        </w:drawing>
      </w:r>
      <w:r>
        <w:rPr>
          <w:kern w:val="0"/>
        </w:rPr>
        <w:t xml:space="preserve">                </w:t>
      </w:r>
      <w:r>
        <w:rPr>
          <w:rFonts w:hint="eastAsia"/>
          <w:kern w:val="0"/>
        </w:rPr>
        <w:t xml:space="preserve"> </w:t>
      </w:r>
      <w:r>
        <w:rPr>
          <w:kern w:val="0"/>
        </w:rPr>
        <w:t xml:space="preserve">  (</w:t>
      </w:r>
      <w:r>
        <w:rPr>
          <w:rFonts w:hint="eastAsia"/>
          <w:kern w:val="0"/>
        </w:rPr>
        <w:t>3</w:t>
      </w:r>
      <w:r>
        <w:rPr>
          <w:kern w:val="0"/>
        </w:rPr>
        <w:t xml:space="preserve">)      </w:t>
      </w:r>
    </w:p>
    <w:p>
      <w:pPr>
        <w:widowControl/>
        <w:autoSpaceDE w:val="0"/>
        <w:spacing w:line="480" w:lineRule="auto"/>
        <w:rPr>
          <w:kern w:val="0"/>
        </w:rPr>
      </w:pPr>
      <w:r>
        <w:t>The number of specific factors is not directly given</w:t>
      </w:r>
      <w:r>
        <w:rPr>
          <w:rFonts w:hint="eastAsia"/>
        </w:rPr>
        <w:t>,</w:t>
      </w:r>
      <w:r>
        <w:t xml:space="preserve"> </w:t>
      </w:r>
      <w:r>
        <w:rPr>
          <w:rFonts w:hint="eastAsia"/>
        </w:rPr>
        <w:t>t</w:t>
      </w:r>
      <w:r>
        <w:t xml:space="preserve">herefore, multiple debugging is required. </w:t>
      </w:r>
      <w:r>
        <w:rPr>
          <w:rFonts w:hint="eastAsia"/>
        </w:rPr>
        <w:t>Based on</w:t>
      </w:r>
      <w:r>
        <w:t xml:space="preserve"> the ratios of signal-to-noise (S/N), the species is categorized as strong, </w:t>
      </w:r>
      <w:r>
        <w:rPr>
          <w:kern w:val="0"/>
        </w:rPr>
        <w:t>weak or bad</w:t>
      </w:r>
      <w:r>
        <w:rPr>
          <w:rFonts w:hint="eastAsia"/>
          <w:kern w:val="0"/>
        </w:rPr>
        <w:t xml:space="preserve">. </w:t>
      </w:r>
      <w:r>
        <w:rPr>
          <w:kern w:val="0"/>
        </w:rPr>
        <w:t>If the scale of residuals for most of species is between -3 and +3, as well as Q</w:t>
      </w:r>
      <w:r>
        <w:rPr>
          <w:kern w:val="0"/>
          <w:vertAlign w:val="subscript"/>
        </w:rPr>
        <w:t>true</w:t>
      </w:r>
      <w:r>
        <w:rPr>
          <w:kern w:val="0"/>
        </w:rPr>
        <w:t>, Q</w:t>
      </w:r>
      <w:r>
        <w:rPr>
          <w:kern w:val="0"/>
          <w:vertAlign w:val="subscript"/>
        </w:rPr>
        <w:t>robust</w:t>
      </w:r>
      <w:r>
        <w:rPr>
          <w:kern w:val="0"/>
        </w:rPr>
        <w:t xml:space="preserve"> and Q</w:t>
      </w:r>
      <w:r>
        <w:rPr>
          <w:kern w:val="0"/>
          <w:vertAlign w:val="subscript"/>
        </w:rPr>
        <w:t>theoretical</w:t>
      </w:r>
      <w:r>
        <w:rPr>
          <w:kern w:val="0"/>
        </w:rPr>
        <w:t xml:space="preserve"> are close, the base run </w:t>
      </w:r>
      <w:r>
        <w:rPr>
          <w:rFonts w:hint="eastAsia"/>
          <w:kern w:val="0"/>
        </w:rPr>
        <w:t>may</w:t>
      </w:r>
      <w:r>
        <w:rPr>
          <w:kern w:val="0"/>
        </w:rPr>
        <w:t xml:space="preserve"> be regarded reasonable. The value of Q</w:t>
      </w:r>
      <w:r>
        <w:rPr>
          <w:kern w:val="0"/>
          <w:vertAlign w:val="subscript"/>
        </w:rPr>
        <w:t>theoretical</w:t>
      </w:r>
      <w:r>
        <w:rPr>
          <w:kern w:val="0"/>
        </w:rPr>
        <w:t xml:space="preserve"> is calculated </w:t>
      </w:r>
      <w:r>
        <w:rPr>
          <w:rFonts w:hint="eastAsia"/>
          <w:kern w:val="0"/>
        </w:rPr>
        <w:t>by equation 4.</w:t>
      </w:r>
    </w:p>
    <w:p>
      <w:pPr>
        <w:autoSpaceDE w:val="0"/>
        <w:spacing w:line="480" w:lineRule="auto"/>
        <w:rPr>
          <w:kern w:val="0"/>
        </w:rPr>
      </w:pPr>
      <w:r>
        <w:drawing>
          <wp:inline distT="0" distB="0" distL="0" distR="0">
            <wp:extent cx="1621790" cy="207010"/>
            <wp:effectExtent l="0" t="0" r="0" b="2540"/>
            <wp:docPr id="9" name="图片 9" descr="C:\Users\DKY-WLJ\AppData\Local\Temp\ksohtml13608\wp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DKY-WLJ\AppData\Local\Temp\ksohtml13608\wps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621790" cy="207010"/>
                    </a:xfrm>
                    <a:prstGeom prst="rect">
                      <a:avLst/>
                    </a:prstGeom>
                    <a:noFill/>
                    <a:ln>
                      <a:noFill/>
                    </a:ln>
                  </pic:spPr>
                </pic:pic>
              </a:graphicData>
            </a:graphic>
          </wp:inline>
        </w:drawing>
      </w:r>
      <w:r>
        <w:rPr>
          <w:kern w:val="0"/>
        </w:rPr>
        <w:t xml:space="preserve">                                      </w:t>
      </w:r>
      <w:r>
        <w:rPr>
          <w:rFonts w:hint="eastAsia"/>
          <w:kern w:val="0"/>
        </w:rPr>
        <w:t xml:space="preserve">    </w:t>
      </w:r>
      <w:r>
        <w:rPr>
          <w:kern w:val="0"/>
        </w:rPr>
        <w:t xml:space="preserve">   (</w:t>
      </w:r>
      <w:r>
        <w:rPr>
          <w:rFonts w:hint="eastAsia"/>
          <w:kern w:val="0"/>
        </w:rPr>
        <w:t>4</w:t>
      </w:r>
      <w:r>
        <w:rPr>
          <w:kern w:val="0"/>
        </w:rPr>
        <w:t>)</w:t>
      </w:r>
    </w:p>
    <w:p>
      <w:pPr>
        <w:autoSpaceDE w:val="0"/>
        <w:spacing w:line="480" w:lineRule="auto"/>
        <w:rPr>
          <w:kern w:val="0"/>
        </w:rPr>
      </w:pPr>
      <w:r>
        <w:rPr>
          <w:kern w:val="0"/>
        </w:rPr>
        <w:t xml:space="preserve">where, n is the number of species, m is the number of </w:t>
      </w:r>
      <w:r>
        <w:rPr>
          <w:rFonts w:hint="eastAsia"/>
          <w:kern w:val="0"/>
        </w:rPr>
        <w:t>receptor</w:t>
      </w:r>
      <w:r>
        <w:rPr>
          <w:kern w:val="0"/>
        </w:rPr>
        <w:t xml:space="preserve"> sites, and p is the number of factors </w:t>
      </w:r>
      <w:r>
        <w:rPr>
          <w:color w:val="0000FF"/>
          <w:kern w:val="0"/>
        </w:rPr>
        <w:t>(Henry 2003; Norris and Henry, 2014)</w:t>
      </w:r>
      <w:r>
        <w:rPr>
          <w:kern w:val="0"/>
        </w:rPr>
        <w:t>.</w:t>
      </w:r>
    </w:p>
    <w:p>
      <w:pPr>
        <w:autoSpaceDE w:val="0"/>
        <w:spacing w:line="480" w:lineRule="auto"/>
        <w:rPr>
          <w:b/>
        </w:rPr>
      </w:pPr>
    </w:p>
    <w:p>
      <w:pPr>
        <w:autoSpaceDE w:val="0"/>
        <w:spacing w:line="480" w:lineRule="auto"/>
        <w:rPr>
          <w:bCs/>
        </w:rPr>
      </w:pPr>
      <w:r>
        <w:rPr>
          <w:rFonts w:hint="eastAsia"/>
          <w:b/>
        </w:rPr>
        <w:t>Text 5. Health r</w:t>
      </w:r>
      <w:r>
        <w:rPr>
          <w:b/>
        </w:rPr>
        <w:t xml:space="preserve">isk assessment </w:t>
      </w:r>
      <w:r>
        <w:rPr>
          <w:rFonts w:hint="eastAsia"/>
          <w:b/>
        </w:rPr>
        <w:t>model</w:t>
      </w:r>
    </w:p>
    <w:p>
      <w:pPr>
        <w:autoSpaceDE w:val="0"/>
        <w:spacing w:line="480" w:lineRule="auto"/>
        <w:rPr>
          <w:bCs/>
        </w:rPr>
      </w:pPr>
      <w:r>
        <w:rPr>
          <w:bCs/>
        </w:rPr>
        <w:t>The health risk assessment model of US EPA h</w:t>
      </w:r>
      <w:r>
        <w:rPr>
          <w:rFonts w:hint="eastAsia"/>
          <w:bCs/>
        </w:rPr>
        <w:t xml:space="preserve">as been widely used to assess the </w:t>
      </w:r>
      <w:r>
        <w:rPr>
          <w:bCs/>
        </w:rPr>
        <w:t>carcinogenic</w:t>
      </w:r>
      <w:r>
        <w:rPr>
          <w:rFonts w:hint="eastAsia"/>
          <w:bCs/>
        </w:rPr>
        <w:t xml:space="preserve"> </w:t>
      </w:r>
      <w:r>
        <w:rPr>
          <w:bCs/>
        </w:rPr>
        <w:t>and non-carcinogenic risks</w:t>
      </w:r>
      <w:r>
        <w:rPr>
          <w:rFonts w:hint="eastAsia"/>
          <w:bCs/>
        </w:rPr>
        <w:t xml:space="preserve"> of human exposure to heavy metals</w:t>
      </w:r>
      <w:r>
        <w:rPr>
          <w:bCs/>
        </w:rPr>
        <w:t xml:space="preserve"> </w:t>
      </w:r>
      <w:r>
        <w:rPr>
          <w:bCs/>
          <w:color w:val="0000FF"/>
        </w:rPr>
        <w:t>(Khairy et al</w:t>
      </w:r>
      <w:r>
        <w:rPr>
          <w:rFonts w:hint="eastAsia"/>
          <w:bCs/>
          <w:color w:val="0000FF"/>
          <w:lang w:eastAsia="zh-CN"/>
        </w:rPr>
        <w:t>.</w:t>
      </w:r>
      <w:r>
        <w:rPr>
          <w:bCs/>
          <w:color w:val="0000FF"/>
        </w:rPr>
        <w:t xml:space="preserve"> 2011</w:t>
      </w:r>
      <w:r>
        <w:rPr>
          <w:rFonts w:hint="eastAsia"/>
          <w:bCs/>
          <w:color w:val="0000FF"/>
        </w:rPr>
        <w:t xml:space="preserve">; </w:t>
      </w:r>
      <w:r>
        <w:rPr>
          <w:bCs/>
          <w:color w:val="0000FF"/>
        </w:rPr>
        <w:t>US EPA, 2011)</w:t>
      </w:r>
      <w:r>
        <w:rPr>
          <w:bCs/>
        </w:rPr>
        <w:t xml:space="preserve">. </w:t>
      </w:r>
      <w:r>
        <w:rPr>
          <w:rFonts w:hint="eastAsia"/>
          <w:bCs/>
        </w:rPr>
        <w:t>The</w:t>
      </w:r>
      <w:r>
        <w:rPr>
          <w:bCs/>
        </w:rPr>
        <w:t xml:space="preserve"> average daily dose</w:t>
      </w:r>
      <w:r>
        <w:rPr>
          <w:rFonts w:hint="eastAsia"/>
          <w:bCs/>
        </w:rPr>
        <w:t>s</w:t>
      </w:r>
      <w:r>
        <w:rPr>
          <w:bCs/>
        </w:rPr>
        <w:t xml:space="preserve"> (ADD</w:t>
      </w:r>
      <w:r>
        <w:rPr>
          <w:rFonts w:hint="eastAsia"/>
          <w:bCs/>
        </w:rPr>
        <w:t>s</w:t>
      </w:r>
      <w:r>
        <w:rPr>
          <w:bCs/>
        </w:rPr>
        <w:t xml:space="preserve">) of human exposure to </w:t>
      </w:r>
      <w:r>
        <w:rPr>
          <w:rFonts w:hint="eastAsia"/>
          <w:bCs/>
        </w:rPr>
        <w:t>heavy metals</w:t>
      </w:r>
      <w:r>
        <w:rPr>
          <w:bCs/>
        </w:rPr>
        <w:t xml:space="preserve"> in </w:t>
      </w:r>
      <w:r>
        <w:rPr>
          <w:rFonts w:hint="eastAsia"/>
          <w:bCs/>
        </w:rPr>
        <w:t xml:space="preserve">urban </w:t>
      </w:r>
      <w:r>
        <w:rPr>
          <w:bCs/>
        </w:rPr>
        <w:t>road dust through</w:t>
      </w:r>
      <w:r>
        <w:rPr>
          <w:rFonts w:hint="eastAsia"/>
          <w:bCs/>
        </w:rPr>
        <w:t xml:space="preserve"> </w:t>
      </w:r>
      <w:r>
        <w:rPr>
          <w:bCs/>
        </w:rPr>
        <w:t xml:space="preserve">ingestion, inhalation and dermal </w:t>
      </w:r>
      <w:r>
        <w:rPr>
          <w:rFonts w:hint="eastAsia"/>
          <w:bCs/>
        </w:rPr>
        <w:t>adsorption</w:t>
      </w:r>
      <w:r>
        <w:rPr>
          <w:bCs/>
        </w:rPr>
        <w:t xml:space="preserve"> </w:t>
      </w:r>
      <w:r>
        <w:rPr>
          <w:rFonts w:hint="eastAsia"/>
          <w:bCs/>
        </w:rPr>
        <w:t>are</w:t>
      </w:r>
      <w:r>
        <w:rPr>
          <w:bCs/>
        </w:rPr>
        <w:t xml:space="preserve"> calculated by equation </w:t>
      </w:r>
      <w:r>
        <w:rPr>
          <w:rFonts w:hint="eastAsia"/>
          <w:bCs/>
        </w:rPr>
        <w:t>5</w:t>
      </w:r>
      <w:r>
        <w:rPr>
          <w:bCs/>
        </w:rPr>
        <w:t>-</w:t>
      </w:r>
      <w:r>
        <w:rPr>
          <w:rFonts w:hint="eastAsia"/>
          <w:bCs/>
        </w:rPr>
        <w:t>7</w:t>
      </w:r>
      <w:r>
        <w:rPr>
          <w:bCs/>
        </w:rPr>
        <w:t xml:space="preserve">. </w:t>
      </w:r>
    </w:p>
    <w:p>
      <w:pPr>
        <w:autoSpaceDE w:val="0"/>
        <w:spacing w:line="480" w:lineRule="auto"/>
        <w:rPr>
          <w:bCs/>
        </w:rPr>
      </w:pPr>
      <w:r>
        <w:drawing>
          <wp:inline distT="0" distB="0" distL="0" distR="0">
            <wp:extent cx="1351915" cy="278130"/>
            <wp:effectExtent l="0" t="0" r="635" b="7620"/>
            <wp:docPr id="8" name="图片 8" descr="C:\Users\DKY-WLJ\AppData\Local\Temp\ksohtml13608\wp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DKY-WLJ\AppData\Local\Temp\ksohtml13608\wps5.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351915" cy="278130"/>
                    </a:xfrm>
                    <a:prstGeom prst="rect">
                      <a:avLst/>
                    </a:prstGeom>
                    <a:noFill/>
                    <a:ln>
                      <a:noFill/>
                    </a:ln>
                  </pic:spPr>
                </pic:pic>
              </a:graphicData>
            </a:graphic>
          </wp:inline>
        </w:drawing>
      </w:r>
      <w:r>
        <w:rPr>
          <w:bCs/>
          <w:position w:val="-24"/>
        </w:rPr>
        <w:t xml:space="preserve">                                         </w:t>
      </w:r>
      <w:r>
        <w:rPr>
          <w:rFonts w:hint="eastAsia"/>
          <w:bCs/>
          <w:position w:val="-24"/>
        </w:rPr>
        <w:t xml:space="preserve"> </w:t>
      </w:r>
      <w:r>
        <w:rPr>
          <w:bCs/>
          <w:position w:val="-24"/>
        </w:rPr>
        <w:t xml:space="preserve">     </w:t>
      </w:r>
      <w:r>
        <w:rPr>
          <w:bCs/>
        </w:rPr>
        <w:t>(</w:t>
      </w:r>
      <w:r>
        <w:rPr>
          <w:rFonts w:hint="eastAsia"/>
          <w:bCs/>
        </w:rPr>
        <w:t>5</w:t>
      </w:r>
      <w:r>
        <w:rPr>
          <w:bCs/>
        </w:rPr>
        <w:t>)</w:t>
      </w:r>
    </w:p>
    <w:p>
      <w:pPr>
        <w:autoSpaceDE w:val="0"/>
        <w:spacing w:line="480" w:lineRule="auto"/>
        <w:rPr>
          <w:bCs/>
        </w:rPr>
      </w:pPr>
      <w:r>
        <w:drawing>
          <wp:inline distT="0" distB="0" distL="0" distR="0">
            <wp:extent cx="1192530" cy="278130"/>
            <wp:effectExtent l="0" t="0" r="7620" b="7620"/>
            <wp:docPr id="7" name="图片 7" descr="C:\Users\DKY-WLJ\AppData\Local\Temp\ksohtml13608\wp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DKY-WLJ\AppData\Local\Temp\ksohtml13608\wps6.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192530" cy="278130"/>
                    </a:xfrm>
                    <a:prstGeom prst="rect">
                      <a:avLst/>
                    </a:prstGeom>
                    <a:noFill/>
                    <a:ln>
                      <a:noFill/>
                    </a:ln>
                  </pic:spPr>
                </pic:pic>
              </a:graphicData>
            </a:graphic>
          </wp:inline>
        </w:drawing>
      </w:r>
      <w:r>
        <w:rPr>
          <w:bCs/>
          <w:position w:val="-24"/>
        </w:rPr>
        <w:t xml:space="preserve">       </w:t>
      </w:r>
      <w:r>
        <w:rPr>
          <w:bCs/>
        </w:rPr>
        <w:t xml:space="preserve">                                      </w:t>
      </w:r>
      <w:r>
        <w:rPr>
          <w:rFonts w:hint="eastAsia"/>
          <w:bCs/>
        </w:rPr>
        <w:t xml:space="preserve">  </w:t>
      </w:r>
      <w:r>
        <w:rPr>
          <w:bCs/>
        </w:rPr>
        <w:t xml:space="preserve">   (</w:t>
      </w:r>
      <w:r>
        <w:rPr>
          <w:rFonts w:hint="eastAsia"/>
          <w:bCs/>
        </w:rPr>
        <w:t>6</w:t>
      </w:r>
      <w:r>
        <w:rPr>
          <w:bCs/>
        </w:rPr>
        <w:t>)</w:t>
      </w:r>
    </w:p>
    <w:p>
      <w:pPr>
        <w:autoSpaceDE w:val="0"/>
        <w:spacing w:line="480" w:lineRule="auto"/>
        <w:rPr>
          <w:bCs/>
        </w:rPr>
      </w:pPr>
      <w:r>
        <w:drawing>
          <wp:inline distT="0" distB="0" distL="0" distR="0">
            <wp:extent cx="1757045" cy="278130"/>
            <wp:effectExtent l="0" t="0" r="0" b="7620"/>
            <wp:docPr id="6" name="图片 6" descr="C:\Users\DKY-WLJ\AppData\Local\Temp\ksohtml13608\wp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DKY-WLJ\AppData\Local\Temp\ksohtml13608\wps7.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757045" cy="278130"/>
                    </a:xfrm>
                    <a:prstGeom prst="rect">
                      <a:avLst/>
                    </a:prstGeom>
                    <a:noFill/>
                    <a:ln>
                      <a:noFill/>
                    </a:ln>
                  </pic:spPr>
                </pic:pic>
              </a:graphicData>
            </a:graphic>
          </wp:inline>
        </w:drawing>
      </w:r>
      <w:r>
        <w:rPr>
          <w:bCs/>
        </w:rPr>
        <w:t xml:space="preserve">                                     </w:t>
      </w:r>
      <w:r>
        <w:rPr>
          <w:rFonts w:hint="eastAsia"/>
          <w:bCs/>
        </w:rPr>
        <w:t xml:space="preserve"> </w:t>
      </w:r>
      <w:r>
        <w:rPr>
          <w:bCs/>
        </w:rPr>
        <w:t xml:space="preserve">  </w:t>
      </w:r>
      <w:r>
        <w:rPr>
          <w:rFonts w:hint="eastAsia"/>
          <w:bCs/>
        </w:rPr>
        <w:t xml:space="preserve"> </w:t>
      </w:r>
      <w:r>
        <w:rPr>
          <w:bCs/>
        </w:rPr>
        <w:t>(</w:t>
      </w:r>
      <w:r>
        <w:rPr>
          <w:rFonts w:hint="eastAsia"/>
          <w:bCs/>
        </w:rPr>
        <w:t>7</w:t>
      </w:r>
      <w:r>
        <w:rPr>
          <w:bCs/>
        </w:rPr>
        <w:t>)</w:t>
      </w:r>
    </w:p>
    <w:p>
      <w:pPr>
        <w:autoSpaceDE w:val="0"/>
        <w:spacing w:line="480" w:lineRule="auto"/>
        <w:rPr>
          <w:bCs/>
        </w:rPr>
      </w:pPr>
      <w:r>
        <w:rPr>
          <w:bCs/>
        </w:rPr>
        <w:t xml:space="preserve">where, C is the concentration of </w:t>
      </w:r>
      <w:r>
        <w:rPr>
          <w:rFonts w:hint="eastAsia"/>
          <w:bCs/>
        </w:rPr>
        <w:t>heavy metals</w:t>
      </w:r>
      <w:r>
        <w:rPr>
          <w:bCs/>
        </w:rPr>
        <w:t xml:space="preserve"> in road dust, being 95% upper confidence limit (95% UCL)</w:t>
      </w:r>
      <w:r>
        <w:rPr>
          <w:rFonts w:hint="eastAsia"/>
          <w:bCs/>
        </w:rPr>
        <w:t xml:space="preserve"> and modified as the product of C and F</w:t>
      </w:r>
      <w:r>
        <w:rPr>
          <w:rFonts w:hint="eastAsia"/>
          <w:bCs/>
          <w:vertAlign w:val="subscript"/>
        </w:rPr>
        <w:t>bio</w:t>
      </w:r>
      <w:r>
        <w:rPr>
          <w:rFonts w:hint="eastAsia"/>
          <w:bCs/>
        </w:rPr>
        <w:t xml:space="preserve"> (bio-availability);</w:t>
      </w:r>
      <w:r>
        <w:rPr>
          <w:bCs/>
        </w:rPr>
        <w:t xml:space="preserve"> IngR is the ingestion rate of road dust</w:t>
      </w:r>
      <w:r>
        <w:rPr>
          <w:rFonts w:hint="eastAsia"/>
          <w:bCs/>
        </w:rPr>
        <w:t>;</w:t>
      </w:r>
      <w:r>
        <w:rPr>
          <w:bCs/>
        </w:rPr>
        <w:t xml:space="preserve"> EF is the exposure frequency</w:t>
      </w:r>
      <w:r>
        <w:rPr>
          <w:rFonts w:hint="eastAsia"/>
          <w:bCs/>
        </w:rPr>
        <w:t>;</w:t>
      </w:r>
      <w:r>
        <w:rPr>
          <w:bCs/>
        </w:rPr>
        <w:t xml:space="preserve"> ED is the exposure duration</w:t>
      </w:r>
      <w:r>
        <w:rPr>
          <w:rFonts w:hint="eastAsia"/>
          <w:bCs/>
        </w:rPr>
        <w:t>;</w:t>
      </w:r>
      <w:r>
        <w:rPr>
          <w:bCs/>
        </w:rPr>
        <w:t xml:space="preserve"> BW is the average body weight</w:t>
      </w:r>
      <w:r>
        <w:rPr>
          <w:rFonts w:hint="eastAsia"/>
          <w:bCs/>
        </w:rPr>
        <w:t>;</w:t>
      </w:r>
      <w:r>
        <w:rPr>
          <w:bCs/>
        </w:rPr>
        <w:t xml:space="preserve"> AT is the average exposure time</w:t>
      </w:r>
      <w:r>
        <w:rPr>
          <w:rFonts w:hint="eastAsia"/>
          <w:bCs/>
        </w:rPr>
        <w:t>;</w:t>
      </w:r>
      <w:r>
        <w:rPr>
          <w:bCs/>
        </w:rPr>
        <w:t xml:space="preserve"> InhR is the inhalation rate</w:t>
      </w:r>
      <w:r>
        <w:rPr>
          <w:rFonts w:hint="eastAsia"/>
          <w:bCs/>
        </w:rPr>
        <w:t>;</w:t>
      </w:r>
      <w:r>
        <w:rPr>
          <w:bCs/>
        </w:rPr>
        <w:t xml:space="preserve"> PEF is the particle emission factor</w:t>
      </w:r>
      <w:r>
        <w:rPr>
          <w:rFonts w:hint="eastAsia"/>
          <w:bCs/>
        </w:rPr>
        <w:t>;</w:t>
      </w:r>
      <w:r>
        <w:rPr>
          <w:bCs/>
        </w:rPr>
        <w:t xml:space="preserve"> SA is the surface area of skin </w:t>
      </w:r>
      <w:r>
        <w:rPr>
          <w:rFonts w:hint="eastAsia"/>
          <w:bCs/>
        </w:rPr>
        <w:t>exposure;</w:t>
      </w:r>
      <w:r>
        <w:rPr>
          <w:bCs/>
        </w:rPr>
        <w:t xml:space="preserve"> and AF is the skin adherence factor. The specific values of parameters are shown in </w:t>
      </w:r>
      <w:r>
        <w:rPr>
          <w:bCs/>
          <w:color w:val="0000FF"/>
        </w:rPr>
        <w:t xml:space="preserve">Table </w:t>
      </w:r>
      <w:r>
        <w:rPr>
          <w:rFonts w:hint="eastAsia"/>
          <w:bCs/>
          <w:color w:val="0000FF"/>
        </w:rPr>
        <w:t>S3</w:t>
      </w:r>
      <w:r>
        <w:rPr>
          <w:bCs/>
        </w:rPr>
        <w:t xml:space="preserve">. </w:t>
      </w:r>
    </w:p>
    <w:p>
      <w:pPr>
        <w:autoSpaceDE w:val="0"/>
        <w:spacing w:line="480" w:lineRule="auto"/>
        <w:rPr>
          <w:bCs/>
        </w:rPr>
      </w:pPr>
      <w:r>
        <w:rPr>
          <w:bCs/>
        </w:rPr>
        <w:t xml:space="preserve">The non-carcinogenic risk of human exposure to </w:t>
      </w:r>
      <w:r>
        <w:rPr>
          <w:rFonts w:hint="eastAsia"/>
          <w:bCs/>
        </w:rPr>
        <w:t>heavy metals</w:t>
      </w:r>
      <w:r>
        <w:rPr>
          <w:bCs/>
        </w:rPr>
        <w:t xml:space="preserve"> in </w:t>
      </w:r>
      <w:r>
        <w:rPr>
          <w:rFonts w:hint="eastAsia"/>
          <w:bCs/>
        </w:rPr>
        <w:t xml:space="preserve">urban </w:t>
      </w:r>
      <w:r>
        <w:rPr>
          <w:bCs/>
        </w:rPr>
        <w:t xml:space="preserve">road dust can be </w:t>
      </w:r>
      <w:r>
        <w:rPr>
          <w:rFonts w:hint="eastAsia"/>
          <w:bCs/>
        </w:rPr>
        <w:t>described</w:t>
      </w:r>
      <w:r>
        <w:rPr>
          <w:bCs/>
        </w:rPr>
        <w:t xml:space="preserve"> by equation</w:t>
      </w:r>
      <w:r>
        <w:rPr>
          <w:rFonts w:hint="eastAsia"/>
          <w:bCs/>
        </w:rPr>
        <w:t xml:space="preserve"> 8 and 9</w:t>
      </w:r>
      <w:r>
        <w:rPr>
          <w:bCs/>
        </w:rPr>
        <w:t>.</w:t>
      </w:r>
    </w:p>
    <w:p>
      <w:pPr>
        <w:autoSpaceDE w:val="0"/>
        <w:spacing w:line="480" w:lineRule="auto"/>
        <w:rPr>
          <w:bCs/>
        </w:rPr>
      </w:pPr>
      <w:r>
        <w:drawing>
          <wp:inline distT="0" distB="0" distL="0" distR="0">
            <wp:extent cx="787400" cy="325755"/>
            <wp:effectExtent l="0" t="0" r="0" b="0"/>
            <wp:docPr id="5" name="图片 5" descr="C:\Users\DKY-WLJ\AppData\Local\Temp\ksohtml13608\wps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DKY-WLJ\AppData\Local\Temp\ksohtml13608\wps8.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787400" cy="325755"/>
                    </a:xfrm>
                    <a:prstGeom prst="rect">
                      <a:avLst/>
                    </a:prstGeom>
                    <a:noFill/>
                    <a:ln>
                      <a:noFill/>
                    </a:ln>
                  </pic:spPr>
                </pic:pic>
              </a:graphicData>
            </a:graphic>
          </wp:inline>
        </w:drawing>
      </w:r>
      <w:r>
        <w:rPr>
          <w:bCs/>
          <w:position w:val="-30"/>
        </w:rPr>
        <w:t xml:space="preserve">                                                      </w:t>
      </w:r>
      <w:r>
        <w:rPr>
          <w:rFonts w:hint="eastAsia"/>
          <w:bCs/>
          <w:position w:val="-30"/>
        </w:rPr>
        <w:t xml:space="preserve"> </w:t>
      </w:r>
      <w:r>
        <w:rPr>
          <w:bCs/>
          <w:position w:val="-30"/>
        </w:rPr>
        <w:t xml:space="preserve"> </w:t>
      </w:r>
      <w:r>
        <w:rPr>
          <w:bCs/>
        </w:rPr>
        <w:t>(</w:t>
      </w:r>
      <w:r>
        <w:rPr>
          <w:rFonts w:hint="eastAsia"/>
          <w:bCs/>
        </w:rPr>
        <w:t>8</w:t>
      </w:r>
      <w:r>
        <w:rPr>
          <w:bCs/>
        </w:rPr>
        <w:t>)</w:t>
      </w:r>
    </w:p>
    <w:p>
      <w:pPr>
        <w:autoSpaceDE w:val="0"/>
        <w:spacing w:line="480" w:lineRule="auto"/>
        <w:rPr>
          <w:bCs/>
        </w:rPr>
      </w:pPr>
      <w:r>
        <w:drawing>
          <wp:inline distT="0" distB="0" distL="0" distR="0">
            <wp:extent cx="826770" cy="230505"/>
            <wp:effectExtent l="0" t="0" r="0" b="0"/>
            <wp:docPr id="4" name="图片 4" descr="C:\Users\DKY-WLJ\AppData\Local\Temp\ksohtml13608\wps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DKY-WLJ\AppData\Local\Temp\ksohtml13608\wps9.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826770" cy="230505"/>
                    </a:xfrm>
                    <a:prstGeom prst="rect">
                      <a:avLst/>
                    </a:prstGeom>
                    <a:noFill/>
                    <a:ln>
                      <a:noFill/>
                    </a:ln>
                  </pic:spPr>
                </pic:pic>
              </a:graphicData>
            </a:graphic>
          </wp:inline>
        </w:drawing>
      </w:r>
      <w:r>
        <w:rPr>
          <w:bCs/>
        </w:rPr>
        <w:t xml:space="preserve">                                                        (</w:t>
      </w:r>
      <w:r>
        <w:rPr>
          <w:rFonts w:hint="eastAsia"/>
          <w:bCs/>
        </w:rPr>
        <w:t>9</w:t>
      </w:r>
      <w:r>
        <w:rPr>
          <w:bCs/>
        </w:rPr>
        <w:t>)</w:t>
      </w:r>
    </w:p>
    <w:p>
      <w:pPr>
        <w:autoSpaceDE w:val="0"/>
        <w:spacing w:line="480" w:lineRule="auto"/>
        <w:rPr>
          <w:bCs/>
        </w:rPr>
      </w:pPr>
      <w:r>
        <w:rPr>
          <w:bCs/>
        </w:rPr>
        <w:t>where, HQ</w:t>
      </w:r>
      <w:r>
        <w:rPr>
          <w:bCs/>
          <w:vertAlign w:val="subscript"/>
        </w:rPr>
        <w:t>i</w:t>
      </w:r>
      <w:r>
        <w:rPr>
          <w:bCs/>
        </w:rPr>
        <w:t xml:space="preserve"> is the hazard quotient of exposure pathway i for certain metal, RfD</w:t>
      </w:r>
      <w:r>
        <w:rPr>
          <w:bCs/>
          <w:vertAlign w:val="subscript"/>
        </w:rPr>
        <w:t>i</w:t>
      </w:r>
      <w:r>
        <w:rPr>
          <w:bCs/>
        </w:rPr>
        <w:t xml:space="preserve"> is the reference dose of corresponding exposure pathway for certain metal </w:t>
      </w:r>
      <w:r>
        <w:rPr>
          <w:bCs/>
          <w:color w:val="0000FF"/>
        </w:rPr>
        <w:t xml:space="preserve">(Table </w:t>
      </w:r>
      <w:r>
        <w:rPr>
          <w:rFonts w:hint="eastAsia"/>
          <w:bCs/>
          <w:color w:val="0000FF"/>
        </w:rPr>
        <w:t>S4</w:t>
      </w:r>
      <w:r>
        <w:rPr>
          <w:bCs/>
          <w:color w:val="0000FF"/>
        </w:rPr>
        <w:t>)</w:t>
      </w:r>
      <w:r>
        <w:rPr>
          <w:bCs/>
        </w:rPr>
        <w:t>, and HI is the hazard index of all exposure pathway for certain metal. HI &gt; 1 indicates a significant non-carcinogenic risk</w:t>
      </w:r>
      <w:r>
        <w:rPr>
          <w:rFonts w:hint="eastAsia"/>
          <w:bCs/>
        </w:rPr>
        <w:t>,</w:t>
      </w:r>
      <w:r>
        <w:rPr>
          <w:bCs/>
        </w:rPr>
        <w:t xml:space="preserve"> while HI ≤ 1 indicates that the non-carcinogenic risk is insignificant. </w:t>
      </w:r>
    </w:p>
    <w:p>
      <w:pPr>
        <w:autoSpaceDE w:val="0"/>
        <w:spacing w:line="480" w:lineRule="auto"/>
        <w:rPr>
          <w:bCs/>
        </w:rPr>
      </w:pPr>
      <w:r>
        <w:rPr>
          <w:bCs/>
        </w:rPr>
        <w:t>For carcinogenic effects, the lifetime average daily dose (LADD) is calculated by equation 1</w:t>
      </w:r>
      <w:r>
        <w:rPr>
          <w:rFonts w:hint="eastAsia"/>
          <w:bCs/>
        </w:rPr>
        <w:t>0</w:t>
      </w:r>
      <w:r>
        <w:rPr>
          <w:bCs/>
        </w:rPr>
        <w:t>.</w:t>
      </w:r>
    </w:p>
    <w:p>
      <w:pPr>
        <w:autoSpaceDE w:val="0"/>
        <w:spacing w:line="480" w:lineRule="auto"/>
        <w:rPr>
          <w:bCs/>
        </w:rPr>
      </w:pPr>
      <w:r>
        <w:drawing>
          <wp:inline distT="0" distB="0" distL="0" distR="0">
            <wp:extent cx="2456815" cy="325755"/>
            <wp:effectExtent l="0" t="0" r="635" b="0"/>
            <wp:docPr id="3" name="图片 3" descr="C:\Users\DKY-WLJ\AppData\Local\Temp\ksohtml13608\wps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DKY-WLJ\AppData\Local\Temp\ksohtml13608\wps1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456815" cy="325755"/>
                    </a:xfrm>
                    <a:prstGeom prst="rect">
                      <a:avLst/>
                    </a:prstGeom>
                    <a:noFill/>
                    <a:ln>
                      <a:noFill/>
                    </a:ln>
                  </pic:spPr>
                </pic:pic>
              </a:graphicData>
            </a:graphic>
          </wp:inline>
        </w:drawing>
      </w:r>
      <w:r>
        <w:rPr>
          <w:bCs/>
        </w:rPr>
        <w:t xml:space="preserve">                               (1</w:t>
      </w:r>
      <w:r>
        <w:rPr>
          <w:rFonts w:hint="eastAsia"/>
          <w:bCs/>
        </w:rPr>
        <w:t>0</w:t>
      </w:r>
      <w:r>
        <w:rPr>
          <w:bCs/>
        </w:rPr>
        <w:t xml:space="preserve">)  </w:t>
      </w:r>
    </w:p>
    <w:p>
      <w:pPr>
        <w:autoSpaceDE w:val="0"/>
        <w:spacing w:line="480" w:lineRule="auto"/>
        <w:rPr>
          <w:bCs/>
        </w:rPr>
      </w:pPr>
      <w:r>
        <w:rPr>
          <w:bCs/>
        </w:rPr>
        <w:t>where, AR is absorption rate</w:t>
      </w:r>
      <w:r>
        <w:rPr>
          <w:rFonts w:hint="eastAsia"/>
          <w:bCs/>
        </w:rPr>
        <w:t>;</w:t>
      </w:r>
      <w:r>
        <w:rPr>
          <w:bCs/>
        </w:rPr>
        <w:t xml:space="preserve"> AR = IngR for the ingestion, AR = InhR/PEF for the inhalation</w:t>
      </w:r>
      <w:r>
        <w:rPr>
          <w:rFonts w:hint="eastAsia"/>
          <w:bCs/>
        </w:rPr>
        <w:t>,</w:t>
      </w:r>
      <w:r>
        <w:rPr>
          <w:bCs/>
        </w:rPr>
        <w:t xml:space="preserve"> and AR = SA×SL×ABS for dermal contact.</w:t>
      </w:r>
      <w:r>
        <w:rPr>
          <w:rFonts w:hint="eastAsia"/>
          <w:bCs/>
        </w:rPr>
        <w:t xml:space="preserve"> </w:t>
      </w:r>
    </w:p>
    <w:p>
      <w:pPr>
        <w:autoSpaceDE w:val="0"/>
        <w:spacing w:line="480" w:lineRule="auto"/>
        <w:rPr>
          <w:bCs/>
          <w:position w:val="-10"/>
        </w:rPr>
      </w:pPr>
      <w:r>
        <w:rPr>
          <w:bCs/>
        </w:rPr>
        <w:t xml:space="preserve">The carcinogenic risk of human exposure to </w:t>
      </w:r>
      <w:r>
        <w:rPr>
          <w:rFonts w:hint="eastAsia"/>
          <w:bCs/>
        </w:rPr>
        <w:t>heavy metals</w:t>
      </w:r>
      <w:r>
        <w:rPr>
          <w:bCs/>
        </w:rPr>
        <w:t xml:space="preserve"> in </w:t>
      </w:r>
      <w:r>
        <w:rPr>
          <w:rFonts w:hint="eastAsia"/>
          <w:bCs/>
        </w:rPr>
        <w:t xml:space="preserve">urban </w:t>
      </w:r>
      <w:r>
        <w:rPr>
          <w:bCs/>
        </w:rPr>
        <w:t>road dust can be expressed by equation</w:t>
      </w:r>
      <w:r>
        <w:rPr>
          <w:rFonts w:hint="eastAsia"/>
          <w:bCs/>
        </w:rPr>
        <w:t xml:space="preserve"> 11 and 12</w:t>
      </w:r>
      <w:r>
        <w:rPr>
          <w:bCs/>
        </w:rPr>
        <w:t>.</w:t>
      </w:r>
    </w:p>
    <w:p>
      <w:pPr>
        <w:autoSpaceDE w:val="0"/>
        <w:spacing w:line="480" w:lineRule="auto"/>
        <w:rPr>
          <w:bCs/>
        </w:rPr>
      </w:pPr>
      <w:r>
        <w:drawing>
          <wp:inline distT="0" distB="0" distL="0" distR="0">
            <wp:extent cx="1073150" cy="191135"/>
            <wp:effectExtent l="0" t="0" r="0" b="0"/>
            <wp:docPr id="2" name="图片 2" descr="C:\Users\DKY-WLJ\AppData\Local\Temp\ksohtml13608\wps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DKY-WLJ\AppData\Local\Temp\ksohtml13608\wps1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073150" cy="191135"/>
                    </a:xfrm>
                    <a:prstGeom prst="rect">
                      <a:avLst/>
                    </a:prstGeom>
                    <a:noFill/>
                    <a:ln>
                      <a:noFill/>
                    </a:ln>
                  </pic:spPr>
                </pic:pic>
              </a:graphicData>
            </a:graphic>
          </wp:inline>
        </w:drawing>
      </w:r>
      <w:r>
        <w:rPr>
          <w:bCs/>
        </w:rPr>
        <w:t xml:space="preserve">                                                    (1</w:t>
      </w:r>
      <w:r>
        <w:rPr>
          <w:rFonts w:hint="eastAsia"/>
          <w:bCs/>
        </w:rPr>
        <w:t>1</w:t>
      </w:r>
      <w:r>
        <w:rPr>
          <w:bCs/>
        </w:rPr>
        <w:t xml:space="preserve">)                                              </w:t>
      </w:r>
    </w:p>
    <w:p>
      <w:pPr>
        <w:autoSpaceDE w:val="0"/>
        <w:spacing w:line="480" w:lineRule="auto"/>
        <w:rPr>
          <w:bCs/>
        </w:rPr>
      </w:pPr>
      <w:r>
        <w:drawing>
          <wp:inline distT="0" distB="0" distL="0" distR="0">
            <wp:extent cx="819150" cy="222885"/>
            <wp:effectExtent l="0" t="0" r="0" b="5715"/>
            <wp:docPr id="1" name="图片 1" descr="C:\Users\DKY-WLJ\AppData\Local\Temp\ksohtml13608\wps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DKY-WLJ\AppData\Local\Temp\ksohtml13608\wps12.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819150" cy="222885"/>
                    </a:xfrm>
                    <a:prstGeom prst="rect">
                      <a:avLst/>
                    </a:prstGeom>
                    <a:noFill/>
                    <a:ln>
                      <a:noFill/>
                    </a:ln>
                  </pic:spPr>
                </pic:pic>
              </a:graphicData>
            </a:graphic>
          </wp:inline>
        </w:drawing>
      </w:r>
      <w:r>
        <w:rPr>
          <w:bCs/>
          <w:position w:val="-14"/>
        </w:rPr>
        <w:t xml:space="preserve">                                                        </w:t>
      </w:r>
      <w:r>
        <w:rPr>
          <w:bCs/>
        </w:rPr>
        <w:t>(1</w:t>
      </w:r>
      <w:r>
        <w:rPr>
          <w:rFonts w:hint="eastAsia"/>
          <w:bCs/>
        </w:rPr>
        <w:t>2</w:t>
      </w:r>
      <w:r>
        <w:rPr>
          <w:bCs/>
        </w:rPr>
        <w:t>)</w:t>
      </w:r>
      <w:r>
        <w:rPr>
          <w:bCs/>
          <w:position w:val="-14"/>
        </w:rPr>
        <w:t xml:space="preserve">                                         </w:t>
      </w:r>
    </w:p>
    <w:p>
      <w:pPr>
        <w:autoSpaceDE w:val="0"/>
        <w:spacing w:line="480" w:lineRule="auto"/>
        <w:rPr>
          <w:bCs/>
        </w:rPr>
        <w:sectPr>
          <w:pgSz w:w="11906" w:h="16838"/>
          <w:pgMar w:top="1440" w:right="1800" w:bottom="1440" w:left="1800" w:header="851" w:footer="992" w:gutter="0"/>
          <w:cols w:space="720" w:num="1"/>
          <w:docGrid w:type="lines" w:linePitch="312" w:charSpace="0"/>
        </w:sectPr>
      </w:pPr>
      <w:r>
        <w:rPr>
          <w:bCs/>
        </w:rPr>
        <w:t>where, CR</w:t>
      </w:r>
      <w:r>
        <w:rPr>
          <w:bCs/>
          <w:vertAlign w:val="subscript"/>
        </w:rPr>
        <w:t>i</w:t>
      </w:r>
      <w:r>
        <w:rPr>
          <w:bCs/>
        </w:rPr>
        <w:t xml:space="preserve"> is the carcinogenic risk of exposure route i, SF</w:t>
      </w:r>
      <w:r>
        <w:rPr>
          <w:bCs/>
          <w:vertAlign w:val="subscript"/>
        </w:rPr>
        <w:t>i</w:t>
      </w:r>
      <w:r>
        <w:rPr>
          <w:bCs/>
        </w:rPr>
        <w:t xml:space="preserve"> is the carcinogenic slope factor of exposure route i </w:t>
      </w:r>
      <w:r>
        <w:rPr>
          <w:bCs/>
          <w:color w:val="0000FF"/>
        </w:rPr>
        <w:t xml:space="preserve">(Table </w:t>
      </w:r>
      <w:r>
        <w:rPr>
          <w:rFonts w:hint="eastAsia"/>
          <w:bCs/>
          <w:color w:val="0000FF"/>
        </w:rPr>
        <w:t>S4</w:t>
      </w:r>
      <w:r>
        <w:rPr>
          <w:bCs/>
          <w:color w:val="0000FF"/>
        </w:rPr>
        <w:t>)</w:t>
      </w:r>
      <w:r>
        <w:t>,</w:t>
      </w:r>
      <w:r>
        <w:rPr>
          <w:bCs/>
        </w:rPr>
        <w:t xml:space="preserve"> and CR is the sum of cancer risk for all </w:t>
      </w:r>
      <w:r>
        <w:rPr>
          <w:rFonts w:hint="eastAsia"/>
          <w:bCs/>
        </w:rPr>
        <w:t xml:space="preserve">the </w:t>
      </w:r>
      <w:r>
        <w:rPr>
          <w:bCs/>
        </w:rPr>
        <w:t>exposure route</w:t>
      </w:r>
      <w:r>
        <w:rPr>
          <w:rFonts w:hint="eastAsia"/>
          <w:bCs/>
        </w:rPr>
        <w:t>s</w:t>
      </w:r>
      <w:r>
        <w:rPr>
          <w:bCs/>
        </w:rPr>
        <w:t>. The value of CR is between 1×10</w:t>
      </w:r>
      <w:r>
        <w:rPr>
          <w:bCs/>
          <w:vertAlign w:val="superscript"/>
        </w:rPr>
        <w:t>−6</w:t>
      </w:r>
      <w:r>
        <w:rPr>
          <w:bCs/>
        </w:rPr>
        <w:t xml:space="preserve"> and 1×10</w:t>
      </w:r>
      <w:r>
        <w:rPr>
          <w:bCs/>
          <w:vertAlign w:val="superscript"/>
        </w:rPr>
        <w:t>−4</w:t>
      </w:r>
      <w:r>
        <w:rPr>
          <w:bCs/>
        </w:rPr>
        <w:t>, suggesting that the carcinogenic risk is acceptable; the CR value is greater than 1 × 10</w:t>
      </w:r>
      <w:r>
        <w:rPr>
          <w:bCs/>
          <w:vertAlign w:val="superscript"/>
        </w:rPr>
        <w:t>−4</w:t>
      </w:r>
      <w:r>
        <w:rPr>
          <w:bCs/>
        </w:rPr>
        <w:t>, indicating a significant carcinogenic risk; and the CR is less than 1×10</w:t>
      </w:r>
      <w:r>
        <w:rPr>
          <w:bCs/>
          <w:vertAlign w:val="superscript"/>
        </w:rPr>
        <w:t>−6</w:t>
      </w:r>
      <w:r>
        <w:rPr>
          <w:bCs/>
        </w:rPr>
        <w:t xml:space="preserve">, implying that the carcinogenic risk is low or negligible </w:t>
      </w:r>
      <w:r>
        <w:rPr>
          <w:bCs/>
          <w:color w:val="0000FF"/>
        </w:rPr>
        <w:t>(Shi et al</w:t>
      </w:r>
      <w:r>
        <w:rPr>
          <w:rFonts w:hint="eastAsia"/>
          <w:bCs/>
          <w:color w:val="0000FF"/>
          <w:lang w:eastAsia="zh-CN"/>
        </w:rPr>
        <w:t>.</w:t>
      </w:r>
      <w:r>
        <w:rPr>
          <w:bCs/>
          <w:color w:val="0000FF"/>
        </w:rPr>
        <w:t xml:space="preserve"> 2011</w:t>
      </w:r>
      <w:r>
        <w:rPr>
          <w:rFonts w:hint="eastAsia"/>
          <w:bCs/>
          <w:color w:val="0000FF"/>
        </w:rPr>
        <w:t>; US EPA, 2019</w:t>
      </w:r>
      <w:r>
        <w:rPr>
          <w:bCs/>
          <w:color w:val="0000FF"/>
        </w:rPr>
        <w:t>)</w:t>
      </w:r>
      <w:r>
        <w:rPr>
          <w:bCs/>
        </w:rPr>
        <w:t>.</w:t>
      </w:r>
    </w:p>
    <w:p>
      <w:pPr>
        <w:spacing w:line="480" w:lineRule="auto"/>
        <w:jc w:val="left"/>
      </w:pPr>
      <w:r>
        <w:rPr>
          <w:bCs/>
        </w:rPr>
        <w:drawing>
          <wp:anchor distT="0" distB="0" distL="114300" distR="114300" simplePos="0" relativeHeight="251656192" behindDoc="1" locked="0" layoutInCell="1" allowOverlap="0">
            <wp:simplePos x="0" y="0"/>
            <wp:positionH relativeFrom="column">
              <wp:align>center</wp:align>
            </wp:positionH>
            <wp:positionV relativeFrom="line">
              <wp:posOffset>0</wp:posOffset>
            </wp:positionV>
            <wp:extent cx="5277485" cy="4399280"/>
            <wp:effectExtent l="0" t="0" r="0" b="0"/>
            <wp:wrapTight wrapText="bothSides">
              <wp:wrapPolygon>
                <wp:start x="5848" y="281"/>
                <wp:lineTo x="1715" y="1310"/>
                <wp:lineTo x="1325" y="1497"/>
                <wp:lineTo x="1403" y="1964"/>
                <wp:lineTo x="2495" y="3461"/>
                <wp:lineTo x="1637" y="4958"/>
                <wp:lineTo x="1637" y="5239"/>
                <wp:lineTo x="2495" y="6455"/>
                <wp:lineTo x="780" y="7016"/>
                <wp:lineTo x="468" y="7203"/>
                <wp:lineTo x="546" y="13471"/>
                <wp:lineTo x="1170" y="13939"/>
                <wp:lineTo x="2651" y="13939"/>
                <wp:lineTo x="1637" y="15342"/>
                <wp:lineTo x="1715" y="15716"/>
                <wp:lineTo x="2261" y="16651"/>
                <wp:lineTo x="2651" y="16932"/>
                <wp:lineTo x="2651" y="18429"/>
                <wp:lineTo x="2027" y="18616"/>
                <wp:lineTo x="2027" y="19177"/>
                <wp:lineTo x="3353" y="19926"/>
                <wp:lineTo x="3275" y="20393"/>
                <wp:lineTo x="5146" y="20861"/>
                <wp:lineTo x="20350" y="20861"/>
                <wp:lineTo x="20818" y="19926"/>
                <wp:lineTo x="20818" y="1684"/>
                <wp:lineTo x="16763" y="468"/>
                <wp:lineTo x="15360" y="281"/>
                <wp:lineTo x="5848" y="281"/>
              </wp:wrapPolygon>
            </wp:wrapTight>
            <wp:docPr id="17" name="图片 17" descr="C:\Users\DKY-WLJ\AppData\Local\Temp\ksohtml13608\wps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DKY-WLJ\AppData\Local\Temp\ksohtml13608\wps13.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277600" cy="4399200"/>
                    </a:xfrm>
                    <a:prstGeom prst="rect">
                      <a:avLst/>
                    </a:prstGeom>
                    <a:noFill/>
                    <a:ln>
                      <a:noFill/>
                    </a:ln>
                  </pic:spPr>
                </pic:pic>
              </a:graphicData>
            </a:graphic>
          </wp:anchor>
        </w:drawing>
      </w:r>
    </w:p>
    <w:p>
      <w:pPr>
        <w:spacing w:line="480" w:lineRule="auto"/>
        <w:jc w:val="left"/>
      </w:pPr>
    </w:p>
    <w:p>
      <w:pPr>
        <w:spacing w:line="480" w:lineRule="auto"/>
        <w:jc w:val="left"/>
      </w:pPr>
    </w:p>
    <w:p>
      <w:pPr>
        <w:spacing w:line="480" w:lineRule="auto"/>
        <w:jc w:val="left"/>
      </w:pPr>
    </w:p>
    <w:p>
      <w:pPr>
        <w:spacing w:line="480" w:lineRule="auto"/>
        <w:jc w:val="left"/>
      </w:pPr>
    </w:p>
    <w:p>
      <w:pPr>
        <w:spacing w:line="480" w:lineRule="auto"/>
        <w:jc w:val="left"/>
      </w:pPr>
    </w:p>
    <w:p>
      <w:pPr>
        <w:spacing w:line="480" w:lineRule="auto"/>
        <w:jc w:val="left"/>
      </w:pPr>
    </w:p>
    <w:p>
      <w:pPr>
        <w:spacing w:line="480" w:lineRule="auto"/>
        <w:jc w:val="center"/>
      </w:pPr>
      <w:r>
        <w:t>Fig. S</w:t>
      </w:r>
      <w:r>
        <w:rPr>
          <w:rFonts w:hint="eastAsia"/>
        </w:rPr>
        <w:t>1</w:t>
      </w:r>
      <w:r>
        <w:t xml:space="preserve"> Size fractions of road dust.</w:t>
      </w:r>
    </w:p>
    <w:p>
      <w:pPr>
        <w:spacing w:line="480" w:lineRule="auto"/>
        <w:jc w:val="left"/>
      </w:pPr>
    </w:p>
    <w:p>
      <w:pPr>
        <w:spacing w:line="480" w:lineRule="auto"/>
        <w:jc w:val="left"/>
      </w:pPr>
    </w:p>
    <w:p>
      <w:pPr>
        <w:spacing w:line="480" w:lineRule="auto"/>
        <w:jc w:val="left"/>
      </w:pPr>
    </w:p>
    <w:p>
      <w:pPr>
        <w:spacing w:line="480" w:lineRule="auto"/>
        <w:jc w:val="left"/>
      </w:pPr>
    </w:p>
    <w:p>
      <w:pPr>
        <w:spacing w:line="480" w:lineRule="auto"/>
        <w:jc w:val="left"/>
      </w:pPr>
    </w:p>
    <w:p>
      <w:pPr>
        <w:spacing w:line="480" w:lineRule="auto"/>
        <w:jc w:val="left"/>
      </w:pPr>
    </w:p>
    <w:p>
      <w:pPr>
        <w:spacing w:line="480" w:lineRule="auto"/>
        <w:jc w:val="left"/>
      </w:pPr>
    </w:p>
    <w:p>
      <w:pPr>
        <w:spacing w:line="480" w:lineRule="auto"/>
        <w:jc w:val="left"/>
      </w:pPr>
    </w:p>
    <w:p>
      <w:pPr>
        <w:spacing w:line="480" w:lineRule="auto"/>
        <w:jc w:val="left"/>
      </w:pPr>
    </w:p>
    <w:p>
      <w:pPr>
        <w:spacing w:line="480" w:lineRule="auto"/>
        <w:jc w:val="left"/>
      </w:pPr>
    </w:p>
    <w:p>
      <w:pPr>
        <w:spacing w:line="480" w:lineRule="auto"/>
        <w:jc w:val="left"/>
      </w:pPr>
      <w:r>
        <w:drawing>
          <wp:anchor distT="0" distB="0" distL="114300" distR="114300" simplePos="0" relativeHeight="251657216" behindDoc="1" locked="0" layoutInCell="1" allowOverlap="0">
            <wp:simplePos x="0" y="0"/>
            <wp:positionH relativeFrom="column">
              <wp:align>center</wp:align>
            </wp:positionH>
            <wp:positionV relativeFrom="line">
              <wp:posOffset>0</wp:posOffset>
            </wp:positionV>
            <wp:extent cx="4878070" cy="3963670"/>
            <wp:effectExtent l="0" t="0" r="0" b="0"/>
            <wp:wrapTight wrapText="bothSides">
              <wp:wrapPolygon>
                <wp:start x="1350" y="208"/>
                <wp:lineTo x="1350" y="1038"/>
                <wp:lineTo x="1772" y="2077"/>
                <wp:lineTo x="2109" y="2077"/>
                <wp:lineTo x="1350" y="3115"/>
                <wp:lineTo x="1350" y="3738"/>
                <wp:lineTo x="2278" y="3738"/>
                <wp:lineTo x="2193" y="5399"/>
                <wp:lineTo x="591" y="5814"/>
                <wp:lineTo x="253" y="6126"/>
                <wp:lineTo x="337" y="14017"/>
                <wp:lineTo x="1940" y="15367"/>
                <wp:lineTo x="2278" y="15367"/>
                <wp:lineTo x="1603" y="16301"/>
                <wp:lineTo x="1603" y="16924"/>
                <wp:lineTo x="2278" y="17028"/>
                <wp:lineTo x="2193" y="17547"/>
                <wp:lineTo x="2193" y="18689"/>
                <wp:lineTo x="1603" y="18793"/>
                <wp:lineTo x="1603" y="19520"/>
                <wp:lineTo x="3037" y="20351"/>
                <wp:lineTo x="3037" y="20662"/>
                <wp:lineTo x="4134" y="21077"/>
                <wp:lineTo x="5062" y="21285"/>
                <wp:lineTo x="20922" y="21285"/>
                <wp:lineTo x="21260" y="20351"/>
                <wp:lineTo x="21428" y="623"/>
                <wp:lineTo x="2025" y="208"/>
                <wp:lineTo x="1350" y="208"/>
              </wp:wrapPolygon>
            </wp:wrapTight>
            <wp:docPr id="16" name="图片 16" descr="C:\Users\DKY-WLJ\AppData\Local\Temp\ksohtml13608\wps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DKY-WLJ\AppData\Local\Temp\ksohtml13608\wps14.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4878000" cy="3963600"/>
                    </a:xfrm>
                    <a:prstGeom prst="rect">
                      <a:avLst/>
                    </a:prstGeom>
                    <a:noFill/>
                    <a:ln>
                      <a:noFill/>
                    </a:ln>
                  </pic:spPr>
                </pic:pic>
              </a:graphicData>
            </a:graphic>
          </wp:anchor>
        </w:drawing>
      </w: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pPr>
      <w:r>
        <w:t xml:space="preserve">Fig. </w:t>
      </w:r>
      <w:r>
        <w:rPr>
          <w:rFonts w:hint="eastAsia"/>
        </w:rPr>
        <w:t xml:space="preserve">S2 </w:t>
      </w:r>
      <w:r>
        <w:t>Compositions of TOC</w:t>
      </w:r>
      <w:r>
        <w:rPr>
          <w:rFonts w:hint="eastAsia"/>
        </w:rPr>
        <w:t xml:space="preserve"> (total organic carbon),</w:t>
      </w:r>
      <w:r>
        <w:t xml:space="preserve"> IC</w:t>
      </w:r>
      <w:r>
        <w:rPr>
          <w:rFonts w:hint="eastAsia"/>
        </w:rPr>
        <w:t xml:space="preserve"> (inorganic carbon) and </w:t>
      </w:r>
      <w:r>
        <w:t>TC</w:t>
      </w:r>
      <w:r>
        <w:rPr>
          <w:rFonts w:hint="eastAsia"/>
        </w:rPr>
        <w:t xml:space="preserve"> (total carbon, TOC+IC)</w:t>
      </w:r>
      <w:r>
        <w:t>, of road dust.</w:t>
      </w: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ascii="Calibri" w:hAnsi="Calibri"/>
        </w:rPr>
      </w:pPr>
    </w:p>
    <w:p>
      <w:pPr>
        <w:spacing w:line="480" w:lineRule="auto"/>
        <w:rPr>
          <w:rFonts w:hint="eastAsia" w:ascii="Calibri" w:hAnsi="Calibri"/>
        </w:rPr>
      </w:pPr>
      <w:r>
        <w:rPr>
          <w:rFonts w:ascii="Calibri" w:hAnsi="Calibri"/>
        </w:rPr>
        <w:drawing>
          <wp:anchor distT="0" distB="0" distL="114300" distR="114300" simplePos="0" relativeHeight="251658240" behindDoc="1" locked="0" layoutInCell="1" allowOverlap="0">
            <wp:simplePos x="0" y="0"/>
            <wp:positionH relativeFrom="column">
              <wp:align>center</wp:align>
            </wp:positionH>
            <wp:positionV relativeFrom="line">
              <wp:posOffset>0</wp:posOffset>
            </wp:positionV>
            <wp:extent cx="5086985" cy="3913505"/>
            <wp:effectExtent l="0" t="0" r="0" b="0"/>
            <wp:wrapTight wrapText="bothSides">
              <wp:wrapPolygon>
                <wp:start x="2022" y="526"/>
                <wp:lineTo x="1537" y="736"/>
                <wp:lineTo x="1537" y="1472"/>
                <wp:lineTo x="2508" y="2419"/>
                <wp:lineTo x="728" y="2734"/>
                <wp:lineTo x="404" y="3050"/>
                <wp:lineTo x="566" y="17562"/>
                <wp:lineTo x="1294" y="19244"/>
                <wp:lineTo x="1375" y="19560"/>
                <wp:lineTo x="2751" y="20506"/>
                <wp:lineTo x="3317" y="20717"/>
                <wp:lineTo x="19901" y="20717"/>
                <wp:lineTo x="20467" y="19244"/>
                <wp:lineTo x="20629" y="1052"/>
                <wp:lineTo x="2508" y="526"/>
                <wp:lineTo x="2022" y="526"/>
              </wp:wrapPolygon>
            </wp:wrapTight>
            <wp:docPr id="15" name="图片 15" descr="C:\Users\DKY-WLJ\AppData\Local\Temp\ksohtml13608\wps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DKY-WLJ\AppData\Local\Temp\ksohtml13608\wps15.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086800" cy="3913200"/>
                    </a:xfrm>
                    <a:prstGeom prst="rect">
                      <a:avLst/>
                    </a:prstGeom>
                    <a:noFill/>
                    <a:ln>
                      <a:noFill/>
                    </a:ln>
                  </pic:spPr>
                </pic:pic>
              </a:graphicData>
            </a:graphic>
          </wp:anchor>
        </w:drawing>
      </w:r>
    </w:p>
    <w:p>
      <w:pPr>
        <w:rPr>
          <w:rFonts w:ascii="Calibri" w:hAnsi="Calibri"/>
        </w:rPr>
      </w:pPr>
    </w:p>
    <w:p>
      <w:pPr>
        <w:rPr>
          <w:rFonts w:ascii="Calibri" w:hAnsi="Calibri"/>
        </w:rPr>
      </w:pPr>
      <w:r>
        <w:rPr>
          <w:rFonts w:ascii="Calibri" w:hAnsi="Calibri"/>
        </w:rPr>
        <w:t xml:space="preserve"> </w:t>
      </w:r>
    </w:p>
    <w:p>
      <w:pPr>
        <w:rPr>
          <w:rFonts w:ascii="Calibri" w:hAnsi="Calibri"/>
        </w:rPr>
      </w:pPr>
      <w:r>
        <w:rPr>
          <w:rFonts w:ascii="Calibri" w:hAnsi="Calibri"/>
        </w:rPr>
        <w:t xml:space="preserve"> </w:t>
      </w:r>
    </w:p>
    <w:p>
      <w:pPr>
        <w:rPr>
          <w:rFonts w:ascii="Calibri" w:hAnsi="Calibri"/>
        </w:rPr>
      </w:pPr>
      <w:r>
        <w:rPr>
          <w:rFonts w:ascii="Calibri" w:hAnsi="Calibri"/>
        </w:rPr>
        <w:t xml:space="preserve"> </w:t>
      </w:r>
    </w:p>
    <w:p>
      <w:pPr>
        <w:autoSpaceDE w:val="0"/>
        <w:spacing w:line="480" w:lineRule="auto"/>
        <w:rPr>
          <w:bCs/>
        </w:rPr>
      </w:pPr>
      <w:r>
        <w:rPr>
          <w:bCs/>
        </w:rPr>
        <w:t xml:space="preserve"> </w:t>
      </w:r>
    </w:p>
    <w:p>
      <w:pPr>
        <w:autoSpaceDE w:val="0"/>
        <w:spacing w:line="480" w:lineRule="auto"/>
        <w:rPr>
          <w:bCs/>
        </w:rPr>
      </w:pPr>
      <w:r>
        <w:rPr>
          <w:bCs/>
        </w:rPr>
        <w:t xml:space="preserve"> </w:t>
      </w:r>
    </w:p>
    <w:p>
      <w:pPr>
        <w:autoSpaceDE w:val="0"/>
        <w:spacing w:line="480" w:lineRule="auto"/>
        <w:rPr>
          <w:bCs/>
        </w:rPr>
      </w:pPr>
      <w:r>
        <w:rPr>
          <w:bCs/>
        </w:rPr>
        <w:t xml:space="preserve"> </w:t>
      </w:r>
    </w:p>
    <w:p>
      <w:pPr>
        <w:autoSpaceDE w:val="0"/>
        <w:spacing w:line="480" w:lineRule="auto"/>
        <w:rPr>
          <w:bCs/>
        </w:rPr>
      </w:pPr>
      <w:r>
        <w:rPr>
          <w:bCs/>
        </w:rPr>
        <w:t xml:space="preserve"> </w:t>
      </w:r>
    </w:p>
    <w:p>
      <w:pPr>
        <w:autoSpaceDE w:val="0"/>
        <w:spacing w:line="480" w:lineRule="auto"/>
        <w:jc w:val="left"/>
        <w:rPr>
          <w:bCs/>
        </w:rPr>
      </w:pPr>
      <w:r>
        <w:rPr>
          <w:bCs/>
        </w:rPr>
        <w:t xml:space="preserve"> </w:t>
      </w:r>
    </w:p>
    <w:p>
      <w:pPr>
        <w:autoSpaceDE w:val="0"/>
        <w:spacing w:line="480" w:lineRule="auto"/>
        <w:rPr>
          <w:bCs/>
        </w:rPr>
      </w:pPr>
    </w:p>
    <w:p>
      <w:pPr>
        <w:autoSpaceDE w:val="0"/>
        <w:spacing w:line="480" w:lineRule="auto"/>
        <w:rPr>
          <w:bCs/>
        </w:rPr>
      </w:pPr>
    </w:p>
    <w:p>
      <w:pPr>
        <w:autoSpaceDE w:val="0"/>
        <w:spacing w:line="480" w:lineRule="auto"/>
        <w:jc w:val="center"/>
        <w:rPr>
          <w:bCs/>
        </w:rPr>
      </w:pPr>
      <w:r>
        <w:rPr>
          <w:rFonts w:hint="eastAsia"/>
          <w:bCs/>
        </w:rPr>
        <w:t>Fig. S3 Concentration of heavy metal in road dust of Jinan City.</w:t>
      </w:r>
    </w:p>
    <w:p>
      <w:pPr>
        <w:autoSpaceDE w:val="0"/>
        <w:spacing w:line="480" w:lineRule="auto"/>
        <w:rPr>
          <w:bCs/>
        </w:rPr>
      </w:pPr>
    </w:p>
    <w:p>
      <w:pPr>
        <w:autoSpaceDE w:val="0"/>
        <w:spacing w:line="480" w:lineRule="auto"/>
        <w:rPr>
          <w:bCs/>
        </w:rPr>
      </w:pPr>
    </w:p>
    <w:p>
      <w:pPr>
        <w:autoSpaceDE w:val="0"/>
        <w:spacing w:line="480" w:lineRule="auto"/>
        <w:rPr>
          <w:bCs/>
        </w:rPr>
      </w:pPr>
    </w:p>
    <w:p>
      <w:pPr>
        <w:autoSpaceDE w:val="0"/>
        <w:spacing w:line="480" w:lineRule="auto"/>
        <w:rPr>
          <w:bCs/>
        </w:rPr>
      </w:pPr>
    </w:p>
    <w:p>
      <w:pPr>
        <w:autoSpaceDE w:val="0"/>
        <w:spacing w:line="480" w:lineRule="auto"/>
        <w:rPr>
          <w:bCs/>
        </w:rPr>
      </w:pPr>
    </w:p>
    <w:p>
      <w:pPr>
        <w:autoSpaceDE w:val="0"/>
        <w:spacing w:line="480" w:lineRule="auto"/>
        <w:rPr>
          <w:bCs/>
        </w:rPr>
      </w:pPr>
    </w:p>
    <w:p>
      <w:pPr>
        <w:autoSpaceDE w:val="0"/>
        <w:spacing w:line="480" w:lineRule="auto"/>
        <w:rPr>
          <w:bCs/>
        </w:rPr>
      </w:pPr>
    </w:p>
    <w:p>
      <w:pPr>
        <w:autoSpaceDE w:val="0"/>
        <w:spacing w:line="480" w:lineRule="auto"/>
        <w:rPr>
          <w:bCs/>
        </w:rPr>
      </w:pPr>
    </w:p>
    <w:p>
      <w:pPr>
        <w:autoSpaceDE w:val="0"/>
        <w:spacing w:line="480" w:lineRule="auto"/>
        <w:rPr>
          <w:bCs/>
        </w:rPr>
      </w:pPr>
    </w:p>
    <w:p>
      <w:pPr>
        <w:autoSpaceDE w:val="0"/>
        <w:spacing w:line="480" w:lineRule="auto"/>
        <w:rPr>
          <w:bCs/>
        </w:rPr>
      </w:pPr>
    </w:p>
    <w:p>
      <w:pPr>
        <w:autoSpaceDE w:val="0"/>
        <w:spacing w:line="480" w:lineRule="auto"/>
        <w:rPr>
          <w:bCs/>
        </w:rPr>
      </w:pPr>
    </w:p>
    <w:p>
      <w:pPr>
        <w:autoSpaceDE w:val="0"/>
        <w:spacing w:line="480" w:lineRule="auto"/>
        <w:jc w:val="center"/>
        <w:rPr>
          <w:bCs/>
          <w:color w:val="FF0000"/>
        </w:rPr>
      </w:pPr>
      <w:r>
        <w:rPr>
          <w:bCs/>
        </w:rPr>
        <w:drawing>
          <wp:anchor distT="0" distB="0" distL="114300" distR="114300" simplePos="0" relativeHeight="251658240" behindDoc="1" locked="0" layoutInCell="1" allowOverlap="0">
            <wp:simplePos x="0" y="0"/>
            <wp:positionH relativeFrom="column">
              <wp:align>center</wp:align>
            </wp:positionH>
            <wp:positionV relativeFrom="line">
              <wp:posOffset>0</wp:posOffset>
            </wp:positionV>
            <wp:extent cx="4849495" cy="8352155"/>
            <wp:effectExtent l="0" t="0" r="8890" b="0"/>
            <wp:wrapTight wrapText="bothSides">
              <wp:wrapPolygon>
                <wp:start x="0" y="0"/>
                <wp:lineTo x="0" y="21531"/>
                <wp:lineTo x="21555" y="21531"/>
                <wp:lineTo x="21555" y="0"/>
                <wp:lineTo x="0" y="0"/>
              </wp:wrapPolygon>
            </wp:wrapTight>
            <wp:docPr id="14" name="图片 14" descr="C:\Users\DKY-WLJ\AppData\Local\Temp\ksohtml13608\wps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DKY-WLJ\AppData\Local\Temp\ksohtml13608\wps16.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4849200" cy="8352000"/>
                    </a:xfrm>
                    <a:prstGeom prst="rect">
                      <a:avLst/>
                    </a:prstGeom>
                    <a:noFill/>
                    <a:ln>
                      <a:noFill/>
                    </a:ln>
                  </pic:spPr>
                </pic:pic>
              </a:graphicData>
            </a:graphic>
          </wp:anchor>
        </w:drawing>
      </w:r>
      <w:r>
        <w:rPr>
          <w:bCs/>
        </w:rPr>
        <w:t>Fig. S</w:t>
      </w:r>
      <w:r>
        <w:rPr>
          <w:rFonts w:hint="eastAsia"/>
          <w:bCs/>
        </w:rPr>
        <w:t>4</w:t>
      </w:r>
      <w:r>
        <w:rPr>
          <w:bCs/>
          <w:color w:val="FF0000"/>
        </w:rPr>
        <w:t xml:space="preserve"> </w:t>
      </w:r>
      <w:r>
        <w:rPr>
          <w:bCs/>
        </w:rPr>
        <w:t xml:space="preserve">Spatial distribution of </w:t>
      </w:r>
      <w:r>
        <w:rPr>
          <w:rFonts w:hint="eastAsia"/>
          <w:bCs/>
        </w:rPr>
        <w:t>heavy</w:t>
      </w:r>
      <w:r>
        <w:rPr>
          <w:bCs/>
        </w:rPr>
        <w:t xml:space="preserve"> metals in the road dust of Jinan City</w:t>
      </w:r>
    </w:p>
    <w:p>
      <w:pPr>
        <w:jc w:val="left"/>
        <w:rPr>
          <w:rFonts w:ascii="Calibri" w:hAnsi="Calibri"/>
        </w:rPr>
      </w:pPr>
    </w:p>
    <w:p>
      <w:pPr>
        <w:spacing w:line="480" w:lineRule="auto"/>
        <w:ind w:firstLine="420" w:firstLineChars="200"/>
        <w:jc w:val="left"/>
        <w:rPr>
          <w:bCs/>
        </w:rPr>
      </w:pPr>
      <w:r>
        <w:rPr>
          <w:rFonts w:ascii="Calibri" w:hAnsi="Calibri"/>
        </w:rPr>
        <w:drawing>
          <wp:anchor distT="0" distB="0" distL="114300" distR="114300" simplePos="0" relativeHeight="251659264" behindDoc="1" locked="0" layoutInCell="1" allowOverlap="0">
            <wp:simplePos x="0" y="0"/>
            <wp:positionH relativeFrom="column">
              <wp:align>center</wp:align>
            </wp:positionH>
            <wp:positionV relativeFrom="line">
              <wp:posOffset>0</wp:posOffset>
            </wp:positionV>
            <wp:extent cx="4589780" cy="2760980"/>
            <wp:effectExtent l="0" t="0" r="1270" b="1270"/>
            <wp:wrapTight wrapText="bothSides">
              <wp:wrapPolygon>
                <wp:start x="0" y="0"/>
                <wp:lineTo x="0" y="21461"/>
                <wp:lineTo x="21516" y="21461"/>
                <wp:lineTo x="21516" y="0"/>
                <wp:lineTo x="0" y="0"/>
              </wp:wrapPolygon>
            </wp:wrapTight>
            <wp:docPr id="13" name="图片 13" descr="C:\Users\DKY-WLJ\AppData\Local\Temp\ksohtml13608\wps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DKY-WLJ\AppData\Local\Temp\ksohtml13608\wps17.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4590000" cy="2761200"/>
                    </a:xfrm>
                    <a:prstGeom prst="rect">
                      <a:avLst/>
                    </a:prstGeom>
                    <a:noFill/>
                    <a:ln>
                      <a:noFill/>
                    </a:ln>
                  </pic:spPr>
                </pic:pic>
              </a:graphicData>
            </a:graphic>
          </wp:anchor>
        </w:drawing>
      </w:r>
      <w:r>
        <w:rPr>
          <w:bCs/>
        </w:rPr>
        <w:t xml:space="preserve"> </w:t>
      </w:r>
    </w:p>
    <w:p>
      <w:pPr>
        <w:spacing w:line="480" w:lineRule="auto"/>
        <w:jc w:val="left"/>
        <w:rPr>
          <w:bCs/>
        </w:rPr>
      </w:pPr>
    </w:p>
    <w:p>
      <w:pPr>
        <w:spacing w:line="480" w:lineRule="auto"/>
        <w:jc w:val="left"/>
        <w:rPr>
          <w:bCs/>
        </w:rPr>
      </w:pPr>
    </w:p>
    <w:p>
      <w:pPr>
        <w:spacing w:line="480" w:lineRule="auto"/>
        <w:jc w:val="left"/>
        <w:rPr>
          <w:bCs/>
        </w:rPr>
      </w:pPr>
    </w:p>
    <w:p>
      <w:pPr>
        <w:spacing w:line="480" w:lineRule="auto"/>
        <w:jc w:val="left"/>
        <w:rPr>
          <w:bCs/>
        </w:rPr>
      </w:pPr>
    </w:p>
    <w:p>
      <w:pPr>
        <w:spacing w:line="480" w:lineRule="auto"/>
        <w:jc w:val="left"/>
        <w:rPr>
          <w:bCs/>
        </w:rPr>
      </w:pPr>
    </w:p>
    <w:p>
      <w:pPr>
        <w:spacing w:line="480" w:lineRule="auto"/>
        <w:jc w:val="left"/>
        <w:rPr>
          <w:bCs/>
        </w:rPr>
      </w:pPr>
    </w:p>
    <w:p>
      <w:pPr>
        <w:spacing w:line="480" w:lineRule="auto"/>
        <w:jc w:val="center"/>
        <w:rPr>
          <w:bCs/>
        </w:rPr>
      </w:pPr>
      <w:r>
        <w:rPr>
          <w:bCs/>
        </w:rPr>
        <w:t xml:space="preserve"> Fig. S</w:t>
      </w:r>
      <w:r>
        <w:rPr>
          <w:rFonts w:hint="eastAsia"/>
          <w:bCs/>
        </w:rPr>
        <w:t>5</w:t>
      </w:r>
      <w:r>
        <w:rPr>
          <w:bCs/>
        </w:rPr>
        <w:t xml:space="preserve"> </w:t>
      </w:r>
      <w:r>
        <w:rPr>
          <w:rFonts w:hint="eastAsia"/>
          <w:bCs/>
        </w:rPr>
        <w:t>Speciation</w:t>
      </w:r>
      <w:r>
        <w:rPr>
          <w:bCs/>
        </w:rPr>
        <w:t xml:space="preserve"> characteristic</w:t>
      </w:r>
      <w:r>
        <w:rPr>
          <w:rFonts w:hint="eastAsia"/>
          <w:bCs/>
        </w:rPr>
        <w:t>s</w:t>
      </w:r>
      <w:r>
        <w:rPr>
          <w:bCs/>
        </w:rPr>
        <w:t xml:space="preserve"> of </w:t>
      </w:r>
      <w:r>
        <w:rPr>
          <w:rFonts w:hint="eastAsia"/>
          <w:bCs/>
        </w:rPr>
        <w:t>heavy</w:t>
      </w:r>
      <w:r>
        <w:rPr>
          <w:bCs/>
        </w:rPr>
        <w:t xml:space="preserve"> metals in </w:t>
      </w:r>
      <w:r>
        <w:rPr>
          <w:rFonts w:hint="eastAsia"/>
          <w:bCs/>
        </w:rPr>
        <w:t xml:space="preserve">the </w:t>
      </w:r>
      <w:r>
        <w:rPr>
          <w:bCs/>
        </w:rPr>
        <w:t>road dust of Jinan City</w:t>
      </w:r>
      <w:r>
        <w:rPr>
          <w:rFonts w:hint="eastAsia"/>
          <w:bCs/>
        </w:rPr>
        <w:t xml:space="preserve"> </w:t>
      </w:r>
    </w:p>
    <w:p>
      <w:pPr>
        <w:spacing w:line="480" w:lineRule="auto"/>
        <w:jc w:val="left"/>
        <w:rPr>
          <w:bCs/>
        </w:rPr>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r>
        <w:rPr>
          <w:b/>
          <w:bCs/>
        </w:rPr>
        <w:t>Table S</w:t>
      </w:r>
      <w:r>
        <w:rPr>
          <w:rFonts w:hint="eastAsia"/>
          <w:b/>
          <w:bCs/>
        </w:rPr>
        <w:t>1</w:t>
      </w:r>
      <w:r>
        <w:t xml:space="preserve"> </w:t>
      </w:r>
    </w:p>
    <w:p>
      <w:pPr>
        <w:autoSpaceDE w:val="0"/>
        <w:spacing w:line="480" w:lineRule="auto"/>
      </w:pPr>
      <w:r>
        <w:t>Physicochemical properties (pH, EC, LF, HF and FD) of road dust</w:t>
      </w:r>
    </w:p>
    <w:tbl>
      <w:tblPr>
        <w:tblStyle w:val="7"/>
        <w:tblW w:w="8330" w:type="dxa"/>
        <w:tblInd w:w="96" w:type="dxa"/>
        <w:tblLayout w:type="fixed"/>
        <w:tblCellMar>
          <w:top w:w="0" w:type="dxa"/>
          <w:left w:w="0" w:type="dxa"/>
          <w:bottom w:w="0" w:type="dxa"/>
          <w:right w:w="0" w:type="dxa"/>
        </w:tblCellMar>
      </w:tblPr>
      <w:tblGrid>
        <w:gridCol w:w="1352"/>
        <w:gridCol w:w="1434"/>
        <w:gridCol w:w="1434"/>
        <w:gridCol w:w="1434"/>
        <w:gridCol w:w="1352"/>
        <w:gridCol w:w="1324"/>
      </w:tblGrid>
      <w:tr>
        <w:tblPrEx>
          <w:tblLayout w:type="fixed"/>
          <w:tblCellMar>
            <w:top w:w="0" w:type="dxa"/>
            <w:left w:w="0" w:type="dxa"/>
            <w:bottom w:w="0" w:type="dxa"/>
            <w:right w:w="0" w:type="dxa"/>
          </w:tblCellMar>
        </w:tblPrEx>
        <w:trPr>
          <w:trHeight w:val="288" w:hRule="atLeast"/>
        </w:trPr>
        <w:tc>
          <w:tcPr>
            <w:tcW w:w="1352"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rPr>
            </w:pPr>
            <w:r>
              <w:rPr>
                <w:rFonts w:hint="eastAsia"/>
                <w:color w:val="000000"/>
                <w:kern w:val="0"/>
              </w:rPr>
              <w:t>Items</w:t>
            </w:r>
          </w:p>
        </w:tc>
        <w:tc>
          <w:tcPr>
            <w:tcW w:w="1434"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rPr>
            </w:pPr>
            <w:r>
              <w:rPr>
                <w:rFonts w:hint="eastAsia"/>
                <w:color w:val="000000"/>
                <w:kern w:val="0"/>
              </w:rPr>
              <w:t>p</w:t>
            </w:r>
            <w:r>
              <w:rPr>
                <w:color w:val="000000"/>
                <w:kern w:val="0"/>
              </w:rPr>
              <w:t>H</w:t>
            </w:r>
          </w:p>
        </w:tc>
        <w:tc>
          <w:tcPr>
            <w:tcW w:w="1434"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EC</w:t>
            </w:r>
          </w:p>
        </w:tc>
        <w:tc>
          <w:tcPr>
            <w:tcW w:w="1434"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LF</w:t>
            </w:r>
          </w:p>
        </w:tc>
        <w:tc>
          <w:tcPr>
            <w:tcW w:w="1352"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HF</w:t>
            </w:r>
          </w:p>
        </w:tc>
        <w:tc>
          <w:tcPr>
            <w:tcW w:w="1324"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FD</w:t>
            </w:r>
          </w:p>
        </w:tc>
      </w:tr>
      <w:tr>
        <w:tblPrEx>
          <w:tblLayout w:type="fixed"/>
          <w:tblCellMar>
            <w:top w:w="0" w:type="dxa"/>
            <w:left w:w="0" w:type="dxa"/>
            <w:bottom w:w="0" w:type="dxa"/>
            <w:right w:w="0" w:type="dxa"/>
          </w:tblCellMar>
        </w:tblPrEx>
        <w:trPr>
          <w:trHeight w:val="288" w:hRule="atLeast"/>
        </w:trPr>
        <w:tc>
          <w:tcPr>
            <w:tcW w:w="1352" w:type="dxa"/>
            <w:tcBorders>
              <w:top w:val="nil"/>
              <w:left w:val="nil"/>
              <w:bottom w:val="nil"/>
              <w:right w:val="nil"/>
            </w:tcBorders>
            <w:noWrap/>
            <w:tcMar>
              <w:top w:w="12" w:type="dxa"/>
              <w:left w:w="12" w:type="dxa"/>
              <w:bottom w:w="0" w:type="dxa"/>
              <w:right w:w="12" w:type="dxa"/>
            </w:tcMar>
            <w:vAlign w:val="center"/>
          </w:tcPr>
          <w:p>
            <w:pPr>
              <w:jc w:val="left"/>
              <w:rPr>
                <w:color w:val="000000"/>
              </w:rPr>
            </w:pPr>
            <w:r>
              <w:rPr>
                <w:rFonts w:hint="eastAsia"/>
                <w:color w:val="000000"/>
              </w:rPr>
              <w:t>Unit</w:t>
            </w:r>
          </w:p>
        </w:tc>
        <w:tc>
          <w:tcPr>
            <w:tcW w:w="1434" w:type="dxa"/>
            <w:tcBorders>
              <w:top w:val="nil"/>
              <w:left w:val="nil"/>
              <w:bottom w:val="nil"/>
              <w:right w:val="nil"/>
            </w:tcBorders>
            <w:noWrap/>
            <w:tcMar>
              <w:top w:w="12" w:type="dxa"/>
              <w:left w:w="12" w:type="dxa"/>
              <w:bottom w:w="0" w:type="dxa"/>
              <w:right w:w="12" w:type="dxa"/>
            </w:tcMar>
            <w:vAlign w:val="center"/>
          </w:tcPr>
          <w:p>
            <w:pPr>
              <w:jc w:val="left"/>
              <w:rPr>
                <w:color w:val="000000"/>
              </w:rPr>
            </w:pPr>
            <w:r>
              <w:rPr>
                <w:rFonts w:hint="eastAsia"/>
                <w:color w:val="000000"/>
              </w:rPr>
              <w:t>Unitless</w:t>
            </w:r>
          </w:p>
        </w:tc>
        <w:tc>
          <w:tcPr>
            <w:tcW w:w="143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μ</w:t>
            </w:r>
            <w:r>
              <w:rPr>
                <w:rFonts w:hint="eastAsia"/>
                <w:color w:val="000000"/>
                <w:kern w:val="0"/>
              </w:rPr>
              <w:t>S</w:t>
            </w:r>
            <w:r>
              <w:rPr>
                <w:color w:val="000000"/>
                <w:kern w:val="0"/>
              </w:rPr>
              <w:t>/</w:t>
            </w:r>
            <w:r>
              <w:rPr>
                <w:rFonts w:hint="eastAsia"/>
                <w:color w:val="000000"/>
                <w:kern w:val="0"/>
              </w:rPr>
              <w:t>cm</w:t>
            </w:r>
          </w:p>
        </w:tc>
        <w:tc>
          <w:tcPr>
            <w:tcW w:w="1434" w:type="dxa"/>
            <w:tcBorders>
              <w:top w:val="nil"/>
              <w:left w:val="nil"/>
              <w:bottom w:val="nil"/>
              <w:right w:val="nil"/>
            </w:tcBorders>
            <w:noWrap/>
            <w:tcMar>
              <w:top w:w="12" w:type="dxa"/>
              <w:left w:w="12" w:type="dxa"/>
              <w:bottom w:w="0" w:type="dxa"/>
              <w:right w:w="12" w:type="dxa"/>
            </w:tcMar>
            <w:vAlign w:val="center"/>
          </w:tcPr>
          <w:p>
            <w:pPr>
              <w:jc w:val="left"/>
              <w:rPr>
                <w:color w:val="000000"/>
              </w:rPr>
            </w:pPr>
            <w:r>
              <w:rPr>
                <w:kern w:val="0"/>
              </w:rPr>
              <w:t>×</w:t>
            </w:r>
            <w:r>
              <w:rPr>
                <w:rFonts w:hint="eastAsia"/>
                <w:color w:val="000000"/>
                <w:kern w:val="0"/>
              </w:rPr>
              <w:t>10</w:t>
            </w:r>
            <w:r>
              <w:rPr>
                <w:rFonts w:hint="eastAsia"/>
                <w:color w:val="000000"/>
                <w:kern w:val="0"/>
                <w:vertAlign w:val="superscript"/>
              </w:rPr>
              <w:t>8 </w:t>
            </w:r>
            <w:r>
              <w:rPr>
                <w:color w:val="000000"/>
              </w:rPr>
              <w:t>m</w:t>
            </w:r>
            <w:r>
              <w:rPr>
                <w:color w:val="000000"/>
                <w:vertAlign w:val="superscript"/>
              </w:rPr>
              <w:t>3</w:t>
            </w:r>
            <w:r>
              <w:rPr>
                <w:color w:val="000000"/>
              </w:rPr>
              <w:t>/kg</w:t>
            </w:r>
          </w:p>
        </w:tc>
        <w:tc>
          <w:tcPr>
            <w:tcW w:w="1352" w:type="dxa"/>
            <w:tcBorders>
              <w:top w:val="nil"/>
              <w:left w:val="nil"/>
              <w:bottom w:val="nil"/>
              <w:right w:val="nil"/>
            </w:tcBorders>
            <w:noWrap/>
            <w:tcMar>
              <w:top w:w="12" w:type="dxa"/>
              <w:left w:w="12" w:type="dxa"/>
              <w:bottom w:w="0" w:type="dxa"/>
              <w:right w:w="12" w:type="dxa"/>
            </w:tcMar>
            <w:vAlign w:val="center"/>
          </w:tcPr>
          <w:p>
            <w:pPr>
              <w:jc w:val="left"/>
              <w:rPr>
                <w:color w:val="000000"/>
              </w:rPr>
            </w:pPr>
            <w:r>
              <w:rPr>
                <w:kern w:val="0"/>
              </w:rPr>
              <w:t>×</w:t>
            </w:r>
            <w:r>
              <w:rPr>
                <w:rFonts w:hint="eastAsia"/>
                <w:kern w:val="0"/>
              </w:rPr>
              <w:t>10</w:t>
            </w:r>
            <w:r>
              <w:rPr>
                <w:rFonts w:hint="eastAsia"/>
                <w:kern w:val="0"/>
                <w:vertAlign w:val="superscript"/>
              </w:rPr>
              <w:t>8</w:t>
            </w:r>
            <w:r>
              <w:rPr>
                <w:rFonts w:hint="eastAsia"/>
                <w:color w:val="000000"/>
                <w:kern w:val="0"/>
                <w:vertAlign w:val="superscript"/>
              </w:rPr>
              <w:t> </w:t>
            </w:r>
            <w:r>
              <w:rPr>
                <w:color w:val="000000"/>
              </w:rPr>
              <w:t>m</w:t>
            </w:r>
            <w:r>
              <w:rPr>
                <w:color w:val="000000"/>
                <w:vertAlign w:val="superscript"/>
              </w:rPr>
              <w:t>3</w:t>
            </w:r>
            <w:r>
              <w:rPr>
                <w:color w:val="000000"/>
              </w:rPr>
              <w:t>/kg</w:t>
            </w:r>
          </w:p>
        </w:tc>
        <w:tc>
          <w:tcPr>
            <w:tcW w:w="1324" w:type="dxa"/>
            <w:tcBorders>
              <w:top w:val="nil"/>
              <w:left w:val="nil"/>
              <w:bottom w:val="nil"/>
              <w:right w:val="nil"/>
            </w:tcBorders>
            <w:noWrap/>
            <w:tcMar>
              <w:top w:w="12" w:type="dxa"/>
              <w:left w:w="12" w:type="dxa"/>
              <w:bottom w:w="0" w:type="dxa"/>
              <w:right w:w="12" w:type="dxa"/>
            </w:tcMar>
            <w:vAlign w:val="center"/>
          </w:tcPr>
          <w:p>
            <w:pPr>
              <w:jc w:val="left"/>
              <w:rPr>
                <w:color w:val="000000"/>
              </w:rPr>
            </w:pPr>
            <w:r>
              <w:rPr>
                <w:rFonts w:hint="eastAsia"/>
                <w:color w:val="000000"/>
              </w:rPr>
              <w:t>%</w:t>
            </w:r>
          </w:p>
        </w:tc>
      </w:tr>
      <w:tr>
        <w:tblPrEx>
          <w:tblLayout w:type="fixed"/>
          <w:tblCellMar>
            <w:top w:w="0" w:type="dxa"/>
            <w:left w:w="0" w:type="dxa"/>
            <w:bottom w:w="0" w:type="dxa"/>
            <w:right w:w="0" w:type="dxa"/>
          </w:tblCellMar>
        </w:tblPrEx>
        <w:trPr>
          <w:trHeight w:val="288" w:hRule="atLeast"/>
        </w:trPr>
        <w:tc>
          <w:tcPr>
            <w:tcW w:w="1352"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Min</w:t>
            </w:r>
          </w:p>
        </w:tc>
        <w:tc>
          <w:tcPr>
            <w:tcW w:w="143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7.06 </w:t>
            </w:r>
          </w:p>
        </w:tc>
        <w:tc>
          <w:tcPr>
            <w:tcW w:w="143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214 </w:t>
            </w:r>
          </w:p>
        </w:tc>
        <w:tc>
          <w:tcPr>
            <w:tcW w:w="143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337 </w:t>
            </w:r>
          </w:p>
        </w:tc>
        <w:tc>
          <w:tcPr>
            <w:tcW w:w="1352"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294 </w:t>
            </w:r>
          </w:p>
        </w:tc>
        <w:tc>
          <w:tcPr>
            <w:tcW w:w="132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2.07</w:t>
            </w:r>
          </w:p>
        </w:tc>
      </w:tr>
      <w:tr>
        <w:tblPrEx>
          <w:tblLayout w:type="fixed"/>
          <w:tblCellMar>
            <w:top w:w="0" w:type="dxa"/>
            <w:left w:w="0" w:type="dxa"/>
            <w:bottom w:w="0" w:type="dxa"/>
            <w:right w:w="0" w:type="dxa"/>
          </w:tblCellMar>
        </w:tblPrEx>
        <w:trPr>
          <w:trHeight w:val="288" w:hRule="atLeast"/>
        </w:trPr>
        <w:tc>
          <w:tcPr>
            <w:tcW w:w="1352"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Max</w:t>
            </w:r>
          </w:p>
        </w:tc>
        <w:tc>
          <w:tcPr>
            <w:tcW w:w="143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9.64 </w:t>
            </w:r>
          </w:p>
        </w:tc>
        <w:tc>
          <w:tcPr>
            <w:tcW w:w="143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6</w:t>
            </w:r>
            <w:r>
              <w:rPr>
                <w:rFonts w:hint="eastAsia"/>
                <w:color w:val="000000"/>
                <w:kern w:val="0"/>
              </w:rPr>
              <w:t>.</w:t>
            </w:r>
            <w:r>
              <w:rPr>
                <w:color w:val="000000"/>
                <w:kern w:val="0"/>
              </w:rPr>
              <w:t>23</w:t>
            </w:r>
            <w:r>
              <w:rPr>
                <w:rFonts w:ascii="Arial" w:hAnsi="Arial" w:cs="Arial"/>
                <w:color w:val="000000"/>
                <w:kern w:val="0"/>
              </w:rPr>
              <w:t>×</w:t>
            </w:r>
            <w:r>
              <w:rPr>
                <w:rFonts w:hint="eastAsia"/>
                <w:color w:val="000000"/>
                <w:kern w:val="0"/>
              </w:rPr>
              <w:t>10</w:t>
            </w:r>
            <w:r>
              <w:rPr>
                <w:rFonts w:hint="eastAsia"/>
                <w:color w:val="000000"/>
                <w:kern w:val="0"/>
                <w:vertAlign w:val="superscript"/>
              </w:rPr>
              <w:t>3</w:t>
            </w:r>
            <w:r>
              <w:rPr>
                <w:color w:val="000000"/>
                <w:kern w:val="0"/>
              </w:rPr>
              <w:t> </w:t>
            </w:r>
          </w:p>
        </w:tc>
        <w:tc>
          <w:tcPr>
            <w:tcW w:w="143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1</w:t>
            </w:r>
            <w:r>
              <w:rPr>
                <w:rFonts w:hint="eastAsia"/>
                <w:color w:val="000000"/>
                <w:kern w:val="0"/>
              </w:rPr>
              <w:t>.</w:t>
            </w:r>
            <w:r>
              <w:rPr>
                <w:color w:val="000000"/>
                <w:kern w:val="0"/>
              </w:rPr>
              <w:t>69</w:t>
            </w:r>
            <w:r>
              <w:rPr>
                <w:rFonts w:ascii="Arial" w:hAnsi="Arial" w:cs="Arial"/>
                <w:color w:val="000000"/>
                <w:kern w:val="0"/>
              </w:rPr>
              <w:t>×</w:t>
            </w:r>
            <w:r>
              <w:rPr>
                <w:rFonts w:hint="eastAsia"/>
                <w:color w:val="000000"/>
                <w:kern w:val="0"/>
              </w:rPr>
              <w:t>10</w:t>
            </w:r>
            <w:r>
              <w:rPr>
                <w:rFonts w:hint="eastAsia"/>
                <w:color w:val="000000"/>
                <w:kern w:val="0"/>
                <w:vertAlign w:val="superscript"/>
              </w:rPr>
              <w:t>3</w:t>
            </w:r>
          </w:p>
        </w:tc>
        <w:tc>
          <w:tcPr>
            <w:tcW w:w="1352"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1</w:t>
            </w:r>
            <w:r>
              <w:rPr>
                <w:rFonts w:hint="eastAsia"/>
                <w:color w:val="000000"/>
                <w:kern w:val="0"/>
              </w:rPr>
              <w:t>.</w:t>
            </w:r>
            <w:r>
              <w:rPr>
                <w:color w:val="000000"/>
                <w:kern w:val="0"/>
              </w:rPr>
              <w:t>6</w:t>
            </w:r>
            <w:r>
              <w:rPr>
                <w:rFonts w:hint="eastAsia"/>
                <w:color w:val="000000"/>
                <w:kern w:val="0"/>
              </w:rPr>
              <w:t>6</w:t>
            </w:r>
            <w:r>
              <w:rPr>
                <w:rFonts w:ascii="Arial" w:hAnsi="Arial" w:cs="Arial"/>
                <w:color w:val="000000"/>
                <w:kern w:val="0"/>
              </w:rPr>
              <w:t>×</w:t>
            </w:r>
            <w:r>
              <w:rPr>
                <w:rFonts w:hint="eastAsia"/>
                <w:color w:val="000000"/>
                <w:kern w:val="0"/>
              </w:rPr>
              <w:t>10</w:t>
            </w:r>
            <w:r>
              <w:rPr>
                <w:rFonts w:hint="eastAsia"/>
                <w:color w:val="000000"/>
                <w:kern w:val="0"/>
                <w:vertAlign w:val="superscript"/>
              </w:rPr>
              <w:t>3</w:t>
            </w:r>
          </w:p>
        </w:tc>
        <w:tc>
          <w:tcPr>
            <w:tcW w:w="132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12.</w:t>
            </w:r>
            <w:r>
              <w:rPr>
                <w:rFonts w:hint="eastAsia"/>
                <w:color w:val="000000"/>
                <w:kern w:val="0"/>
              </w:rPr>
              <w:t>8</w:t>
            </w:r>
          </w:p>
        </w:tc>
      </w:tr>
      <w:tr>
        <w:tblPrEx>
          <w:tblLayout w:type="fixed"/>
          <w:tblCellMar>
            <w:top w:w="0" w:type="dxa"/>
            <w:left w:w="0" w:type="dxa"/>
            <w:bottom w:w="0" w:type="dxa"/>
            <w:right w:w="0" w:type="dxa"/>
          </w:tblCellMar>
        </w:tblPrEx>
        <w:trPr>
          <w:trHeight w:val="288" w:hRule="atLeast"/>
        </w:trPr>
        <w:tc>
          <w:tcPr>
            <w:tcW w:w="1352"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Mean</w:t>
            </w:r>
          </w:p>
        </w:tc>
        <w:tc>
          <w:tcPr>
            <w:tcW w:w="143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8.02 </w:t>
            </w:r>
          </w:p>
        </w:tc>
        <w:tc>
          <w:tcPr>
            <w:tcW w:w="143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1</w:t>
            </w:r>
            <w:r>
              <w:rPr>
                <w:rFonts w:hint="eastAsia"/>
                <w:color w:val="000000"/>
                <w:kern w:val="0"/>
              </w:rPr>
              <w:t>.</w:t>
            </w:r>
            <w:r>
              <w:rPr>
                <w:color w:val="000000"/>
                <w:kern w:val="0"/>
              </w:rPr>
              <w:t>81</w:t>
            </w:r>
            <w:r>
              <w:rPr>
                <w:rFonts w:ascii="Arial" w:hAnsi="Arial" w:cs="Arial"/>
                <w:color w:val="000000"/>
                <w:kern w:val="0"/>
              </w:rPr>
              <w:t>×</w:t>
            </w:r>
            <w:r>
              <w:rPr>
                <w:rFonts w:hint="eastAsia"/>
                <w:color w:val="000000"/>
                <w:kern w:val="0"/>
              </w:rPr>
              <w:t>10</w:t>
            </w:r>
            <w:r>
              <w:rPr>
                <w:rFonts w:hint="eastAsia"/>
                <w:color w:val="000000"/>
                <w:kern w:val="0"/>
                <w:vertAlign w:val="superscript"/>
              </w:rPr>
              <w:t>3</w:t>
            </w:r>
          </w:p>
        </w:tc>
        <w:tc>
          <w:tcPr>
            <w:tcW w:w="143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608 </w:t>
            </w:r>
          </w:p>
        </w:tc>
        <w:tc>
          <w:tcPr>
            <w:tcW w:w="1352"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561 </w:t>
            </w:r>
          </w:p>
        </w:tc>
        <w:tc>
          <w:tcPr>
            <w:tcW w:w="132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8.40</w:t>
            </w:r>
          </w:p>
        </w:tc>
      </w:tr>
      <w:tr>
        <w:tblPrEx>
          <w:tblLayout w:type="fixed"/>
          <w:tblCellMar>
            <w:top w:w="0" w:type="dxa"/>
            <w:left w:w="0" w:type="dxa"/>
            <w:bottom w:w="0" w:type="dxa"/>
            <w:right w:w="0" w:type="dxa"/>
          </w:tblCellMar>
        </w:tblPrEx>
        <w:trPr>
          <w:trHeight w:val="300" w:hRule="atLeast"/>
        </w:trPr>
        <w:tc>
          <w:tcPr>
            <w:tcW w:w="1352"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Median</w:t>
            </w:r>
          </w:p>
        </w:tc>
        <w:tc>
          <w:tcPr>
            <w:tcW w:w="1434"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8.04 </w:t>
            </w:r>
          </w:p>
        </w:tc>
        <w:tc>
          <w:tcPr>
            <w:tcW w:w="1434"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1</w:t>
            </w:r>
            <w:r>
              <w:rPr>
                <w:rFonts w:hint="eastAsia"/>
                <w:color w:val="000000"/>
                <w:kern w:val="0"/>
              </w:rPr>
              <w:t>.</w:t>
            </w:r>
            <w:r>
              <w:rPr>
                <w:color w:val="000000"/>
                <w:kern w:val="0"/>
              </w:rPr>
              <w:t>48</w:t>
            </w:r>
            <w:r>
              <w:rPr>
                <w:rFonts w:ascii="Arial" w:hAnsi="Arial" w:cs="Arial"/>
                <w:color w:val="000000"/>
                <w:kern w:val="0"/>
              </w:rPr>
              <w:t>×</w:t>
            </w:r>
            <w:r>
              <w:rPr>
                <w:rFonts w:hint="eastAsia"/>
                <w:color w:val="000000"/>
                <w:kern w:val="0"/>
              </w:rPr>
              <w:t>10</w:t>
            </w:r>
            <w:r>
              <w:rPr>
                <w:rFonts w:hint="eastAsia"/>
                <w:color w:val="000000"/>
                <w:kern w:val="0"/>
                <w:vertAlign w:val="superscript"/>
              </w:rPr>
              <w:t>3</w:t>
            </w:r>
          </w:p>
        </w:tc>
        <w:tc>
          <w:tcPr>
            <w:tcW w:w="1434"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556 </w:t>
            </w:r>
          </w:p>
        </w:tc>
        <w:tc>
          <w:tcPr>
            <w:tcW w:w="1352"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 xml:space="preserve">509 </w:t>
            </w:r>
          </w:p>
        </w:tc>
        <w:tc>
          <w:tcPr>
            <w:tcW w:w="1324"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rPr>
            </w:pPr>
            <w:r>
              <w:rPr>
                <w:color w:val="000000"/>
                <w:kern w:val="0"/>
              </w:rPr>
              <w:t>8.73</w:t>
            </w:r>
          </w:p>
        </w:tc>
      </w:tr>
    </w:tbl>
    <w:p>
      <w:pPr>
        <w:spacing w:line="480" w:lineRule="auto"/>
      </w:pPr>
      <w:r>
        <w:rPr>
          <w:rFonts w:hint="eastAsia"/>
        </w:rPr>
        <w:t xml:space="preserve">EC: Electrical conductivity; LF: Low frequency susceptibility; HF: High frequency </w:t>
      </w:r>
      <w:r>
        <w:t>susceptibility; FD</w:t>
      </w:r>
      <w:r>
        <w:rPr>
          <w:rFonts w:hint="eastAsia"/>
        </w:rPr>
        <w:t>: frequency susceptibility.</w:t>
      </w:r>
    </w:p>
    <w:p>
      <w:pPr>
        <w:spacing w:line="480" w:lineRule="auto"/>
      </w:pPr>
    </w:p>
    <w:p>
      <w:pPr>
        <w:autoSpaceDE w:val="0"/>
        <w:spacing w:line="480" w:lineRule="auto"/>
        <w:rPr>
          <w:b/>
          <w:bCs/>
        </w:rPr>
      </w:pPr>
      <w:r>
        <w:rPr>
          <w:rFonts w:hint="eastAsia"/>
          <w:b/>
          <w:bCs/>
        </w:rPr>
        <w:t>Table S2</w:t>
      </w:r>
    </w:p>
    <w:p>
      <w:pPr>
        <w:autoSpaceDE w:val="0"/>
        <w:spacing w:line="480" w:lineRule="auto"/>
      </w:pPr>
      <w:r>
        <w:rPr>
          <w:rFonts w:hint="eastAsia"/>
        </w:rPr>
        <w:t>Quality control of standard soils of GSS1 and GSD5</w:t>
      </w:r>
    </w:p>
    <w:tbl>
      <w:tblPr>
        <w:tblStyle w:val="7"/>
        <w:tblW w:w="8330" w:type="dxa"/>
        <w:tblInd w:w="96" w:type="dxa"/>
        <w:tblLayout w:type="fixed"/>
        <w:tblCellMar>
          <w:top w:w="0" w:type="dxa"/>
          <w:left w:w="0" w:type="dxa"/>
          <w:bottom w:w="0" w:type="dxa"/>
          <w:right w:w="0" w:type="dxa"/>
        </w:tblCellMar>
      </w:tblPr>
      <w:tblGrid>
        <w:gridCol w:w="1646"/>
        <w:gridCol w:w="593"/>
        <w:gridCol w:w="594"/>
        <w:gridCol w:w="718"/>
        <w:gridCol w:w="594"/>
        <w:gridCol w:w="843"/>
        <w:gridCol w:w="593"/>
        <w:gridCol w:w="719"/>
        <w:gridCol w:w="718"/>
        <w:gridCol w:w="594"/>
        <w:gridCol w:w="718"/>
      </w:tblGrid>
      <w:tr>
        <w:tblPrEx>
          <w:tblLayout w:type="fixed"/>
          <w:tblCellMar>
            <w:top w:w="0" w:type="dxa"/>
            <w:left w:w="0" w:type="dxa"/>
            <w:bottom w:w="0" w:type="dxa"/>
            <w:right w:w="0" w:type="dxa"/>
          </w:tblCellMar>
        </w:tblPrEx>
        <w:trPr>
          <w:trHeight w:val="312" w:hRule="atLeast"/>
        </w:trPr>
        <w:tc>
          <w:tcPr>
            <w:tcW w:w="1646"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rFonts w:hint="eastAsia"/>
                <w:color w:val="000000"/>
                <w:kern w:val="0"/>
                <w:sz w:val="18"/>
                <w:szCs w:val="18"/>
              </w:rPr>
              <w:t>Elements</w:t>
            </w:r>
          </w:p>
        </w:tc>
        <w:tc>
          <w:tcPr>
            <w:tcW w:w="593"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Co</w:t>
            </w:r>
          </w:p>
        </w:tc>
        <w:tc>
          <w:tcPr>
            <w:tcW w:w="594"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Cr</w:t>
            </w:r>
          </w:p>
        </w:tc>
        <w:tc>
          <w:tcPr>
            <w:tcW w:w="718"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Cu </w:t>
            </w:r>
          </w:p>
        </w:tc>
        <w:tc>
          <w:tcPr>
            <w:tcW w:w="594"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Cd </w:t>
            </w:r>
          </w:p>
        </w:tc>
        <w:tc>
          <w:tcPr>
            <w:tcW w:w="843"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Mn </w:t>
            </w:r>
          </w:p>
        </w:tc>
        <w:tc>
          <w:tcPr>
            <w:tcW w:w="593"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Ni </w:t>
            </w:r>
          </w:p>
        </w:tc>
        <w:tc>
          <w:tcPr>
            <w:tcW w:w="719"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Pb </w:t>
            </w:r>
          </w:p>
        </w:tc>
        <w:tc>
          <w:tcPr>
            <w:tcW w:w="718"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Zn </w:t>
            </w:r>
          </w:p>
        </w:tc>
        <w:tc>
          <w:tcPr>
            <w:tcW w:w="594"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V </w:t>
            </w:r>
          </w:p>
        </w:tc>
        <w:tc>
          <w:tcPr>
            <w:tcW w:w="718" w:type="dxa"/>
            <w:tcBorders>
              <w:top w:val="single" w:color="auto" w:sz="8" w:space="0"/>
              <w:left w:val="nil"/>
              <w:bottom w:val="single" w:color="auto" w:sz="4"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Ba </w:t>
            </w:r>
          </w:p>
        </w:tc>
      </w:tr>
      <w:tr>
        <w:tblPrEx>
          <w:tblLayout w:type="fixed"/>
          <w:tblCellMar>
            <w:top w:w="0" w:type="dxa"/>
            <w:left w:w="0" w:type="dxa"/>
            <w:bottom w:w="0" w:type="dxa"/>
            <w:right w:w="0" w:type="dxa"/>
          </w:tblCellMar>
        </w:tblPrEx>
        <w:trPr>
          <w:trHeight w:val="312" w:hRule="atLeast"/>
        </w:trPr>
        <w:tc>
          <w:tcPr>
            <w:tcW w:w="1646"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GSS1</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12.36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63.51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20.07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4.35 </w:t>
            </w:r>
          </w:p>
        </w:tc>
        <w:tc>
          <w:tcPr>
            <w:tcW w:w="84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1669.27 </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19.32 </w:t>
            </w:r>
          </w:p>
        </w:tc>
        <w:tc>
          <w:tcPr>
            <w:tcW w:w="719"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104.40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570.27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75.18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530.48 </w:t>
            </w:r>
          </w:p>
        </w:tc>
      </w:tr>
      <w:tr>
        <w:tblPrEx>
          <w:tblLayout w:type="fixed"/>
          <w:tblCellMar>
            <w:top w:w="0" w:type="dxa"/>
            <w:left w:w="0" w:type="dxa"/>
            <w:bottom w:w="0" w:type="dxa"/>
            <w:right w:w="0" w:type="dxa"/>
          </w:tblCellMar>
        </w:tblPrEx>
        <w:trPr>
          <w:trHeight w:val="312" w:hRule="atLeast"/>
        </w:trPr>
        <w:tc>
          <w:tcPr>
            <w:tcW w:w="1646"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Reference value</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14.2</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62</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21</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4.3</w:t>
            </w:r>
          </w:p>
        </w:tc>
        <w:tc>
          <w:tcPr>
            <w:tcW w:w="84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1760</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20.4</w:t>
            </w:r>
          </w:p>
        </w:tc>
        <w:tc>
          <w:tcPr>
            <w:tcW w:w="719"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98</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680</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86</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590</w:t>
            </w:r>
          </w:p>
        </w:tc>
      </w:tr>
      <w:tr>
        <w:tblPrEx>
          <w:tblLayout w:type="fixed"/>
          <w:tblCellMar>
            <w:top w:w="0" w:type="dxa"/>
            <w:left w:w="0" w:type="dxa"/>
            <w:bottom w:w="0" w:type="dxa"/>
            <w:right w:w="0" w:type="dxa"/>
          </w:tblCellMar>
        </w:tblPrEx>
        <w:trPr>
          <w:trHeight w:val="312" w:hRule="atLeast"/>
        </w:trPr>
        <w:tc>
          <w:tcPr>
            <w:tcW w:w="1646"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sz w:val="18"/>
                <w:szCs w:val="18"/>
              </w:rPr>
            </w:pPr>
            <w:r>
              <w:rPr>
                <w:rFonts w:hint="eastAsia"/>
                <w:kern w:val="0"/>
                <w:sz w:val="18"/>
                <w:szCs w:val="18"/>
              </w:rPr>
              <w:t>A</w:t>
            </w:r>
            <w:r>
              <w:rPr>
                <w:kern w:val="0"/>
                <w:sz w:val="18"/>
                <w:szCs w:val="18"/>
              </w:rPr>
              <w:t>bsolute error</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1.84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1.51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0.93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0.05 </w:t>
            </w:r>
          </w:p>
        </w:tc>
        <w:tc>
          <w:tcPr>
            <w:tcW w:w="84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90.73 </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1.08 </w:t>
            </w:r>
          </w:p>
        </w:tc>
        <w:tc>
          <w:tcPr>
            <w:tcW w:w="719"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6.40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109.73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10.82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59.52 </w:t>
            </w:r>
          </w:p>
        </w:tc>
      </w:tr>
      <w:tr>
        <w:tblPrEx>
          <w:tblLayout w:type="fixed"/>
          <w:tblCellMar>
            <w:top w:w="0" w:type="dxa"/>
            <w:left w:w="0" w:type="dxa"/>
            <w:bottom w:w="0" w:type="dxa"/>
            <w:right w:w="0" w:type="dxa"/>
          </w:tblCellMar>
        </w:tblPrEx>
        <w:trPr>
          <w:trHeight w:val="324" w:hRule="atLeast"/>
        </w:trPr>
        <w:tc>
          <w:tcPr>
            <w:tcW w:w="1646"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sz w:val="18"/>
                <w:szCs w:val="18"/>
              </w:rPr>
            </w:pPr>
            <w:r>
              <w:rPr>
                <w:rFonts w:hint="eastAsia"/>
                <w:kern w:val="0"/>
                <w:sz w:val="18"/>
                <w:szCs w:val="18"/>
              </w:rPr>
              <w:t>R</w:t>
            </w:r>
            <w:r>
              <w:rPr>
                <w:kern w:val="0"/>
                <w:sz w:val="18"/>
                <w:szCs w:val="18"/>
              </w:rPr>
              <w:t>elative error</w:t>
            </w:r>
          </w:p>
        </w:tc>
        <w:tc>
          <w:tcPr>
            <w:tcW w:w="593"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12.94 </w:t>
            </w:r>
          </w:p>
        </w:tc>
        <w:tc>
          <w:tcPr>
            <w:tcW w:w="594"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2.44 </w:t>
            </w:r>
          </w:p>
        </w:tc>
        <w:tc>
          <w:tcPr>
            <w:tcW w:w="718"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4.43 </w:t>
            </w:r>
          </w:p>
        </w:tc>
        <w:tc>
          <w:tcPr>
            <w:tcW w:w="594"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1.26 </w:t>
            </w:r>
          </w:p>
        </w:tc>
        <w:tc>
          <w:tcPr>
            <w:tcW w:w="843"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5.16 </w:t>
            </w:r>
          </w:p>
        </w:tc>
        <w:tc>
          <w:tcPr>
            <w:tcW w:w="593"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5.30 </w:t>
            </w:r>
          </w:p>
        </w:tc>
        <w:tc>
          <w:tcPr>
            <w:tcW w:w="719"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6.54 </w:t>
            </w:r>
          </w:p>
        </w:tc>
        <w:tc>
          <w:tcPr>
            <w:tcW w:w="718"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16.14 </w:t>
            </w:r>
          </w:p>
        </w:tc>
        <w:tc>
          <w:tcPr>
            <w:tcW w:w="594"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12.59 </w:t>
            </w:r>
          </w:p>
        </w:tc>
        <w:tc>
          <w:tcPr>
            <w:tcW w:w="718"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10.09 </w:t>
            </w:r>
          </w:p>
        </w:tc>
      </w:tr>
      <w:tr>
        <w:tblPrEx>
          <w:tblLayout w:type="fixed"/>
          <w:tblCellMar>
            <w:top w:w="0" w:type="dxa"/>
            <w:left w:w="0" w:type="dxa"/>
            <w:bottom w:w="0" w:type="dxa"/>
            <w:right w:w="0" w:type="dxa"/>
          </w:tblCellMar>
        </w:tblPrEx>
        <w:trPr>
          <w:trHeight w:val="312" w:hRule="atLeast"/>
        </w:trPr>
        <w:tc>
          <w:tcPr>
            <w:tcW w:w="1646"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GSD5</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16.89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70.81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129.87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1.00 </w:t>
            </w:r>
          </w:p>
        </w:tc>
        <w:tc>
          <w:tcPr>
            <w:tcW w:w="84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1099.69 </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33.28 </w:t>
            </w:r>
          </w:p>
        </w:tc>
        <w:tc>
          <w:tcPr>
            <w:tcW w:w="719"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118.63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208.08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98.44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394.96 </w:t>
            </w:r>
          </w:p>
        </w:tc>
      </w:tr>
      <w:tr>
        <w:tblPrEx>
          <w:tblLayout w:type="fixed"/>
          <w:tblCellMar>
            <w:top w:w="0" w:type="dxa"/>
            <w:left w:w="0" w:type="dxa"/>
            <w:bottom w:w="0" w:type="dxa"/>
            <w:right w:w="0" w:type="dxa"/>
          </w:tblCellMar>
        </w:tblPrEx>
        <w:trPr>
          <w:trHeight w:val="312" w:hRule="atLeast"/>
        </w:trPr>
        <w:tc>
          <w:tcPr>
            <w:tcW w:w="1646"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Reference value</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18.9</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70</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137</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0.82</w:t>
            </w:r>
          </w:p>
        </w:tc>
        <w:tc>
          <w:tcPr>
            <w:tcW w:w="84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1160</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34</w:t>
            </w:r>
          </w:p>
        </w:tc>
        <w:tc>
          <w:tcPr>
            <w:tcW w:w="719"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112</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243</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109</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440</w:t>
            </w:r>
          </w:p>
        </w:tc>
      </w:tr>
      <w:tr>
        <w:tblPrEx>
          <w:tblLayout w:type="fixed"/>
          <w:tblCellMar>
            <w:top w:w="0" w:type="dxa"/>
            <w:left w:w="0" w:type="dxa"/>
            <w:bottom w:w="0" w:type="dxa"/>
            <w:right w:w="0" w:type="dxa"/>
          </w:tblCellMar>
        </w:tblPrEx>
        <w:trPr>
          <w:trHeight w:val="312" w:hRule="atLeast"/>
        </w:trPr>
        <w:tc>
          <w:tcPr>
            <w:tcW w:w="1646"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sz w:val="18"/>
                <w:szCs w:val="18"/>
              </w:rPr>
            </w:pPr>
            <w:r>
              <w:rPr>
                <w:rFonts w:hint="eastAsia"/>
                <w:kern w:val="0"/>
                <w:sz w:val="18"/>
                <w:szCs w:val="18"/>
              </w:rPr>
              <w:t>A</w:t>
            </w:r>
            <w:r>
              <w:rPr>
                <w:kern w:val="0"/>
                <w:sz w:val="18"/>
                <w:szCs w:val="18"/>
              </w:rPr>
              <w:t>bsolute error</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2.01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0.81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7.13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0.18 </w:t>
            </w:r>
          </w:p>
        </w:tc>
        <w:tc>
          <w:tcPr>
            <w:tcW w:w="84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60.31 </w:t>
            </w:r>
          </w:p>
        </w:tc>
        <w:tc>
          <w:tcPr>
            <w:tcW w:w="593"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0.72 </w:t>
            </w:r>
          </w:p>
        </w:tc>
        <w:tc>
          <w:tcPr>
            <w:tcW w:w="719"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6.63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34.92 </w:t>
            </w:r>
          </w:p>
        </w:tc>
        <w:tc>
          <w:tcPr>
            <w:tcW w:w="594"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10.56 </w:t>
            </w:r>
          </w:p>
        </w:tc>
        <w:tc>
          <w:tcPr>
            <w:tcW w:w="718" w:type="dxa"/>
            <w:tcBorders>
              <w:top w:val="nil"/>
              <w:left w:val="nil"/>
              <w:bottom w:val="nil"/>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45.04 </w:t>
            </w:r>
          </w:p>
        </w:tc>
      </w:tr>
      <w:tr>
        <w:tblPrEx>
          <w:tblLayout w:type="fixed"/>
          <w:tblCellMar>
            <w:top w:w="0" w:type="dxa"/>
            <w:left w:w="0" w:type="dxa"/>
            <w:bottom w:w="0" w:type="dxa"/>
            <w:right w:w="0" w:type="dxa"/>
          </w:tblCellMar>
        </w:tblPrEx>
        <w:trPr>
          <w:trHeight w:val="324" w:hRule="atLeast"/>
        </w:trPr>
        <w:tc>
          <w:tcPr>
            <w:tcW w:w="1646"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sz w:val="18"/>
                <w:szCs w:val="18"/>
              </w:rPr>
            </w:pPr>
            <w:r>
              <w:rPr>
                <w:rFonts w:hint="eastAsia"/>
                <w:kern w:val="0"/>
                <w:sz w:val="18"/>
                <w:szCs w:val="18"/>
              </w:rPr>
              <w:t>R</w:t>
            </w:r>
            <w:r>
              <w:rPr>
                <w:kern w:val="0"/>
                <w:sz w:val="18"/>
                <w:szCs w:val="18"/>
              </w:rPr>
              <w:t>elative error</w:t>
            </w:r>
          </w:p>
        </w:tc>
        <w:tc>
          <w:tcPr>
            <w:tcW w:w="593"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10.64 </w:t>
            </w:r>
          </w:p>
        </w:tc>
        <w:tc>
          <w:tcPr>
            <w:tcW w:w="594"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1.15 </w:t>
            </w:r>
          </w:p>
        </w:tc>
        <w:tc>
          <w:tcPr>
            <w:tcW w:w="718"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5.20 </w:t>
            </w:r>
          </w:p>
        </w:tc>
        <w:tc>
          <w:tcPr>
            <w:tcW w:w="594"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21.88 </w:t>
            </w:r>
          </w:p>
        </w:tc>
        <w:tc>
          <w:tcPr>
            <w:tcW w:w="843"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5.20 </w:t>
            </w:r>
          </w:p>
        </w:tc>
        <w:tc>
          <w:tcPr>
            <w:tcW w:w="593"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2.12 </w:t>
            </w:r>
          </w:p>
        </w:tc>
        <w:tc>
          <w:tcPr>
            <w:tcW w:w="719"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5.92 </w:t>
            </w:r>
          </w:p>
        </w:tc>
        <w:tc>
          <w:tcPr>
            <w:tcW w:w="718"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14.37 </w:t>
            </w:r>
          </w:p>
        </w:tc>
        <w:tc>
          <w:tcPr>
            <w:tcW w:w="594"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9.69 </w:t>
            </w:r>
          </w:p>
        </w:tc>
        <w:tc>
          <w:tcPr>
            <w:tcW w:w="718" w:type="dxa"/>
            <w:tcBorders>
              <w:top w:val="nil"/>
              <w:left w:val="nil"/>
              <w:bottom w:val="single" w:color="auto" w:sz="8" w:space="0"/>
              <w:right w:val="nil"/>
            </w:tcBorders>
            <w:noWrap/>
            <w:tcMar>
              <w:top w:w="12" w:type="dxa"/>
              <w:left w:w="12" w:type="dxa"/>
              <w:bottom w:w="0" w:type="dxa"/>
              <w:right w:w="12" w:type="dxa"/>
            </w:tcMar>
            <w:vAlign w:val="center"/>
          </w:tcPr>
          <w:p>
            <w:pPr>
              <w:widowControl/>
              <w:jc w:val="left"/>
              <w:textAlignment w:val="center"/>
              <w:rPr>
                <w:color w:val="000000"/>
                <w:sz w:val="18"/>
                <w:szCs w:val="18"/>
              </w:rPr>
            </w:pPr>
            <w:r>
              <w:rPr>
                <w:color w:val="000000"/>
                <w:kern w:val="0"/>
                <w:sz w:val="18"/>
                <w:szCs w:val="18"/>
              </w:rPr>
              <w:t xml:space="preserve">10.24 </w:t>
            </w:r>
          </w:p>
        </w:tc>
      </w:tr>
    </w:tbl>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rPr>
          <w:b/>
          <w:bCs/>
        </w:rPr>
      </w:pPr>
      <w:r>
        <w:rPr>
          <w:b/>
          <w:bCs/>
        </w:rPr>
        <w:t>Table S</w:t>
      </w:r>
      <w:r>
        <w:rPr>
          <w:rFonts w:hint="eastAsia"/>
          <w:b/>
          <w:bCs/>
        </w:rPr>
        <w:t>3</w:t>
      </w:r>
      <w:r>
        <w:rPr>
          <w:b/>
          <w:bCs/>
        </w:rPr>
        <w:t xml:space="preserve"> </w:t>
      </w:r>
    </w:p>
    <w:p>
      <w:pPr>
        <w:autoSpaceDE w:val="0"/>
        <w:spacing w:line="480" w:lineRule="auto"/>
      </w:pPr>
      <w:r>
        <w:t>Parameter values of US EPA health risk assessment model</w:t>
      </w:r>
    </w:p>
    <w:tbl>
      <w:tblPr>
        <w:tblStyle w:val="7"/>
        <w:tblW w:w="8327" w:type="dxa"/>
        <w:tblInd w:w="96" w:type="dxa"/>
        <w:tblLayout w:type="fixed"/>
        <w:tblCellMar>
          <w:top w:w="0" w:type="dxa"/>
          <w:left w:w="0" w:type="dxa"/>
          <w:bottom w:w="0" w:type="dxa"/>
          <w:right w:w="0" w:type="dxa"/>
        </w:tblCellMar>
      </w:tblPr>
      <w:tblGrid>
        <w:gridCol w:w="3464"/>
        <w:gridCol w:w="1451"/>
        <w:gridCol w:w="936"/>
        <w:gridCol w:w="1238"/>
        <w:gridCol w:w="1238"/>
      </w:tblGrid>
      <w:tr>
        <w:tblPrEx>
          <w:tblLayout w:type="fixed"/>
          <w:tblCellMar>
            <w:top w:w="0" w:type="dxa"/>
            <w:left w:w="0" w:type="dxa"/>
            <w:bottom w:w="0" w:type="dxa"/>
            <w:right w:w="0" w:type="dxa"/>
          </w:tblCellMar>
        </w:tblPrEx>
        <w:trPr>
          <w:trHeight w:val="324" w:hRule="atLeast"/>
        </w:trPr>
        <w:tc>
          <w:tcPr>
            <w:tcW w:w="3464" w:type="dxa"/>
            <w:tcBorders>
              <w:top w:val="single" w:color="auto" w:sz="8" w:space="0"/>
              <w:left w:val="nil"/>
              <w:bottom w:val="single" w:color="auto" w:sz="8" w:space="0"/>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Parameters</w:t>
            </w:r>
          </w:p>
        </w:tc>
        <w:tc>
          <w:tcPr>
            <w:tcW w:w="1451" w:type="dxa"/>
            <w:tcBorders>
              <w:top w:val="single" w:color="auto" w:sz="8" w:space="0"/>
              <w:left w:val="nil"/>
              <w:bottom w:val="single" w:color="auto" w:sz="8" w:space="0"/>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Parameters</w:t>
            </w:r>
          </w:p>
        </w:tc>
        <w:tc>
          <w:tcPr>
            <w:tcW w:w="936" w:type="dxa"/>
            <w:tcBorders>
              <w:top w:val="single" w:color="auto" w:sz="8" w:space="0"/>
              <w:left w:val="nil"/>
              <w:bottom w:val="single" w:color="auto" w:sz="8" w:space="0"/>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Unit</w:t>
            </w:r>
          </w:p>
        </w:tc>
        <w:tc>
          <w:tcPr>
            <w:tcW w:w="1238" w:type="dxa"/>
            <w:tcBorders>
              <w:top w:val="single" w:color="auto" w:sz="8" w:space="0"/>
              <w:left w:val="nil"/>
              <w:bottom w:val="single" w:color="auto" w:sz="8" w:space="0"/>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rPr>
              <w:t>Children</w:t>
            </w:r>
          </w:p>
        </w:tc>
        <w:tc>
          <w:tcPr>
            <w:tcW w:w="1238" w:type="dxa"/>
            <w:tcBorders>
              <w:top w:val="single" w:color="auto" w:sz="8" w:space="0"/>
              <w:left w:val="nil"/>
              <w:bottom w:val="single" w:color="auto" w:sz="8" w:space="0"/>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rPr>
              <w:t>Adults</w:t>
            </w:r>
          </w:p>
        </w:tc>
      </w:tr>
      <w:tr>
        <w:tblPrEx>
          <w:tblLayout w:type="fixed"/>
          <w:tblCellMar>
            <w:top w:w="0" w:type="dxa"/>
            <w:left w:w="0" w:type="dxa"/>
            <w:bottom w:w="0" w:type="dxa"/>
            <w:right w:w="0" w:type="dxa"/>
          </w:tblCellMar>
        </w:tblPrEx>
        <w:trPr>
          <w:trHeight w:val="334" w:hRule="atLeast"/>
        </w:trPr>
        <w:tc>
          <w:tcPr>
            <w:tcW w:w="3464"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C</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mg/kg</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95%UCL</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95%UCL</w:t>
            </w:r>
          </w:p>
        </w:tc>
      </w:tr>
      <w:tr>
        <w:tblPrEx>
          <w:tblLayout w:type="fixed"/>
          <w:tblCellMar>
            <w:top w:w="0" w:type="dxa"/>
            <w:left w:w="0" w:type="dxa"/>
            <w:bottom w:w="0" w:type="dxa"/>
            <w:right w:w="0" w:type="dxa"/>
          </w:tblCellMar>
        </w:tblPrEx>
        <w:trPr>
          <w:trHeight w:val="334" w:hRule="atLeast"/>
        </w:trPr>
        <w:tc>
          <w:tcPr>
            <w:tcW w:w="3464" w:type="dxa"/>
            <w:vMerge w:val="restart"/>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Exposure behavior parameter</w:t>
            </w: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ED</w:t>
            </w:r>
            <w:r>
              <w:rPr>
                <w:rFonts w:hint="eastAsia"/>
                <w:color w:val="000000"/>
                <w:kern w:val="0"/>
              </w:rPr>
              <w:t> </w:t>
            </w:r>
            <w:r>
              <w:rPr>
                <w:color w:val="000000"/>
                <w:kern w:val="0"/>
                <w:vertAlign w:val="superscript"/>
              </w:rPr>
              <w:t>a</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a</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6</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24</w:t>
            </w:r>
          </w:p>
        </w:tc>
      </w:tr>
      <w:tr>
        <w:tblPrEx>
          <w:tblLayout w:type="fixed"/>
          <w:tblCellMar>
            <w:top w:w="0" w:type="dxa"/>
            <w:left w:w="0" w:type="dxa"/>
            <w:bottom w:w="0" w:type="dxa"/>
            <w:right w:w="0" w:type="dxa"/>
          </w:tblCellMar>
        </w:tblPrEx>
        <w:trPr>
          <w:trHeight w:val="334" w:hRule="atLeast"/>
        </w:trPr>
        <w:tc>
          <w:tcPr>
            <w:tcW w:w="3464" w:type="dxa"/>
            <w:vMerge w:val="continue"/>
            <w:tcBorders>
              <w:top w:val="nil"/>
              <w:left w:val="nil"/>
              <w:bottom w:val="nil"/>
              <w:right w:val="nil"/>
            </w:tcBorders>
            <w:vAlign w:val="center"/>
          </w:tcPr>
          <w:p>
            <w:pPr>
              <w:widowControl/>
              <w:jc w:val="left"/>
              <w:rPr>
                <w:color w:val="000000"/>
              </w:rPr>
            </w:pP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BW</w:t>
            </w:r>
            <w:r>
              <w:rPr>
                <w:rFonts w:hint="eastAsia"/>
                <w:color w:val="000000"/>
                <w:kern w:val="0"/>
              </w:rPr>
              <w:t> </w:t>
            </w:r>
            <w:r>
              <w:rPr>
                <w:color w:val="000000"/>
                <w:kern w:val="0"/>
                <w:vertAlign w:val="superscript"/>
              </w:rPr>
              <w:t>b</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kg</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15</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58.6</w:t>
            </w:r>
          </w:p>
        </w:tc>
      </w:tr>
      <w:tr>
        <w:tblPrEx>
          <w:tblLayout w:type="fixed"/>
          <w:tblCellMar>
            <w:top w:w="0" w:type="dxa"/>
            <w:left w:w="0" w:type="dxa"/>
            <w:bottom w:w="0" w:type="dxa"/>
            <w:right w:w="0" w:type="dxa"/>
          </w:tblCellMar>
        </w:tblPrEx>
        <w:trPr>
          <w:trHeight w:val="334" w:hRule="atLeast"/>
        </w:trPr>
        <w:tc>
          <w:tcPr>
            <w:tcW w:w="3464" w:type="dxa"/>
            <w:vMerge w:val="continue"/>
            <w:tcBorders>
              <w:top w:val="nil"/>
              <w:left w:val="nil"/>
              <w:bottom w:val="nil"/>
              <w:right w:val="nil"/>
            </w:tcBorders>
            <w:vAlign w:val="center"/>
          </w:tcPr>
          <w:p>
            <w:pPr>
              <w:widowControl/>
              <w:jc w:val="left"/>
              <w:rPr>
                <w:color w:val="000000"/>
              </w:rPr>
            </w:pP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EF</w:t>
            </w:r>
            <w:r>
              <w:rPr>
                <w:rFonts w:hint="eastAsia"/>
                <w:color w:val="000000"/>
                <w:kern w:val="0"/>
              </w:rPr>
              <w:t> </w:t>
            </w:r>
            <w:r>
              <w:rPr>
                <w:color w:val="000000"/>
                <w:kern w:val="0"/>
                <w:vertAlign w:val="superscript"/>
              </w:rPr>
              <w:t>c</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d/a</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180</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180</w:t>
            </w:r>
          </w:p>
        </w:tc>
      </w:tr>
      <w:tr>
        <w:tblPrEx>
          <w:tblLayout w:type="fixed"/>
          <w:tblCellMar>
            <w:top w:w="0" w:type="dxa"/>
            <w:left w:w="0" w:type="dxa"/>
            <w:bottom w:w="0" w:type="dxa"/>
            <w:right w:w="0" w:type="dxa"/>
          </w:tblCellMar>
        </w:tblPrEx>
        <w:trPr>
          <w:trHeight w:val="334" w:hRule="atLeast"/>
        </w:trPr>
        <w:tc>
          <w:tcPr>
            <w:tcW w:w="3464" w:type="dxa"/>
            <w:vMerge w:val="continue"/>
            <w:tcBorders>
              <w:top w:val="nil"/>
              <w:left w:val="nil"/>
              <w:bottom w:val="nil"/>
              <w:right w:val="nil"/>
            </w:tcBorders>
            <w:vAlign w:val="center"/>
          </w:tcPr>
          <w:p>
            <w:pPr>
              <w:widowControl/>
              <w:jc w:val="left"/>
              <w:rPr>
                <w:color w:val="000000"/>
              </w:rPr>
            </w:pP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AT-NCR</w:t>
            </w:r>
            <w:r>
              <w:rPr>
                <w:rFonts w:hint="eastAsia"/>
                <w:color w:val="000000"/>
                <w:kern w:val="0"/>
              </w:rPr>
              <w:t> </w:t>
            </w:r>
            <w:r>
              <w:rPr>
                <w:color w:val="000000"/>
                <w:kern w:val="0"/>
                <w:vertAlign w:val="superscript"/>
              </w:rPr>
              <w:t>a, c</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d</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365 × ED</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365 × ED</w:t>
            </w:r>
          </w:p>
        </w:tc>
      </w:tr>
      <w:tr>
        <w:tblPrEx>
          <w:tblLayout w:type="fixed"/>
          <w:tblCellMar>
            <w:top w:w="0" w:type="dxa"/>
            <w:left w:w="0" w:type="dxa"/>
            <w:bottom w:w="0" w:type="dxa"/>
            <w:right w:w="0" w:type="dxa"/>
          </w:tblCellMar>
        </w:tblPrEx>
        <w:trPr>
          <w:trHeight w:val="334" w:hRule="atLeast"/>
        </w:trPr>
        <w:tc>
          <w:tcPr>
            <w:tcW w:w="3464" w:type="dxa"/>
            <w:vMerge w:val="continue"/>
            <w:tcBorders>
              <w:top w:val="nil"/>
              <w:left w:val="nil"/>
              <w:bottom w:val="nil"/>
              <w:right w:val="nil"/>
            </w:tcBorders>
            <w:vAlign w:val="center"/>
          </w:tcPr>
          <w:p>
            <w:pPr>
              <w:widowControl/>
              <w:jc w:val="left"/>
              <w:rPr>
                <w:color w:val="000000"/>
              </w:rPr>
            </w:pP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AT-CR</w:t>
            </w:r>
            <w:r>
              <w:rPr>
                <w:rFonts w:hint="eastAsia"/>
                <w:color w:val="000000"/>
                <w:kern w:val="0"/>
              </w:rPr>
              <w:t> </w:t>
            </w:r>
            <w:r>
              <w:rPr>
                <w:color w:val="000000"/>
                <w:kern w:val="0"/>
                <w:vertAlign w:val="superscript"/>
              </w:rPr>
              <w:t>a, c</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d</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365 ×70</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365 ×70</w:t>
            </w:r>
          </w:p>
        </w:tc>
      </w:tr>
      <w:tr>
        <w:tblPrEx>
          <w:tblLayout w:type="fixed"/>
          <w:tblCellMar>
            <w:top w:w="0" w:type="dxa"/>
            <w:left w:w="0" w:type="dxa"/>
            <w:bottom w:w="0" w:type="dxa"/>
            <w:right w:w="0" w:type="dxa"/>
          </w:tblCellMar>
        </w:tblPrEx>
        <w:trPr>
          <w:trHeight w:val="334" w:hRule="atLeast"/>
        </w:trPr>
        <w:tc>
          <w:tcPr>
            <w:tcW w:w="3464"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Ingestion</w:t>
            </w: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lngR</w:t>
            </w:r>
            <w:r>
              <w:rPr>
                <w:rFonts w:hint="eastAsia"/>
                <w:color w:val="000000"/>
                <w:kern w:val="0"/>
              </w:rPr>
              <w:t> </w:t>
            </w:r>
            <w:r>
              <w:rPr>
                <w:color w:val="000000"/>
                <w:kern w:val="0"/>
                <w:vertAlign w:val="superscript"/>
              </w:rPr>
              <w:t>a</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mg/d</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200</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100</w:t>
            </w:r>
          </w:p>
        </w:tc>
      </w:tr>
      <w:tr>
        <w:tblPrEx>
          <w:tblLayout w:type="fixed"/>
          <w:tblCellMar>
            <w:top w:w="0" w:type="dxa"/>
            <w:left w:w="0" w:type="dxa"/>
            <w:bottom w:w="0" w:type="dxa"/>
            <w:right w:w="0" w:type="dxa"/>
          </w:tblCellMar>
        </w:tblPrEx>
        <w:trPr>
          <w:trHeight w:val="334" w:hRule="atLeast"/>
        </w:trPr>
        <w:tc>
          <w:tcPr>
            <w:tcW w:w="3464" w:type="dxa"/>
            <w:vMerge w:val="restart"/>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Inhalation</w:t>
            </w: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lnhR</w:t>
            </w:r>
            <w:r>
              <w:rPr>
                <w:rFonts w:hint="eastAsia"/>
                <w:color w:val="000000"/>
                <w:kern w:val="0"/>
              </w:rPr>
              <w:t> </w:t>
            </w:r>
            <w:r>
              <w:rPr>
                <w:color w:val="000000"/>
                <w:kern w:val="0"/>
                <w:vertAlign w:val="superscript"/>
              </w:rPr>
              <w:t>a, b</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m</w:t>
            </w:r>
            <w:r>
              <w:rPr>
                <w:color w:val="000000"/>
                <w:kern w:val="0"/>
                <w:vertAlign w:val="superscript"/>
              </w:rPr>
              <w:t>3</w:t>
            </w:r>
            <w:r>
              <w:rPr>
                <w:color w:val="000000"/>
                <w:kern w:val="0"/>
              </w:rPr>
              <w:t>/d</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7.6</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12.8</w:t>
            </w:r>
          </w:p>
        </w:tc>
      </w:tr>
      <w:tr>
        <w:tblPrEx>
          <w:tblLayout w:type="fixed"/>
          <w:tblCellMar>
            <w:top w:w="0" w:type="dxa"/>
            <w:left w:w="0" w:type="dxa"/>
            <w:bottom w:w="0" w:type="dxa"/>
            <w:right w:w="0" w:type="dxa"/>
          </w:tblCellMar>
        </w:tblPrEx>
        <w:trPr>
          <w:trHeight w:val="334" w:hRule="atLeast"/>
        </w:trPr>
        <w:tc>
          <w:tcPr>
            <w:tcW w:w="3464" w:type="dxa"/>
            <w:vMerge w:val="continue"/>
            <w:tcBorders>
              <w:top w:val="nil"/>
              <w:left w:val="nil"/>
              <w:bottom w:val="nil"/>
              <w:right w:val="nil"/>
            </w:tcBorders>
            <w:vAlign w:val="center"/>
          </w:tcPr>
          <w:p>
            <w:pPr>
              <w:widowControl/>
              <w:jc w:val="left"/>
              <w:rPr>
                <w:color w:val="000000"/>
              </w:rPr>
            </w:pP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PEF</w:t>
            </w:r>
            <w:r>
              <w:rPr>
                <w:rFonts w:hint="eastAsia"/>
                <w:color w:val="000000"/>
                <w:kern w:val="0"/>
              </w:rPr>
              <w:t> </w:t>
            </w:r>
            <w:r>
              <w:rPr>
                <w:color w:val="000000"/>
                <w:kern w:val="0"/>
                <w:vertAlign w:val="superscript"/>
              </w:rPr>
              <w:t>a</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m</w:t>
            </w:r>
            <w:r>
              <w:rPr>
                <w:color w:val="000000"/>
                <w:kern w:val="0"/>
                <w:vertAlign w:val="superscript"/>
              </w:rPr>
              <w:t>3</w:t>
            </w:r>
            <w:r>
              <w:rPr>
                <w:color w:val="000000"/>
                <w:kern w:val="0"/>
              </w:rPr>
              <w:t>/kg</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1.36 × 10</w:t>
            </w:r>
            <w:r>
              <w:rPr>
                <w:color w:val="000000"/>
                <w:kern w:val="0"/>
                <w:vertAlign w:val="superscript"/>
              </w:rPr>
              <w:t>9</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1.36 × 10</w:t>
            </w:r>
            <w:r>
              <w:rPr>
                <w:color w:val="000000"/>
                <w:kern w:val="0"/>
                <w:vertAlign w:val="superscript"/>
              </w:rPr>
              <w:t>9</w:t>
            </w:r>
          </w:p>
        </w:tc>
      </w:tr>
      <w:tr>
        <w:tblPrEx>
          <w:tblLayout w:type="fixed"/>
          <w:tblCellMar>
            <w:top w:w="0" w:type="dxa"/>
            <w:left w:w="0" w:type="dxa"/>
            <w:bottom w:w="0" w:type="dxa"/>
            <w:right w:w="0" w:type="dxa"/>
          </w:tblCellMar>
        </w:tblPrEx>
        <w:trPr>
          <w:trHeight w:val="334" w:hRule="atLeast"/>
        </w:trPr>
        <w:tc>
          <w:tcPr>
            <w:tcW w:w="3464" w:type="dxa"/>
            <w:vMerge w:val="restart"/>
            <w:tcBorders>
              <w:top w:val="nil"/>
              <w:left w:val="nil"/>
              <w:bottom w:val="single" w:color="000000" w:sz="8" w:space="0"/>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Adhesion</w:t>
            </w: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rFonts w:hint="eastAsia"/>
                <w:color w:val="000000"/>
                <w:kern w:val="0"/>
              </w:rPr>
              <w:t>AF </w:t>
            </w:r>
            <w:r>
              <w:rPr>
                <w:color w:val="000000"/>
                <w:kern w:val="0"/>
                <w:vertAlign w:val="superscript"/>
              </w:rPr>
              <w:t>a</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mg/cm</w:t>
            </w:r>
            <w:r>
              <w:rPr>
                <w:color w:val="000000"/>
                <w:kern w:val="0"/>
                <w:vertAlign w:val="superscript"/>
              </w:rPr>
              <w:t>2</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0.2</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0.07</w:t>
            </w:r>
          </w:p>
        </w:tc>
      </w:tr>
      <w:tr>
        <w:tblPrEx>
          <w:tblLayout w:type="fixed"/>
          <w:tblCellMar>
            <w:top w:w="0" w:type="dxa"/>
            <w:left w:w="0" w:type="dxa"/>
            <w:bottom w:w="0" w:type="dxa"/>
            <w:right w:w="0" w:type="dxa"/>
          </w:tblCellMar>
        </w:tblPrEx>
        <w:trPr>
          <w:trHeight w:val="334" w:hRule="atLeast"/>
        </w:trPr>
        <w:tc>
          <w:tcPr>
            <w:tcW w:w="3464" w:type="dxa"/>
            <w:vMerge w:val="continue"/>
            <w:tcBorders>
              <w:top w:val="nil"/>
              <w:left w:val="nil"/>
              <w:bottom w:val="single" w:color="000000" w:sz="8" w:space="0"/>
              <w:right w:val="nil"/>
            </w:tcBorders>
            <w:vAlign w:val="center"/>
          </w:tcPr>
          <w:p>
            <w:pPr>
              <w:widowControl/>
              <w:jc w:val="left"/>
              <w:rPr>
                <w:color w:val="000000"/>
              </w:rPr>
            </w:pPr>
          </w:p>
        </w:tc>
        <w:tc>
          <w:tcPr>
            <w:tcW w:w="1451"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ABS</w:t>
            </w:r>
            <w:r>
              <w:rPr>
                <w:rFonts w:hint="eastAsia"/>
                <w:color w:val="000000"/>
                <w:kern w:val="0"/>
              </w:rPr>
              <w:t> </w:t>
            </w:r>
            <w:r>
              <w:rPr>
                <w:color w:val="000000"/>
                <w:kern w:val="0"/>
                <w:vertAlign w:val="superscript"/>
              </w:rPr>
              <w:t>a</w:t>
            </w:r>
          </w:p>
        </w:tc>
        <w:tc>
          <w:tcPr>
            <w:tcW w:w="936"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unitless</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0.001</w:t>
            </w:r>
          </w:p>
        </w:tc>
        <w:tc>
          <w:tcPr>
            <w:tcW w:w="1238" w:type="dxa"/>
            <w:tcBorders>
              <w:top w:val="nil"/>
              <w:left w:val="nil"/>
              <w:bottom w:val="nil"/>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0.001</w:t>
            </w:r>
          </w:p>
        </w:tc>
      </w:tr>
      <w:tr>
        <w:tblPrEx>
          <w:tblLayout w:type="fixed"/>
          <w:tblCellMar>
            <w:top w:w="0" w:type="dxa"/>
            <w:left w:w="0" w:type="dxa"/>
            <w:bottom w:w="0" w:type="dxa"/>
            <w:right w:w="0" w:type="dxa"/>
          </w:tblCellMar>
        </w:tblPrEx>
        <w:trPr>
          <w:trHeight w:val="334" w:hRule="atLeast"/>
        </w:trPr>
        <w:tc>
          <w:tcPr>
            <w:tcW w:w="3464" w:type="dxa"/>
            <w:vMerge w:val="continue"/>
            <w:tcBorders>
              <w:top w:val="nil"/>
              <w:left w:val="nil"/>
              <w:bottom w:val="single" w:color="000000" w:sz="8" w:space="0"/>
              <w:right w:val="nil"/>
            </w:tcBorders>
            <w:vAlign w:val="center"/>
          </w:tcPr>
          <w:p>
            <w:pPr>
              <w:widowControl/>
              <w:jc w:val="left"/>
              <w:rPr>
                <w:color w:val="000000"/>
              </w:rPr>
            </w:pPr>
          </w:p>
        </w:tc>
        <w:tc>
          <w:tcPr>
            <w:tcW w:w="1451" w:type="dxa"/>
            <w:tcBorders>
              <w:top w:val="nil"/>
              <w:left w:val="nil"/>
              <w:bottom w:val="single" w:color="auto" w:sz="8" w:space="0"/>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SA</w:t>
            </w:r>
            <w:r>
              <w:rPr>
                <w:rFonts w:hint="eastAsia"/>
                <w:color w:val="000000"/>
                <w:kern w:val="0"/>
              </w:rPr>
              <w:t> </w:t>
            </w:r>
            <w:r>
              <w:rPr>
                <w:color w:val="000000"/>
                <w:kern w:val="0"/>
                <w:vertAlign w:val="superscript"/>
              </w:rPr>
              <w:t>b</w:t>
            </w:r>
          </w:p>
        </w:tc>
        <w:tc>
          <w:tcPr>
            <w:tcW w:w="936" w:type="dxa"/>
            <w:tcBorders>
              <w:top w:val="nil"/>
              <w:left w:val="nil"/>
              <w:bottom w:val="single" w:color="auto" w:sz="8" w:space="0"/>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cm</w:t>
            </w:r>
            <w:r>
              <w:rPr>
                <w:color w:val="000000"/>
                <w:kern w:val="0"/>
                <w:vertAlign w:val="superscript"/>
              </w:rPr>
              <w:t>2</w:t>
            </w:r>
          </w:p>
        </w:tc>
        <w:tc>
          <w:tcPr>
            <w:tcW w:w="1238" w:type="dxa"/>
            <w:tcBorders>
              <w:top w:val="nil"/>
              <w:left w:val="nil"/>
              <w:bottom w:val="single" w:color="auto" w:sz="8" w:space="0"/>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1150</w:t>
            </w:r>
          </w:p>
        </w:tc>
        <w:tc>
          <w:tcPr>
            <w:tcW w:w="1238" w:type="dxa"/>
            <w:tcBorders>
              <w:top w:val="nil"/>
              <w:left w:val="nil"/>
              <w:bottom w:val="single" w:color="auto" w:sz="8" w:space="0"/>
              <w:right w:val="nil"/>
            </w:tcBorders>
            <w:tcMar>
              <w:top w:w="12" w:type="dxa"/>
              <w:left w:w="12" w:type="dxa"/>
              <w:bottom w:w="0" w:type="dxa"/>
              <w:right w:w="12" w:type="dxa"/>
            </w:tcMar>
            <w:vAlign w:val="center"/>
          </w:tcPr>
          <w:p>
            <w:pPr>
              <w:widowControl/>
              <w:autoSpaceDE w:val="0"/>
              <w:jc w:val="left"/>
              <w:textAlignment w:val="center"/>
              <w:rPr>
                <w:color w:val="000000"/>
              </w:rPr>
            </w:pPr>
            <w:r>
              <w:rPr>
                <w:color w:val="000000"/>
                <w:kern w:val="0"/>
              </w:rPr>
              <w:t>2145</w:t>
            </w:r>
          </w:p>
        </w:tc>
      </w:tr>
    </w:tbl>
    <w:p>
      <w:pPr>
        <w:autoSpaceDE w:val="0"/>
        <w:adjustRightInd w:val="0"/>
        <w:rPr>
          <w:color w:val="0000FF"/>
          <w:kern w:val="0"/>
        </w:rPr>
      </w:pPr>
      <w:r>
        <w:rPr>
          <w:color w:val="000000"/>
          <w:kern w:val="0"/>
          <w:vertAlign w:val="superscript"/>
        </w:rPr>
        <w:t>a</w:t>
      </w:r>
      <w:r>
        <w:rPr>
          <w:color w:val="000000"/>
          <w:kern w:val="0"/>
        </w:rPr>
        <w:t xml:space="preserve">: adopted from US EPA </w:t>
      </w:r>
      <w:r>
        <w:rPr>
          <w:color w:val="0000FF"/>
          <w:kern w:val="0"/>
        </w:rPr>
        <w:t>(2001</w:t>
      </w:r>
      <w:r>
        <w:rPr>
          <w:rFonts w:hint="eastAsia"/>
          <w:color w:val="0000FF"/>
          <w:kern w:val="0"/>
        </w:rPr>
        <w:t>, 2019</w:t>
      </w:r>
      <w:r>
        <w:rPr>
          <w:color w:val="0000FF"/>
          <w:kern w:val="0"/>
        </w:rPr>
        <w:t>)</w:t>
      </w:r>
      <w:r>
        <w:rPr>
          <w:kern w:val="0"/>
        </w:rPr>
        <w:t>;</w:t>
      </w:r>
      <w:r>
        <w:rPr>
          <w:kern w:val="0"/>
          <w:vertAlign w:val="superscript"/>
        </w:rPr>
        <w:t xml:space="preserve"> </w:t>
      </w:r>
      <w:r>
        <w:rPr>
          <w:color w:val="000000"/>
          <w:kern w:val="0"/>
          <w:vertAlign w:val="superscript"/>
        </w:rPr>
        <w:t>b</w:t>
      </w:r>
      <w:r>
        <w:rPr>
          <w:color w:val="000000"/>
          <w:kern w:val="0"/>
        </w:rPr>
        <w:t xml:space="preserve">: adopted from Li et al. </w:t>
      </w:r>
      <w:r>
        <w:rPr>
          <w:color w:val="0000FF"/>
          <w:kern w:val="0"/>
        </w:rPr>
        <w:t>(2011)</w:t>
      </w:r>
      <w:r>
        <w:rPr>
          <w:kern w:val="0"/>
        </w:rPr>
        <w:t>;</w:t>
      </w:r>
      <w:r>
        <w:rPr>
          <w:color w:val="000000"/>
          <w:kern w:val="0"/>
          <w:vertAlign w:val="superscript"/>
        </w:rPr>
        <w:t xml:space="preserve"> c</w:t>
      </w:r>
      <w:r>
        <w:rPr>
          <w:color w:val="000000"/>
          <w:kern w:val="0"/>
        </w:rPr>
        <w:t xml:space="preserve">: adopted from Li et al. </w:t>
      </w:r>
      <w:r>
        <w:rPr>
          <w:color w:val="0000FF"/>
          <w:kern w:val="0"/>
        </w:rPr>
        <w:t>(2017)</w:t>
      </w:r>
    </w:p>
    <w:p>
      <w:pPr>
        <w:autoSpaceDE w:val="0"/>
        <w:spacing w:line="480" w:lineRule="auto"/>
      </w:pPr>
    </w:p>
    <w:p>
      <w:pPr>
        <w:autoSpaceDE w:val="0"/>
        <w:spacing w:line="480" w:lineRule="auto"/>
        <w:rPr>
          <w:b/>
          <w:bCs/>
        </w:rPr>
      </w:pPr>
      <w:r>
        <w:rPr>
          <w:b/>
          <w:bCs/>
        </w:rPr>
        <w:t>Table S</w:t>
      </w:r>
      <w:r>
        <w:rPr>
          <w:rFonts w:hint="eastAsia"/>
          <w:b/>
          <w:bCs/>
        </w:rPr>
        <w:t>4</w:t>
      </w:r>
      <w:r>
        <w:rPr>
          <w:b/>
          <w:bCs/>
        </w:rPr>
        <w:t xml:space="preserve"> </w:t>
      </w:r>
    </w:p>
    <w:p>
      <w:pPr>
        <w:autoSpaceDE w:val="0"/>
        <w:spacing w:line="480" w:lineRule="auto"/>
      </w:pPr>
      <w:r>
        <w:rPr>
          <w:rFonts w:hint="eastAsia"/>
        </w:rPr>
        <w:t>Reference dose (RfD) and slope factor (SF) of heavy metals</w:t>
      </w:r>
    </w:p>
    <w:tbl>
      <w:tblPr>
        <w:tblStyle w:val="7"/>
        <w:tblW w:w="8327" w:type="dxa"/>
        <w:tblInd w:w="96" w:type="dxa"/>
        <w:tblLayout w:type="fixed"/>
        <w:tblCellMar>
          <w:top w:w="0" w:type="dxa"/>
          <w:left w:w="0" w:type="dxa"/>
          <w:bottom w:w="0" w:type="dxa"/>
          <w:right w:w="0" w:type="dxa"/>
        </w:tblCellMar>
      </w:tblPr>
      <w:tblGrid>
        <w:gridCol w:w="1726"/>
        <w:gridCol w:w="1068"/>
        <w:gridCol w:w="1066"/>
        <w:gridCol w:w="1069"/>
        <w:gridCol w:w="1131"/>
        <w:gridCol w:w="1133"/>
        <w:gridCol w:w="1134"/>
      </w:tblGrid>
      <w:tr>
        <w:tblPrEx>
          <w:tblLayout w:type="fixed"/>
          <w:tblCellMar>
            <w:top w:w="0" w:type="dxa"/>
            <w:left w:w="0" w:type="dxa"/>
            <w:bottom w:w="0" w:type="dxa"/>
            <w:right w:w="0" w:type="dxa"/>
          </w:tblCellMar>
        </w:tblPrEx>
        <w:trPr>
          <w:trHeight w:val="312" w:hRule="atLeast"/>
        </w:trPr>
        <w:tc>
          <w:tcPr>
            <w:tcW w:w="1726" w:type="dxa"/>
            <w:vMerge w:val="restart"/>
            <w:tcBorders>
              <w:top w:val="single" w:color="000000" w:sz="8" w:space="0"/>
              <w:left w:val="nil"/>
              <w:bottom w:val="single" w:color="000000" w:sz="8"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Elements</w:t>
            </w:r>
          </w:p>
        </w:tc>
        <w:tc>
          <w:tcPr>
            <w:tcW w:w="3203" w:type="dxa"/>
            <w:gridSpan w:val="3"/>
            <w:tcBorders>
              <w:top w:val="single" w:color="000000" w:sz="8" w:space="0"/>
              <w:left w:val="nil"/>
              <w:bottom w:val="single" w:color="auto" w:sz="4"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RfD</w:t>
            </w:r>
            <w:r>
              <w:rPr>
                <w:rFonts w:hint="eastAsia"/>
                <w:color w:val="000000"/>
                <w:kern w:val="0"/>
              </w:rPr>
              <w:t xml:space="preserve"> (mg/kg/d)</w:t>
            </w:r>
          </w:p>
        </w:tc>
        <w:tc>
          <w:tcPr>
            <w:tcW w:w="3398" w:type="dxa"/>
            <w:gridSpan w:val="3"/>
            <w:tcBorders>
              <w:top w:val="single" w:color="000000" w:sz="8" w:space="0"/>
              <w:left w:val="nil"/>
              <w:bottom w:val="single" w:color="auto" w:sz="4"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SF</w:t>
            </w:r>
            <w:r>
              <w:rPr>
                <w:rFonts w:hint="eastAsia"/>
                <w:color w:val="000000"/>
                <w:kern w:val="0"/>
              </w:rPr>
              <w:t xml:space="preserve"> (1/(mg/kg/d))</w:t>
            </w:r>
          </w:p>
        </w:tc>
      </w:tr>
      <w:tr>
        <w:tblPrEx>
          <w:tblLayout w:type="fixed"/>
          <w:tblCellMar>
            <w:top w:w="0" w:type="dxa"/>
            <w:left w:w="0" w:type="dxa"/>
            <w:bottom w:w="0" w:type="dxa"/>
            <w:right w:w="0" w:type="dxa"/>
          </w:tblCellMar>
        </w:tblPrEx>
        <w:trPr>
          <w:trHeight w:val="312" w:hRule="atLeast"/>
        </w:trPr>
        <w:tc>
          <w:tcPr>
            <w:tcW w:w="1726" w:type="dxa"/>
            <w:vMerge w:val="continue"/>
            <w:tcBorders>
              <w:top w:val="single" w:color="000000" w:sz="8" w:space="0"/>
              <w:left w:val="nil"/>
              <w:bottom w:val="single" w:color="000000" w:sz="8" w:space="0"/>
              <w:right w:val="nil"/>
            </w:tcBorders>
            <w:vAlign w:val="center"/>
          </w:tcPr>
          <w:p>
            <w:pPr>
              <w:widowControl/>
              <w:jc w:val="left"/>
              <w:rPr>
                <w:color w:val="000000"/>
              </w:rPr>
            </w:pPr>
          </w:p>
        </w:tc>
        <w:tc>
          <w:tcPr>
            <w:tcW w:w="1068" w:type="dxa"/>
            <w:tcBorders>
              <w:top w:val="nil"/>
              <w:left w:val="nil"/>
              <w:bottom w:val="single" w:color="auto" w:sz="4"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RfD</w:t>
            </w:r>
            <w:r>
              <w:rPr>
                <w:color w:val="000000"/>
                <w:kern w:val="0"/>
                <w:vertAlign w:val="subscript"/>
              </w:rPr>
              <w:t>ing</w:t>
            </w:r>
          </w:p>
        </w:tc>
        <w:tc>
          <w:tcPr>
            <w:tcW w:w="1066" w:type="dxa"/>
            <w:tcBorders>
              <w:top w:val="nil"/>
              <w:left w:val="nil"/>
              <w:bottom w:val="single" w:color="auto" w:sz="4"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RfD</w:t>
            </w:r>
            <w:r>
              <w:rPr>
                <w:color w:val="000000"/>
                <w:kern w:val="0"/>
                <w:vertAlign w:val="subscript"/>
              </w:rPr>
              <w:t>inh</w:t>
            </w:r>
          </w:p>
        </w:tc>
        <w:tc>
          <w:tcPr>
            <w:tcW w:w="1069" w:type="dxa"/>
            <w:tcBorders>
              <w:top w:val="nil"/>
              <w:left w:val="nil"/>
              <w:bottom w:val="single" w:color="auto" w:sz="4"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RfD</w:t>
            </w:r>
            <w:r>
              <w:rPr>
                <w:color w:val="000000"/>
                <w:kern w:val="0"/>
                <w:vertAlign w:val="subscript"/>
              </w:rPr>
              <w:t>dermal</w:t>
            </w:r>
          </w:p>
        </w:tc>
        <w:tc>
          <w:tcPr>
            <w:tcW w:w="1131" w:type="dxa"/>
            <w:tcBorders>
              <w:top w:val="nil"/>
              <w:left w:val="nil"/>
              <w:bottom w:val="single" w:color="auto" w:sz="4"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SF</w:t>
            </w:r>
            <w:r>
              <w:rPr>
                <w:color w:val="000000"/>
                <w:kern w:val="0"/>
                <w:vertAlign w:val="subscript"/>
              </w:rPr>
              <w:t>ing</w:t>
            </w:r>
          </w:p>
        </w:tc>
        <w:tc>
          <w:tcPr>
            <w:tcW w:w="1133" w:type="dxa"/>
            <w:tcBorders>
              <w:top w:val="nil"/>
              <w:left w:val="nil"/>
              <w:bottom w:val="single" w:color="auto" w:sz="4"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SF</w:t>
            </w:r>
            <w:r>
              <w:rPr>
                <w:color w:val="000000"/>
                <w:kern w:val="0"/>
                <w:vertAlign w:val="subscript"/>
              </w:rPr>
              <w:t>inh</w:t>
            </w:r>
          </w:p>
        </w:tc>
        <w:tc>
          <w:tcPr>
            <w:tcW w:w="1134" w:type="dxa"/>
            <w:tcBorders>
              <w:top w:val="nil"/>
              <w:left w:val="nil"/>
              <w:bottom w:val="single" w:color="auto" w:sz="4"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SF</w:t>
            </w:r>
            <w:r>
              <w:rPr>
                <w:color w:val="000000"/>
                <w:kern w:val="0"/>
                <w:vertAlign w:val="subscript"/>
              </w:rPr>
              <w:t>dermal</w:t>
            </w:r>
          </w:p>
        </w:tc>
      </w:tr>
      <w:tr>
        <w:tblPrEx>
          <w:tblLayout w:type="fixed"/>
          <w:tblCellMar>
            <w:top w:w="0" w:type="dxa"/>
            <w:left w:w="0" w:type="dxa"/>
            <w:bottom w:w="0" w:type="dxa"/>
            <w:right w:w="0" w:type="dxa"/>
          </w:tblCellMar>
        </w:tblPrEx>
        <w:trPr>
          <w:trHeight w:val="312" w:hRule="atLeast"/>
        </w:trPr>
        <w:tc>
          <w:tcPr>
            <w:tcW w:w="1726" w:type="dxa"/>
            <w:tcBorders>
              <w:top w:val="single" w:color="auto" w:sz="4" w:space="0"/>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Co</w:t>
            </w:r>
          </w:p>
        </w:tc>
        <w:tc>
          <w:tcPr>
            <w:tcW w:w="1068" w:type="dxa"/>
            <w:tcBorders>
              <w:top w:val="single" w:color="auto" w:sz="4" w:space="0"/>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2.00E-02</w:t>
            </w:r>
          </w:p>
        </w:tc>
        <w:tc>
          <w:tcPr>
            <w:tcW w:w="1066" w:type="dxa"/>
            <w:tcBorders>
              <w:top w:val="single" w:color="auto" w:sz="4" w:space="0"/>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5.71E-06</w:t>
            </w:r>
          </w:p>
        </w:tc>
        <w:tc>
          <w:tcPr>
            <w:tcW w:w="1069" w:type="dxa"/>
            <w:tcBorders>
              <w:top w:val="single" w:color="auto" w:sz="4" w:space="0"/>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1.60E-02</w:t>
            </w:r>
          </w:p>
        </w:tc>
        <w:tc>
          <w:tcPr>
            <w:tcW w:w="1131" w:type="dxa"/>
            <w:tcBorders>
              <w:top w:val="single" w:color="auto" w:sz="4" w:space="0"/>
              <w:left w:val="nil"/>
              <w:bottom w:val="nil"/>
              <w:right w:val="nil"/>
            </w:tcBorders>
            <w:tcMar>
              <w:top w:w="12" w:type="dxa"/>
              <w:left w:w="12" w:type="dxa"/>
              <w:bottom w:w="0" w:type="dxa"/>
              <w:right w:w="12" w:type="dxa"/>
            </w:tcMar>
            <w:vAlign w:val="center"/>
          </w:tcPr>
          <w:p>
            <w:pPr>
              <w:jc w:val="left"/>
              <w:rPr>
                <w:color w:val="000000"/>
              </w:rPr>
            </w:pPr>
          </w:p>
        </w:tc>
        <w:tc>
          <w:tcPr>
            <w:tcW w:w="1133" w:type="dxa"/>
            <w:tcBorders>
              <w:top w:val="single" w:color="auto" w:sz="4" w:space="0"/>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9.80E+00</w:t>
            </w:r>
          </w:p>
        </w:tc>
        <w:tc>
          <w:tcPr>
            <w:tcW w:w="1134" w:type="dxa"/>
            <w:tcBorders>
              <w:top w:val="single" w:color="auto" w:sz="4" w:space="0"/>
              <w:left w:val="nil"/>
              <w:bottom w:val="nil"/>
              <w:right w:val="nil"/>
            </w:tcBorders>
            <w:tcMar>
              <w:top w:w="12" w:type="dxa"/>
              <w:left w:w="12" w:type="dxa"/>
              <w:bottom w:w="0" w:type="dxa"/>
              <w:right w:w="12" w:type="dxa"/>
            </w:tcMar>
            <w:vAlign w:val="center"/>
          </w:tcPr>
          <w:p>
            <w:pPr>
              <w:jc w:val="left"/>
              <w:rPr>
                <w:color w:val="000000"/>
              </w:rPr>
            </w:pPr>
          </w:p>
        </w:tc>
      </w:tr>
      <w:tr>
        <w:tblPrEx>
          <w:tblLayout w:type="fixed"/>
          <w:tblCellMar>
            <w:top w:w="0" w:type="dxa"/>
            <w:left w:w="0" w:type="dxa"/>
            <w:bottom w:w="0" w:type="dxa"/>
            <w:right w:w="0" w:type="dxa"/>
          </w:tblCellMar>
        </w:tblPrEx>
        <w:trPr>
          <w:trHeight w:val="312" w:hRule="atLeast"/>
        </w:trPr>
        <w:tc>
          <w:tcPr>
            <w:tcW w:w="172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kern w:val="0"/>
              </w:rPr>
            </w:pPr>
            <w:r>
              <w:rPr>
                <w:color w:val="000000"/>
                <w:kern w:val="0"/>
              </w:rPr>
              <w:t>Cr</w:t>
            </w:r>
          </w:p>
        </w:tc>
        <w:tc>
          <w:tcPr>
            <w:tcW w:w="1068"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kern w:val="0"/>
              </w:rPr>
            </w:pPr>
            <w:r>
              <w:rPr>
                <w:color w:val="000000"/>
                <w:kern w:val="0"/>
              </w:rPr>
              <w:t>3.00E-03</w:t>
            </w:r>
          </w:p>
        </w:tc>
        <w:tc>
          <w:tcPr>
            <w:tcW w:w="106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kern w:val="0"/>
              </w:rPr>
            </w:pPr>
            <w:r>
              <w:rPr>
                <w:color w:val="000000"/>
                <w:kern w:val="0"/>
              </w:rPr>
              <w:t>2.86E-05</w:t>
            </w:r>
          </w:p>
        </w:tc>
        <w:tc>
          <w:tcPr>
            <w:tcW w:w="1069"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kern w:val="0"/>
              </w:rPr>
            </w:pPr>
            <w:r>
              <w:rPr>
                <w:color w:val="000000"/>
                <w:kern w:val="0"/>
              </w:rPr>
              <w:t>6.00E-05</w:t>
            </w:r>
          </w:p>
        </w:tc>
        <w:tc>
          <w:tcPr>
            <w:tcW w:w="1131"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kern w:val="0"/>
              </w:rPr>
            </w:pPr>
          </w:p>
        </w:tc>
        <w:tc>
          <w:tcPr>
            <w:tcW w:w="1133"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kern w:val="0"/>
              </w:rPr>
            </w:pPr>
            <w:r>
              <w:rPr>
                <w:color w:val="000000"/>
                <w:kern w:val="0"/>
              </w:rPr>
              <w:t>4.20E+01</w:t>
            </w:r>
          </w:p>
        </w:tc>
        <w:tc>
          <w:tcPr>
            <w:tcW w:w="1134"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kern w:val="0"/>
              </w:rPr>
            </w:pPr>
          </w:p>
        </w:tc>
      </w:tr>
      <w:tr>
        <w:tblPrEx>
          <w:tblLayout w:type="fixed"/>
          <w:tblCellMar>
            <w:top w:w="0" w:type="dxa"/>
            <w:left w:w="0" w:type="dxa"/>
            <w:bottom w:w="0" w:type="dxa"/>
            <w:right w:w="0" w:type="dxa"/>
          </w:tblCellMar>
        </w:tblPrEx>
        <w:trPr>
          <w:trHeight w:val="312" w:hRule="atLeast"/>
        </w:trPr>
        <w:tc>
          <w:tcPr>
            <w:tcW w:w="172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Cu</w:t>
            </w:r>
          </w:p>
        </w:tc>
        <w:tc>
          <w:tcPr>
            <w:tcW w:w="1068"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4.00E-02</w:t>
            </w:r>
          </w:p>
        </w:tc>
        <w:tc>
          <w:tcPr>
            <w:tcW w:w="106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4.00E-02</w:t>
            </w:r>
          </w:p>
        </w:tc>
        <w:tc>
          <w:tcPr>
            <w:tcW w:w="1069"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1.20E-02</w:t>
            </w:r>
          </w:p>
        </w:tc>
        <w:tc>
          <w:tcPr>
            <w:tcW w:w="1131"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3"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4" w:type="dxa"/>
            <w:tcBorders>
              <w:top w:val="nil"/>
              <w:left w:val="nil"/>
              <w:bottom w:val="nil"/>
              <w:right w:val="nil"/>
            </w:tcBorders>
            <w:tcMar>
              <w:top w:w="12" w:type="dxa"/>
              <w:left w:w="12" w:type="dxa"/>
              <w:bottom w:w="0" w:type="dxa"/>
              <w:right w:w="12" w:type="dxa"/>
            </w:tcMar>
            <w:vAlign w:val="center"/>
          </w:tcPr>
          <w:p>
            <w:pPr>
              <w:jc w:val="left"/>
              <w:rPr>
                <w:color w:val="000000"/>
              </w:rPr>
            </w:pPr>
          </w:p>
        </w:tc>
      </w:tr>
      <w:tr>
        <w:tblPrEx>
          <w:tblLayout w:type="fixed"/>
          <w:tblCellMar>
            <w:top w:w="0" w:type="dxa"/>
            <w:left w:w="0" w:type="dxa"/>
            <w:bottom w:w="0" w:type="dxa"/>
            <w:right w:w="0" w:type="dxa"/>
          </w:tblCellMar>
        </w:tblPrEx>
        <w:trPr>
          <w:trHeight w:val="312" w:hRule="atLeast"/>
        </w:trPr>
        <w:tc>
          <w:tcPr>
            <w:tcW w:w="172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Cd</w:t>
            </w:r>
          </w:p>
        </w:tc>
        <w:tc>
          <w:tcPr>
            <w:tcW w:w="1068"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1.00E-03</w:t>
            </w:r>
          </w:p>
        </w:tc>
        <w:tc>
          <w:tcPr>
            <w:tcW w:w="106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1.00E-03</w:t>
            </w:r>
          </w:p>
        </w:tc>
        <w:tc>
          <w:tcPr>
            <w:tcW w:w="1069"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1.00E-05</w:t>
            </w:r>
          </w:p>
        </w:tc>
        <w:tc>
          <w:tcPr>
            <w:tcW w:w="1131"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6.10E+00</w:t>
            </w:r>
          </w:p>
        </w:tc>
        <w:tc>
          <w:tcPr>
            <w:tcW w:w="1133"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1.80E-03</w:t>
            </w:r>
          </w:p>
        </w:tc>
        <w:tc>
          <w:tcPr>
            <w:tcW w:w="1134"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6.10E+00</w:t>
            </w:r>
          </w:p>
        </w:tc>
      </w:tr>
      <w:tr>
        <w:tblPrEx>
          <w:tblLayout w:type="fixed"/>
          <w:tblCellMar>
            <w:top w:w="0" w:type="dxa"/>
            <w:left w:w="0" w:type="dxa"/>
            <w:bottom w:w="0" w:type="dxa"/>
            <w:right w:w="0" w:type="dxa"/>
          </w:tblCellMar>
        </w:tblPrEx>
        <w:trPr>
          <w:trHeight w:val="312" w:hRule="atLeast"/>
        </w:trPr>
        <w:tc>
          <w:tcPr>
            <w:tcW w:w="172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Mn</w:t>
            </w:r>
          </w:p>
        </w:tc>
        <w:tc>
          <w:tcPr>
            <w:tcW w:w="1068"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4.60E-02</w:t>
            </w:r>
          </w:p>
        </w:tc>
        <w:tc>
          <w:tcPr>
            <w:tcW w:w="106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1.43E-05</w:t>
            </w:r>
          </w:p>
        </w:tc>
        <w:tc>
          <w:tcPr>
            <w:tcW w:w="1069"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1.84E-03</w:t>
            </w:r>
          </w:p>
        </w:tc>
        <w:tc>
          <w:tcPr>
            <w:tcW w:w="1131"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3"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4" w:type="dxa"/>
            <w:tcBorders>
              <w:top w:val="nil"/>
              <w:left w:val="nil"/>
              <w:bottom w:val="nil"/>
              <w:right w:val="nil"/>
            </w:tcBorders>
            <w:tcMar>
              <w:top w:w="12" w:type="dxa"/>
              <w:left w:w="12" w:type="dxa"/>
              <w:bottom w:w="0" w:type="dxa"/>
              <w:right w:w="12" w:type="dxa"/>
            </w:tcMar>
            <w:vAlign w:val="center"/>
          </w:tcPr>
          <w:p>
            <w:pPr>
              <w:jc w:val="left"/>
              <w:rPr>
                <w:color w:val="000000"/>
              </w:rPr>
            </w:pPr>
          </w:p>
        </w:tc>
      </w:tr>
      <w:tr>
        <w:tblPrEx>
          <w:tblLayout w:type="fixed"/>
          <w:tblCellMar>
            <w:top w:w="0" w:type="dxa"/>
            <w:left w:w="0" w:type="dxa"/>
            <w:bottom w:w="0" w:type="dxa"/>
            <w:right w:w="0" w:type="dxa"/>
          </w:tblCellMar>
        </w:tblPrEx>
        <w:trPr>
          <w:trHeight w:val="312" w:hRule="atLeast"/>
        </w:trPr>
        <w:tc>
          <w:tcPr>
            <w:tcW w:w="172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Ni</w:t>
            </w:r>
          </w:p>
        </w:tc>
        <w:tc>
          <w:tcPr>
            <w:tcW w:w="1068"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2.00E-02</w:t>
            </w:r>
          </w:p>
        </w:tc>
        <w:tc>
          <w:tcPr>
            <w:tcW w:w="106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2.06E-02</w:t>
            </w:r>
          </w:p>
        </w:tc>
        <w:tc>
          <w:tcPr>
            <w:tcW w:w="1069"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5.40E-03</w:t>
            </w:r>
          </w:p>
        </w:tc>
        <w:tc>
          <w:tcPr>
            <w:tcW w:w="1131"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3" w:type="dxa"/>
            <w:tcBorders>
              <w:top w:val="nil"/>
              <w:left w:val="nil"/>
              <w:bottom w:val="nil"/>
              <w:right w:val="nil"/>
            </w:tcBorders>
            <w:tcMar>
              <w:top w:w="12" w:type="dxa"/>
              <w:left w:w="12" w:type="dxa"/>
              <w:bottom w:w="0" w:type="dxa"/>
              <w:right w:w="12" w:type="dxa"/>
            </w:tcMar>
            <w:vAlign w:val="center"/>
          </w:tcPr>
          <w:p>
            <w:pPr>
              <w:jc w:val="left"/>
              <w:rPr>
                <w:color w:val="000000"/>
              </w:rPr>
            </w:pPr>
            <w:r>
              <w:rPr>
                <w:color w:val="000000"/>
                <w:kern w:val="0"/>
              </w:rPr>
              <w:t>8.40E-01</w:t>
            </w:r>
          </w:p>
        </w:tc>
        <w:tc>
          <w:tcPr>
            <w:tcW w:w="1134" w:type="dxa"/>
            <w:tcBorders>
              <w:top w:val="nil"/>
              <w:left w:val="nil"/>
              <w:bottom w:val="nil"/>
              <w:right w:val="nil"/>
            </w:tcBorders>
            <w:tcMar>
              <w:top w:w="12" w:type="dxa"/>
              <w:left w:w="12" w:type="dxa"/>
              <w:bottom w:w="0" w:type="dxa"/>
              <w:right w:w="12" w:type="dxa"/>
            </w:tcMar>
            <w:vAlign w:val="center"/>
          </w:tcPr>
          <w:p>
            <w:pPr>
              <w:jc w:val="left"/>
              <w:rPr>
                <w:color w:val="000000"/>
              </w:rPr>
            </w:pPr>
          </w:p>
        </w:tc>
      </w:tr>
      <w:tr>
        <w:tblPrEx>
          <w:tblLayout w:type="fixed"/>
          <w:tblCellMar>
            <w:top w:w="0" w:type="dxa"/>
            <w:left w:w="0" w:type="dxa"/>
            <w:bottom w:w="0" w:type="dxa"/>
            <w:right w:w="0" w:type="dxa"/>
          </w:tblCellMar>
        </w:tblPrEx>
        <w:trPr>
          <w:trHeight w:val="312" w:hRule="atLeast"/>
        </w:trPr>
        <w:tc>
          <w:tcPr>
            <w:tcW w:w="1726" w:type="dxa"/>
            <w:tcBorders>
              <w:top w:val="nil"/>
              <w:left w:val="nil"/>
              <w:bottom w:val="nil"/>
              <w:right w:val="nil"/>
            </w:tcBorders>
            <w:tcMar>
              <w:top w:w="12" w:type="dxa"/>
              <w:left w:w="12" w:type="dxa"/>
              <w:bottom w:w="0" w:type="dxa"/>
              <w:right w:w="12" w:type="dxa"/>
            </w:tcMar>
            <w:vAlign w:val="center"/>
          </w:tcPr>
          <w:p>
            <w:pPr>
              <w:jc w:val="left"/>
              <w:rPr>
                <w:color w:val="000000"/>
              </w:rPr>
            </w:pPr>
            <w:r>
              <w:rPr>
                <w:color w:val="000000"/>
                <w:kern w:val="0"/>
              </w:rPr>
              <w:t>Pb</w:t>
            </w:r>
          </w:p>
        </w:tc>
        <w:tc>
          <w:tcPr>
            <w:tcW w:w="1068"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3.50E-03</w:t>
            </w:r>
          </w:p>
        </w:tc>
        <w:tc>
          <w:tcPr>
            <w:tcW w:w="106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3.52E-03</w:t>
            </w:r>
          </w:p>
        </w:tc>
        <w:tc>
          <w:tcPr>
            <w:tcW w:w="1069"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5.25E-04</w:t>
            </w:r>
          </w:p>
        </w:tc>
        <w:tc>
          <w:tcPr>
            <w:tcW w:w="1131"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3"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4" w:type="dxa"/>
            <w:tcBorders>
              <w:top w:val="nil"/>
              <w:left w:val="nil"/>
              <w:bottom w:val="nil"/>
              <w:right w:val="nil"/>
            </w:tcBorders>
            <w:tcMar>
              <w:top w:w="12" w:type="dxa"/>
              <w:left w:w="12" w:type="dxa"/>
              <w:bottom w:w="0" w:type="dxa"/>
              <w:right w:w="12" w:type="dxa"/>
            </w:tcMar>
            <w:vAlign w:val="center"/>
          </w:tcPr>
          <w:p>
            <w:pPr>
              <w:jc w:val="left"/>
              <w:rPr>
                <w:color w:val="000000"/>
              </w:rPr>
            </w:pPr>
          </w:p>
        </w:tc>
      </w:tr>
      <w:tr>
        <w:tblPrEx>
          <w:tblLayout w:type="fixed"/>
          <w:tblCellMar>
            <w:top w:w="0" w:type="dxa"/>
            <w:left w:w="0" w:type="dxa"/>
            <w:bottom w:w="0" w:type="dxa"/>
            <w:right w:w="0" w:type="dxa"/>
          </w:tblCellMar>
        </w:tblPrEx>
        <w:trPr>
          <w:trHeight w:val="312" w:hRule="atLeast"/>
        </w:trPr>
        <w:tc>
          <w:tcPr>
            <w:tcW w:w="172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Zn</w:t>
            </w:r>
          </w:p>
        </w:tc>
        <w:tc>
          <w:tcPr>
            <w:tcW w:w="1068"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3.00E-01</w:t>
            </w:r>
          </w:p>
        </w:tc>
        <w:tc>
          <w:tcPr>
            <w:tcW w:w="106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3.00E-01</w:t>
            </w:r>
          </w:p>
        </w:tc>
        <w:tc>
          <w:tcPr>
            <w:tcW w:w="1069"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6.00E-02</w:t>
            </w:r>
          </w:p>
        </w:tc>
        <w:tc>
          <w:tcPr>
            <w:tcW w:w="1131"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3"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4" w:type="dxa"/>
            <w:tcBorders>
              <w:top w:val="nil"/>
              <w:left w:val="nil"/>
              <w:bottom w:val="nil"/>
              <w:right w:val="nil"/>
            </w:tcBorders>
            <w:tcMar>
              <w:top w:w="12" w:type="dxa"/>
              <w:left w:w="12" w:type="dxa"/>
              <w:bottom w:w="0" w:type="dxa"/>
              <w:right w:w="12" w:type="dxa"/>
            </w:tcMar>
            <w:vAlign w:val="center"/>
          </w:tcPr>
          <w:p>
            <w:pPr>
              <w:jc w:val="left"/>
              <w:rPr>
                <w:color w:val="000000"/>
              </w:rPr>
            </w:pPr>
          </w:p>
        </w:tc>
      </w:tr>
      <w:tr>
        <w:tblPrEx>
          <w:tblLayout w:type="fixed"/>
          <w:tblCellMar>
            <w:top w:w="0" w:type="dxa"/>
            <w:left w:w="0" w:type="dxa"/>
            <w:bottom w:w="0" w:type="dxa"/>
            <w:right w:w="0" w:type="dxa"/>
          </w:tblCellMar>
        </w:tblPrEx>
        <w:trPr>
          <w:trHeight w:val="312" w:hRule="atLeast"/>
        </w:trPr>
        <w:tc>
          <w:tcPr>
            <w:tcW w:w="1726"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V</w:t>
            </w:r>
          </w:p>
        </w:tc>
        <w:tc>
          <w:tcPr>
            <w:tcW w:w="1068"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7.00E-03</w:t>
            </w:r>
          </w:p>
        </w:tc>
        <w:tc>
          <w:tcPr>
            <w:tcW w:w="1066"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069" w:type="dxa"/>
            <w:tcBorders>
              <w:top w:val="nil"/>
              <w:left w:val="nil"/>
              <w:bottom w:val="nil"/>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7.00E-05</w:t>
            </w:r>
          </w:p>
        </w:tc>
        <w:tc>
          <w:tcPr>
            <w:tcW w:w="1131"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3" w:type="dxa"/>
            <w:tcBorders>
              <w:top w:val="nil"/>
              <w:left w:val="nil"/>
              <w:bottom w:val="nil"/>
              <w:right w:val="nil"/>
            </w:tcBorders>
            <w:tcMar>
              <w:top w:w="12" w:type="dxa"/>
              <w:left w:w="12" w:type="dxa"/>
              <w:bottom w:w="0" w:type="dxa"/>
              <w:right w:w="12" w:type="dxa"/>
            </w:tcMar>
            <w:vAlign w:val="center"/>
          </w:tcPr>
          <w:p>
            <w:pPr>
              <w:jc w:val="left"/>
              <w:rPr>
                <w:color w:val="000000"/>
              </w:rPr>
            </w:pPr>
          </w:p>
        </w:tc>
        <w:tc>
          <w:tcPr>
            <w:tcW w:w="1134" w:type="dxa"/>
            <w:tcBorders>
              <w:top w:val="nil"/>
              <w:left w:val="nil"/>
              <w:bottom w:val="nil"/>
              <w:right w:val="nil"/>
            </w:tcBorders>
            <w:tcMar>
              <w:top w:w="12" w:type="dxa"/>
              <w:left w:w="12" w:type="dxa"/>
              <w:bottom w:w="0" w:type="dxa"/>
              <w:right w:w="12" w:type="dxa"/>
            </w:tcMar>
            <w:vAlign w:val="center"/>
          </w:tcPr>
          <w:p>
            <w:pPr>
              <w:jc w:val="left"/>
              <w:rPr>
                <w:color w:val="000000"/>
              </w:rPr>
            </w:pPr>
          </w:p>
        </w:tc>
      </w:tr>
      <w:tr>
        <w:tblPrEx>
          <w:tblLayout w:type="fixed"/>
          <w:tblCellMar>
            <w:top w:w="0" w:type="dxa"/>
            <w:left w:w="0" w:type="dxa"/>
            <w:bottom w:w="0" w:type="dxa"/>
            <w:right w:w="0" w:type="dxa"/>
          </w:tblCellMar>
        </w:tblPrEx>
        <w:trPr>
          <w:trHeight w:val="312" w:hRule="atLeast"/>
        </w:trPr>
        <w:tc>
          <w:tcPr>
            <w:tcW w:w="1726" w:type="dxa"/>
            <w:tcBorders>
              <w:top w:val="nil"/>
              <w:left w:val="nil"/>
              <w:bottom w:val="single" w:color="auto" w:sz="8"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Ba</w:t>
            </w:r>
          </w:p>
        </w:tc>
        <w:tc>
          <w:tcPr>
            <w:tcW w:w="1068" w:type="dxa"/>
            <w:tcBorders>
              <w:top w:val="nil"/>
              <w:left w:val="nil"/>
              <w:bottom w:val="single" w:color="auto" w:sz="8"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7.00E-02</w:t>
            </w:r>
          </w:p>
        </w:tc>
        <w:tc>
          <w:tcPr>
            <w:tcW w:w="1066" w:type="dxa"/>
            <w:tcBorders>
              <w:top w:val="nil"/>
              <w:left w:val="nil"/>
              <w:bottom w:val="single" w:color="auto" w:sz="8"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1.43E-04</w:t>
            </w:r>
          </w:p>
        </w:tc>
        <w:tc>
          <w:tcPr>
            <w:tcW w:w="1069" w:type="dxa"/>
            <w:tcBorders>
              <w:top w:val="nil"/>
              <w:left w:val="nil"/>
              <w:bottom w:val="single" w:color="auto" w:sz="8" w:space="0"/>
              <w:right w:val="nil"/>
            </w:tcBorders>
            <w:tcMar>
              <w:top w:w="12" w:type="dxa"/>
              <w:left w:w="12" w:type="dxa"/>
              <w:bottom w:w="0" w:type="dxa"/>
              <w:right w:w="12" w:type="dxa"/>
            </w:tcMar>
            <w:vAlign w:val="center"/>
          </w:tcPr>
          <w:p>
            <w:pPr>
              <w:widowControl/>
              <w:jc w:val="left"/>
              <w:textAlignment w:val="center"/>
              <w:rPr>
                <w:color w:val="000000"/>
              </w:rPr>
            </w:pPr>
            <w:r>
              <w:rPr>
                <w:color w:val="000000"/>
                <w:kern w:val="0"/>
              </w:rPr>
              <w:t>4.90E-03</w:t>
            </w:r>
          </w:p>
        </w:tc>
        <w:tc>
          <w:tcPr>
            <w:tcW w:w="1131" w:type="dxa"/>
            <w:tcBorders>
              <w:top w:val="nil"/>
              <w:left w:val="nil"/>
              <w:bottom w:val="single" w:color="auto" w:sz="8" w:space="0"/>
              <w:right w:val="nil"/>
            </w:tcBorders>
            <w:tcMar>
              <w:top w:w="12" w:type="dxa"/>
              <w:left w:w="12" w:type="dxa"/>
              <w:bottom w:w="0" w:type="dxa"/>
              <w:right w:w="12" w:type="dxa"/>
            </w:tcMar>
            <w:vAlign w:val="center"/>
          </w:tcPr>
          <w:p>
            <w:pPr>
              <w:jc w:val="left"/>
              <w:rPr>
                <w:color w:val="000000"/>
              </w:rPr>
            </w:pPr>
          </w:p>
        </w:tc>
        <w:tc>
          <w:tcPr>
            <w:tcW w:w="1133" w:type="dxa"/>
            <w:tcBorders>
              <w:top w:val="nil"/>
              <w:left w:val="nil"/>
              <w:bottom w:val="single" w:color="auto" w:sz="8" w:space="0"/>
              <w:right w:val="nil"/>
            </w:tcBorders>
            <w:tcMar>
              <w:top w:w="12" w:type="dxa"/>
              <w:left w:w="12" w:type="dxa"/>
              <w:bottom w:w="0" w:type="dxa"/>
              <w:right w:w="12" w:type="dxa"/>
            </w:tcMar>
            <w:vAlign w:val="center"/>
          </w:tcPr>
          <w:p>
            <w:pPr>
              <w:jc w:val="left"/>
              <w:rPr>
                <w:color w:val="000000"/>
              </w:rPr>
            </w:pPr>
          </w:p>
        </w:tc>
        <w:tc>
          <w:tcPr>
            <w:tcW w:w="1134" w:type="dxa"/>
            <w:tcBorders>
              <w:top w:val="nil"/>
              <w:left w:val="nil"/>
              <w:bottom w:val="single" w:color="auto" w:sz="8" w:space="0"/>
              <w:right w:val="nil"/>
            </w:tcBorders>
            <w:tcMar>
              <w:top w:w="12" w:type="dxa"/>
              <w:left w:w="12" w:type="dxa"/>
              <w:bottom w:w="0" w:type="dxa"/>
              <w:right w:w="12" w:type="dxa"/>
            </w:tcMar>
            <w:vAlign w:val="center"/>
          </w:tcPr>
          <w:p>
            <w:pPr>
              <w:jc w:val="left"/>
              <w:rPr>
                <w:color w:val="000000"/>
              </w:rPr>
            </w:pPr>
          </w:p>
        </w:tc>
      </w:tr>
    </w:tbl>
    <w:p>
      <w:pPr>
        <w:spacing w:line="480" w:lineRule="auto"/>
      </w:pPr>
    </w:p>
    <w:p>
      <w:pPr>
        <w:spacing w:line="480" w:lineRule="auto"/>
        <w:sectPr>
          <w:pgSz w:w="11906" w:h="16838"/>
          <w:pgMar w:top="1440" w:right="1800" w:bottom="1440" w:left="1800" w:header="851" w:footer="992" w:gutter="0"/>
          <w:cols w:space="720" w:num="1"/>
          <w:docGrid w:type="lines" w:linePitch="312" w:charSpace="0"/>
        </w:sectPr>
      </w:pPr>
      <w:r>
        <w:rPr>
          <w:rFonts w:hint="eastAsia"/>
        </w:rPr>
        <w:t xml:space="preserve"> </w:t>
      </w:r>
    </w:p>
    <w:p>
      <w:pPr>
        <w:spacing w:line="360" w:lineRule="auto"/>
      </w:pPr>
      <w:r>
        <w:t xml:space="preserve">Table </w:t>
      </w:r>
      <w:r>
        <w:rPr>
          <w:rFonts w:hint="eastAsia"/>
        </w:rPr>
        <w:t>S5</w:t>
      </w:r>
      <w:r>
        <w:t xml:space="preserve"> </w:t>
      </w:r>
    </w:p>
    <w:p>
      <w:pPr>
        <w:spacing w:line="360" w:lineRule="auto"/>
      </w:pPr>
      <w:r>
        <w:rPr>
          <w:rFonts w:hint="eastAsia"/>
        </w:rPr>
        <w:t>Mean c</w:t>
      </w:r>
      <w:r>
        <w:t>oncentrations of heavy metals in the study area and reference area (mg/kg)</w:t>
      </w:r>
    </w:p>
    <w:tbl>
      <w:tblPr>
        <w:tblStyle w:val="7"/>
        <w:tblW w:w="13988" w:type="dxa"/>
        <w:tblInd w:w="93" w:type="dxa"/>
        <w:tblLayout w:type="fixed"/>
        <w:tblCellMar>
          <w:top w:w="15" w:type="dxa"/>
          <w:left w:w="15" w:type="dxa"/>
          <w:bottom w:w="15" w:type="dxa"/>
          <w:right w:w="15" w:type="dxa"/>
        </w:tblCellMar>
      </w:tblPr>
      <w:tblGrid>
        <w:gridCol w:w="1086"/>
        <w:gridCol w:w="1086"/>
        <w:gridCol w:w="1087"/>
        <w:gridCol w:w="1086"/>
        <w:gridCol w:w="1086"/>
        <w:gridCol w:w="1086"/>
        <w:gridCol w:w="1086"/>
        <w:gridCol w:w="1087"/>
        <w:gridCol w:w="1086"/>
        <w:gridCol w:w="1086"/>
        <w:gridCol w:w="1086"/>
        <w:gridCol w:w="2040"/>
      </w:tblGrid>
      <w:tr>
        <w:tblPrEx>
          <w:tblLayout w:type="fixed"/>
          <w:tblCellMar>
            <w:top w:w="15" w:type="dxa"/>
            <w:left w:w="15" w:type="dxa"/>
            <w:bottom w:w="15" w:type="dxa"/>
            <w:right w:w="15" w:type="dxa"/>
          </w:tblCellMar>
        </w:tblPrEx>
        <w:trPr>
          <w:trHeight w:val="336" w:hRule="atLeast"/>
        </w:trPr>
        <w:tc>
          <w:tcPr>
            <w:tcW w:w="1086" w:type="dxa"/>
            <w:tcBorders>
              <w:top w:val="single" w:color="000000" w:sz="8" w:space="0"/>
              <w:left w:val="nil"/>
              <w:bottom w:val="single" w:color="000000" w:sz="8" w:space="0"/>
              <w:right w:val="nil"/>
            </w:tcBorders>
            <w:vAlign w:val="bottom"/>
          </w:tcPr>
          <w:p>
            <w:pPr>
              <w:widowControl/>
              <w:textAlignment w:val="center"/>
              <w:rPr>
                <w:color w:val="000000"/>
                <w:sz w:val="18"/>
                <w:szCs w:val="18"/>
              </w:rPr>
            </w:pPr>
            <w:bookmarkStart w:id="1" w:name="OLE_LINK41"/>
            <w:r>
              <w:rPr>
                <w:color w:val="000000"/>
                <w:kern w:val="0"/>
                <w:sz w:val="18"/>
                <w:szCs w:val="18"/>
              </w:rPr>
              <w:t>City</w:t>
            </w:r>
            <w:bookmarkEnd w:id="1"/>
          </w:p>
        </w:tc>
        <w:tc>
          <w:tcPr>
            <w:tcW w:w="1086" w:type="dxa"/>
            <w:tcBorders>
              <w:top w:val="single" w:color="000000" w:sz="8" w:space="0"/>
              <w:left w:val="nil"/>
              <w:bottom w:val="single" w:color="000000" w:sz="8" w:space="0"/>
              <w:right w:val="nil"/>
            </w:tcBorders>
            <w:vAlign w:val="bottom"/>
          </w:tcPr>
          <w:p>
            <w:pPr>
              <w:widowControl/>
              <w:textAlignment w:val="bottom"/>
              <w:rPr>
                <w:color w:val="000000"/>
                <w:sz w:val="18"/>
                <w:szCs w:val="18"/>
              </w:rPr>
            </w:pPr>
            <w:r>
              <w:rPr>
                <w:color w:val="000000"/>
                <w:kern w:val="0"/>
                <w:sz w:val="18"/>
                <w:szCs w:val="18"/>
              </w:rPr>
              <w:t>Co</w:t>
            </w:r>
          </w:p>
        </w:tc>
        <w:tc>
          <w:tcPr>
            <w:tcW w:w="1087" w:type="dxa"/>
            <w:tcBorders>
              <w:top w:val="single" w:color="000000" w:sz="8" w:space="0"/>
              <w:left w:val="nil"/>
              <w:bottom w:val="single" w:color="000000" w:sz="8" w:space="0"/>
              <w:right w:val="nil"/>
            </w:tcBorders>
            <w:vAlign w:val="bottom"/>
          </w:tcPr>
          <w:p>
            <w:pPr>
              <w:widowControl/>
              <w:textAlignment w:val="bottom"/>
              <w:rPr>
                <w:color w:val="000000"/>
                <w:sz w:val="18"/>
                <w:szCs w:val="18"/>
              </w:rPr>
            </w:pPr>
            <w:r>
              <w:rPr>
                <w:color w:val="000000"/>
                <w:kern w:val="0"/>
                <w:sz w:val="18"/>
                <w:szCs w:val="18"/>
              </w:rPr>
              <w:t>Cr</w:t>
            </w:r>
          </w:p>
        </w:tc>
        <w:tc>
          <w:tcPr>
            <w:tcW w:w="1086" w:type="dxa"/>
            <w:tcBorders>
              <w:top w:val="single" w:color="000000" w:sz="8" w:space="0"/>
              <w:left w:val="nil"/>
              <w:bottom w:val="single" w:color="000000" w:sz="8" w:space="0"/>
              <w:right w:val="nil"/>
            </w:tcBorders>
            <w:vAlign w:val="bottom"/>
          </w:tcPr>
          <w:p>
            <w:pPr>
              <w:widowControl/>
              <w:textAlignment w:val="bottom"/>
              <w:rPr>
                <w:color w:val="000000"/>
                <w:sz w:val="18"/>
                <w:szCs w:val="18"/>
              </w:rPr>
            </w:pPr>
            <w:r>
              <w:rPr>
                <w:color w:val="000000"/>
                <w:kern w:val="0"/>
                <w:sz w:val="18"/>
                <w:szCs w:val="18"/>
              </w:rPr>
              <w:t>Cu</w:t>
            </w:r>
          </w:p>
        </w:tc>
        <w:tc>
          <w:tcPr>
            <w:tcW w:w="1086" w:type="dxa"/>
            <w:tcBorders>
              <w:top w:val="single" w:color="000000" w:sz="8" w:space="0"/>
              <w:left w:val="nil"/>
              <w:bottom w:val="single" w:color="000000" w:sz="8" w:space="0"/>
              <w:right w:val="nil"/>
            </w:tcBorders>
            <w:vAlign w:val="bottom"/>
          </w:tcPr>
          <w:p>
            <w:pPr>
              <w:widowControl/>
              <w:textAlignment w:val="bottom"/>
              <w:rPr>
                <w:color w:val="000000"/>
                <w:sz w:val="18"/>
                <w:szCs w:val="18"/>
              </w:rPr>
            </w:pPr>
            <w:r>
              <w:rPr>
                <w:color w:val="000000"/>
                <w:kern w:val="0"/>
                <w:sz w:val="18"/>
                <w:szCs w:val="18"/>
              </w:rPr>
              <w:t>Cd</w:t>
            </w:r>
          </w:p>
        </w:tc>
        <w:tc>
          <w:tcPr>
            <w:tcW w:w="1086" w:type="dxa"/>
            <w:tcBorders>
              <w:top w:val="single" w:color="000000" w:sz="8" w:space="0"/>
              <w:left w:val="nil"/>
              <w:bottom w:val="single" w:color="000000" w:sz="8" w:space="0"/>
              <w:right w:val="nil"/>
            </w:tcBorders>
            <w:vAlign w:val="bottom"/>
          </w:tcPr>
          <w:p>
            <w:pPr>
              <w:widowControl/>
              <w:textAlignment w:val="bottom"/>
              <w:rPr>
                <w:color w:val="000000"/>
                <w:sz w:val="18"/>
                <w:szCs w:val="18"/>
              </w:rPr>
            </w:pPr>
            <w:r>
              <w:rPr>
                <w:color w:val="000000"/>
                <w:kern w:val="0"/>
                <w:sz w:val="18"/>
                <w:szCs w:val="18"/>
              </w:rPr>
              <w:t>Mn</w:t>
            </w:r>
          </w:p>
        </w:tc>
        <w:tc>
          <w:tcPr>
            <w:tcW w:w="1086" w:type="dxa"/>
            <w:tcBorders>
              <w:top w:val="single" w:color="000000" w:sz="8" w:space="0"/>
              <w:left w:val="nil"/>
              <w:bottom w:val="single" w:color="000000" w:sz="8" w:space="0"/>
              <w:right w:val="nil"/>
            </w:tcBorders>
            <w:vAlign w:val="bottom"/>
          </w:tcPr>
          <w:p>
            <w:pPr>
              <w:widowControl/>
              <w:textAlignment w:val="bottom"/>
              <w:rPr>
                <w:color w:val="000000"/>
                <w:sz w:val="18"/>
                <w:szCs w:val="18"/>
              </w:rPr>
            </w:pPr>
            <w:r>
              <w:rPr>
                <w:color w:val="000000"/>
                <w:kern w:val="0"/>
                <w:sz w:val="18"/>
                <w:szCs w:val="18"/>
              </w:rPr>
              <w:t>Ni</w:t>
            </w:r>
          </w:p>
        </w:tc>
        <w:tc>
          <w:tcPr>
            <w:tcW w:w="1087" w:type="dxa"/>
            <w:tcBorders>
              <w:top w:val="single" w:color="000000" w:sz="8" w:space="0"/>
              <w:left w:val="nil"/>
              <w:bottom w:val="single" w:color="000000" w:sz="8" w:space="0"/>
              <w:right w:val="nil"/>
            </w:tcBorders>
            <w:vAlign w:val="bottom"/>
          </w:tcPr>
          <w:p>
            <w:pPr>
              <w:widowControl/>
              <w:textAlignment w:val="bottom"/>
              <w:rPr>
                <w:color w:val="000000"/>
                <w:sz w:val="18"/>
                <w:szCs w:val="18"/>
              </w:rPr>
            </w:pPr>
            <w:r>
              <w:rPr>
                <w:color w:val="000000"/>
                <w:kern w:val="0"/>
                <w:sz w:val="18"/>
                <w:szCs w:val="18"/>
              </w:rPr>
              <w:t>Pb</w:t>
            </w:r>
          </w:p>
        </w:tc>
        <w:tc>
          <w:tcPr>
            <w:tcW w:w="1086" w:type="dxa"/>
            <w:tcBorders>
              <w:top w:val="single" w:color="000000" w:sz="8" w:space="0"/>
              <w:left w:val="nil"/>
              <w:bottom w:val="single" w:color="000000" w:sz="8" w:space="0"/>
              <w:right w:val="nil"/>
            </w:tcBorders>
            <w:vAlign w:val="bottom"/>
          </w:tcPr>
          <w:p>
            <w:pPr>
              <w:widowControl/>
              <w:textAlignment w:val="bottom"/>
              <w:rPr>
                <w:color w:val="000000"/>
                <w:sz w:val="18"/>
                <w:szCs w:val="18"/>
              </w:rPr>
            </w:pPr>
            <w:r>
              <w:rPr>
                <w:color w:val="000000"/>
                <w:kern w:val="0"/>
                <w:sz w:val="18"/>
                <w:szCs w:val="18"/>
              </w:rPr>
              <w:t>Zn</w:t>
            </w:r>
          </w:p>
        </w:tc>
        <w:tc>
          <w:tcPr>
            <w:tcW w:w="1086" w:type="dxa"/>
            <w:tcBorders>
              <w:top w:val="single" w:color="000000" w:sz="8" w:space="0"/>
              <w:left w:val="nil"/>
              <w:bottom w:val="single" w:color="000000" w:sz="8" w:space="0"/>
              <w:right w:val="nil"/>
            </w:tcBorders>
            <w:vAlign w:val="bottom"/>
          </w:tcPr>
          <w:p>
            <w:pPr>
              <w:widowControl/>
              <w:textAlignment w:val="bottom"/>
              <w:rPr>
                <w:color w:val="000000"/>
                <w:sz w:val="18"/>
                <w:szCs w:val="18"/>
              </w:rPr>
            </w:pPr>
            <w:r>
              <w:rPr>
                <w:color w:val="000000"/>
                <w:kern w:val="0"/>
                <w:sz w:val="18"/>
                <w:szCs w:val="18"/>
              </w:rPr>
              <w:t>V</w:t>
            </w:r>
          </w:p>
        </w:tc>
        <w:tc>
          <w:tcPr>
            <w:tcW w:w="1086" w:type="dxa"/>
            <w:tcBorders>
              <w:top w:val="single" w:color="000000" w:sz="8" w:space="0"/>
              <w:left w:val="nil"/>
              <w:bottom w:val="single" w:color="000000" w:sz="8" w:space="0"/>
              <w:right w:val="nil"/>
            </w:tcBorders>
            <w:vAlign w:val="bottom"/>
          </w:tcPr>
          <w:p>
            <w:pPr>
              <w:widowControl/>
              <w:textAlignment w:val="bottom"/>
              <w:rPr>
                <w:color w:val="000000"/>
                <w:sz w:val="18"/>
                <w:szCs w:val="18"/>
              </w:rPr>
            </w:pPr>
            <w:r>
              <w:rPr>
                <w:color w:val="000000"/>
                <w:kern w:val="0"/>
                <w:sz w:val="18"/>
                <w:szCs w:val="18"/>
              </w:rPr>
              <w:t>Ba</w:t>
            </w:r>
          </w:p>
        </w:tc>
        <w:tc>
          <w:tcPr>
            <w:tcW w:w="2040" w:type="dxa"/>
            <w:tcBorders>
              <w:top w:val="single" w:color="000000" w:sz="8" w:space="0"/>
              <w:left w:val="nil"/>
              <w:bottom w:val="single" w:color="000000" w:sz="8" w:space="0"/>
              <w:right w:val="nil"/>
            </w:tcBorders>
            <w:vAlign w:val="bottom"/>
          </w:tcPr>
          <w:p>
            <w:pPr>
              <w:widowControl/>
              <w:textAlignment w:val="bottom"/>
              <w:rPr>
                <w:b/>
                <w:color w:val="000000"/>
                <w:sz w:val="18"/>
                <w:szCs w:val="18"/>
              </w:rPr>
            </w:pPr>
            <w:r>
              <w:rPr>
                <w:b/>
                <w:color w:val="000000"/>
                <w:kern w:val="0"/>
                <w:sz w:val="18"/>
                <w:szCs w:val="18"/>
              </w:rPr>
              <w:t>References</w:t>
            </w:r>
          </w:p>
        </w:tc>
      </w:tr>
      <w:tr>
        <w:tblPrEx>
          <w:tblLayout w:type="fixed"/>
          <w:tblCellMar>
            <w:top w:w="15" w:type="dxa"/>
            <w:left w:w="15" w:type="dxa"/>
            <w:bottom w:w="15" w:type="dxa"/>
            <w:right w:w="15" w:type="dxa"/>
          </w:tblCellMar>
        </w:tblPrEx>
        <w:trPr>
          <w:trHeight w:val="325" w:hRule="atLeast"/>
        </w:trPr>
        <w:tc>
          <w:tcPr>
            <w:tcW w:w="1086"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Jinan</w:t>
            </w:r>
          </w:p>
        </w:tc>
        <w:tc>
          <w:tcPr>
            <w:tcW w:w="1086"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8.25</w:t>
            </w:r>
          </w:p>
        </w:tc>
        <w:tc>
          <w:tcPr>
            <w:tcW w:w="1087"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114.09</w:t>
            </w:r>
          </w:p>
        </w:tc>
        <w:tc>
          <w:tcPr>
            <w:tcW w:w="1086"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87.71</w:t>
            </w:r>
          </w:p>
        </w:tc>
        <w:tc>
          <w:tcPr>
            <w:tcW w:w="1086"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1.08</w:t>
            </w:r>
          </w:p>
        </w:tc>
        <w:tc>
          <w:tcPr>
            <w:tcW w:w="1086"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517.04</w:t>
            </w:r>
          </w:p>
        </w:tc>
        <w:tc>
          <w:tcPr>
            <w:tcW w:w="1086"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30.29</w:t>
            </w:r>
          </w:p>
        </w:tc>
        <w:tc>
          <w:tcPr>
            <w:tcW w:w="1087"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85.71</w:t>
            </w:r>
          </w:p>
        </w:tc>
        <w:tc>
          <w:tcPr>
            <w:tcW w:w="1086"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497.64</w:t>
            </w:r>
          </w:p>
        </w:tc>
        <w:tc>
          <w:tcPr>
            <w:tcW w:w="1086"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51.76</w:t>
            </w:r>
          </w:p>
        </w:tc>
        <w:tc>
          <w:tcPr>
            <w:tcW w:w="1086"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642.77</w:t>
            </w:r>
          </w:p>
        </w:tc>
        <w:tc>
          <w:tcPr>
            <w:tcW w:w="2040" w:type="dxa"/>
            <w:tcBorders>
              <w:top w:val="single" w:color="000000" w:sz="8" w:space="0"/>
              <w:left w:val="nil"/>
              <w:bottom w:val="nil"/>
              <w:right w:val="nil"/>
            </w:tcBorders>
            <w:vAlign w:val="bottom"/>
          </w:tcPr>
          <w:p>
            <w:pPr>
              <w:widowControl/>
              <w:textAlignment w:val="center"/>
              <w:rPr>
                <w:color w:val="000000"/>
                <w:sz w:val="18"/>
                <w:szCs w:val="18"/>
              </w:rPr>
            </w:pPr>
            <w:r>
              <w:rPr>
                <w:color w:val="000000"/>
                <w:kern w:val="0"/>
                <w:sz w:val="18"/>
                <w:szCs w:val="18"/>
              </w:rPr>
              <w:t>This study</w:t>
            </w:r>
          </w:p>
        </w:tc>
      </w:tr>
      <w:tr>
        <w:tblPrEx>
          <w:tblLayout w:type="fixed"/>
          <w:tblCellMar>
            <w:top w:w="15" w:type="dxa"/>
            <w:left w:w="15" w:type="dxa"/>
            <w:bottom w:w="15" w:type="dxa"/>
            <w:right w:w="15" w:type="dxa"/>
          </w:tblCellMar>
        </w:tblPrEx>
        <w:trPr>
          <w:trHeight w:val="48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Beijing</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92.1</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83.12</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0.59</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553.73</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32.47</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60.88</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280.65</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Mehr et al</w:t>
            </w:r>
            <w:r>
              <w:rPr>
                <w:rFonts w:hint="eastAsia"/>
                <w:color w:val="0000FF"/>
                <w:kern w:val="0"/>
                <w:sz w:val="18"/>
                <w:szCs w:val="18"/>
                <w:lang w:eastAsia="zh-CN"/>
              </w:rPr>
              <w:t>.</w:t>
            </w:r>
            <w:r>
              <w:rPr>
                <w:color w:val="0000FF"/>
                <w:kern w:val="0"/>
                <w:sz w:val="18"/>
                <w:szCs w:val="18"/>
              </w:rPr>
              <w:t xml:space="preserve"> 2017</w:t>
            </w:r>
          </w:p>
        </w:tc>
      </w:tr>
      <w:tr>
        <w:tblPrEx>
          <w:tblLayout w:type="fixed"/>
          <w:tblCellMar>
            <w:top w:w="15" w:type="dxa"/>
            <w:left w:w="15" w:type="dxa"/>
            <w:bottom w:w="15" w:type="dxa"/>
            <w:right w:w="15" w:type="dxa"/>
          </w:tblCellMar>
        </w:tblPrEx>
        <w:trPr>
          <w:trHeight w:val="72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Guangzhou</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176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2.41</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240</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586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Duzgoren-Aydin et al</w:t>
            </w:r>
            <w:r>
              <w:rPr>
                <w:rFonts w:hint="eastAsia"/>
                <w:color w:val="0000FF"/>
                <w:kern w:val="0"/>
                <w:sz w:val="18"/>
                <w:szCs w:val="18"/>
                <w:lang w:eastAsia="zh-CN"/>
              </w:rPr>
              <w:t>.</w:t>
            </w:r>
            <w:r>
              <w:rPr>
                <w:color w:val="0000FF"/>
                <w:kern w:val="0"/>
                <w:sz w:val="18"/>
                <w:szCs w:val="18"/>
              </w:rPr>
              <w:t xml:space="preserve"> 2006</w:t>
            </w:r>
          </w:p>
        </w:tc>
      </w:tr>
      <w:tr>
        <w:tblPrEx>
          <w:tblLayout w:type="fixed"/>
          <w:tblCellMar>
            <w:top w:w="15" w:type="dxa"/>
            <w:left w:w="15" w:type="dxa"/>
            <w:bottom w:w="15" w:type="dxa"/>
            <w:right w:w="15" w:type="dxa"/>
          </w:tblCellMar>
        </w:tblPrEx>
        <w:trPr>
          <w:trHeight w:val="48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Hangzhou</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116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202</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321</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Zhang et al</w:t>
            </w:r>
            <w:r>
              <w:rPr>
                <w:rFonts w:hint="eastAsia"/>
                <w:color w:val="0000FF"/>
                <w:kern w:val="0"/>
                <w:sz w:val="18"/>
                <w:szCs w:val="18"/>
                <w:lang w:eastAsia="zh-CN"/>
              </w:rPr>
              <w:t>.</w:t>
            </w:r>
            <w:r>
              <w:rPr>
                <w:color w:val="0000FF"/>
                <w:kern w:val="0"/>
                <w:sz w:val="18"/>
                <w:szCs w:val="18"/>
              </w:rPr>
              <w:t xml:space="preserve"> 2009</w:t>
            </w:r>
          </w:p>
        </w:tc>
      </w:tr>
      <w:tr>
        <w:tblPrEx>
          <w:tblLayout w:type="fixed"/>
          <w:tblCellMar>
            <w:top w:w="15" w:type="dxa"/>
            <w:left w:w="15" w:type="dxa"/>
            <w:bottom w:w="15" w:type="dxa"/>
            <w:right w:w="15" w:type="dxa"/>
          </w:tblCellMar>
        </w:tblPrEx>
        <w:trPr>
          <w:trHeight w:val="228"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Shanghai</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132.1</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0.46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105.6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473.5</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Bi et al</w:t>
            </w:r>
            <w:r>
              <w:rPr>
                <w:rFonts w:hint="eastAsia"/>
                <w:color w:val="0000FF"/>
                <w:kern w:val="0"/>
                <w:sz w:val="18"/>
                <w:szCs w:val="18"/>
                <w:lang w:eastAsia="zh-CN"/>
              </w:rPr>
              <w:t>.</w:t>
            </w:r>
            <w:r>
              <w:rPr>
                <w:color w:val="0000FF"/>
                <w:kern w:val="0"/>
                <w:sz w:val="18"/>
                <w:szCs w:val="18"/>
              </w:rPr>
              <w:t xml:space="preserve"> 2018</w:t>
            </w:r>
          </w:p>
        </w:tc>
      </w:tr>
      <w:tr>
        <w:tblPrEx>
          <w:tblLayout w:type="fixed"/>
          <w:tblCellMar>
            <w:top w:w="15" w:type="dxa"/>
            <w:left w:w="15" w:type="dxa"/>
            <w:bottom w:w="15" w:type="dxa"/>
            <w:right w:w="15" w:type="dxa"/>
          </w:tblCellMar>
        </w:tblPrEx>
        <w:trPr>
          <w:trHeight w:val="48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Nanchang</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7.9</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102</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0.58</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62</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208</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40</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Tang et al</w:t>
            </w:r>
            <w:r>
              <w:rPr>
                <w:rFonts w:hint="eastAsia"/>
                <w:color w:val="0000FF"/>
                <w:kern w:val="0"/>
                <w:sz w:val="18"/>
                <w:szCs w:val="18"/>
                <w:lang w:eastAsia="zh-CN"/>
              </w:rPr>
              <w:t>.</w:t>
            </w:r>
            <w:r>
              <w:rPr>
                <w:color w:val="0000FF"/>
                <w:kern w:val="0"/>
                <w:sz w:val="18"/>
                <w:szCs w:val="18"/>
              </w:rPr>
              <w:t xml:space="preserve"> 2017</w:t>
            </w:r>
          </w:p>
        </w:tc>
      </w:tr>
      <w:tr>
        <w:tblPrEx>
          <w:tblLayout w:type="fixed"/>
          <w:tblCellMar>
            <w:top w:w="15" w:type="dxa"/>
            <w:left w:w="15" w:type="dxa"/>
            <w:bottom w:w="15" w:type="dxa"/>
            <w:right w:w="15" w:type="dxa"/>
          </w:tblCellMar>
        </w:tblPrEx>
        <w:trPr>
          <w:trHeight w:val="48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Xi’an</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30.9</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145</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54.7</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30.8</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124.5</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268.6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69.6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Pan et al</w:t>
            </w:r>
            <w:r>
              <w:rPr>
                <w:rFonts w:hint="eastAsia"/>
                <w:color w:val="0000FF"/>
                <w:kern w:val="0"/>
                <w:sz w:val="18"/>
                <w:szCs w:val="18"/>
                <w:lang w:eastAsia="zh-CN"/>
              </w:rPr>
              <w:t>.</w:t>
            </w:r>
            <w:r>
              <w:rPr>
                <w:color w:val="0000FF"/>
                <w:kern w:val="0"/>
                <w:sz w:val="18"/>
                <w:szCs w:val="18"/>
              </w:rPr>
              <w:t xml:space="preserve"> 2017</w:t>
            </w:r>
          </w:p>
        </w:tc>
      </w:tr>
      <w:tr>
        <w:tblPrEx>
          <w:tblLayout w:type="fixed"/>
          <w:tblCellMar>
            <w:top w:w="15" w:type="dxa"/>
            <w:left w:w="15" w:type="dxa"/>
            <w:bottom w:w="15" w:type="dxa"/>
            <w:right w:w="15" w:type="dxa"/>
          </w:tblCellMar>
        </w:tblPrEx>
        <w:trPr>
          <w:trHeight w:val="48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Tianjing</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9.3</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71.85</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55.47</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0.45</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60.11</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Yu et al</w:t>
            </w:r>
            <w:r>
              <w:rPr>
                <w:rFonts w:hint="eastAsia"/>
                <w:color w:val="0000FF"/>
                <w:kern w:val="0"/>
                <w:sz w:val="18"/>
                <w:szCs w:val="18"/>
                <w:lang w:eastAsia="zh-CN"/>
              </w:rPr>
              <w:t>.</w:t>
            </w:r>
            <w:r>
              <w:rPr>
                <w:color w:val="0000FF"/>
                <w:kern w:val="0"/>
                <w:sz w:val="18"/>
                <w:szCs w:val="18"/>
              </w:rPr>
              <w:t xml:space="preserve"> 2018</w:t>
            </w:r>
          </w:p>
        </w:tc>
      </w:tr>
      <w:tr>
        <w:tblPrEx>
          <w:tblLayout w:type="fixed"/>
          <w:tblCellMar>
            <w:top w:w="15" w:type="dxa"/>
            <w:left w:w="15" w:type="dxa"/>
            <w:bottom w:w="15" w:type="dxa"/>
            <w:right w:w="15" w:type="dxa"/>
          </w:tblCellMar>
        </w:tblPrEx>
        <w:trPr>
          <w:trHeight w:val="48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Huai’an</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6.62</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61.1</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36.3</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0.252</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42.6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Zhao et al</w:t>
            </w:r>
            <w:r>
              <w:rPr>
                <w:rFonts w:hint="eastAsia"/>
                <w:color w:val="0000FF"/>
                <w:kern w:val="0"/>
                <w:sz w:val="18"/>
                <w:szCs w:val="18"/>
                <w:lang w:eastAsia="zh-CN"/>
              </w:rPr>
              <w:t>.</w:t>
            </w:r>
            <w:r>
              <w:rPr>
                <w:color w:val="0000FF"/>
                <w:kern w:val="0"/>
                <w:sz w:val="18"/>
                <w:szCs w:val="18"/>
              </w:rPr>
              <w:t xml:space="preserve"> 2019</w:t>
            </w:r>
          </w:p>
        </w:tc>
      </w:tr>
      <w:tr>
        <w:tblPrEx>
          <w:tblLayout w:type="fixed"/>
          <w:tblCellMar>
            <w:top w:w="15" w:type="dxa"/>
            <w:left w:w="15" w:type="dxa"/>
            <w:bottom w:w="15" w:type="dxa"/>
            <w:right w:w="15" w:type="dxa"/>
          </w:tblCellMar>
        </w:tblPrEx>
        <w:trPr>
          <w:trHeight w:val="48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Delhi</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23</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169</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129</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264</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Suryawanshi et al</w:t>
            </w:r>
            <w:r>
              <w:rPr>
                <w:rFonts w:hint="eastAsia"/>
                <w:color w:val="0000FF"/>
                <w:kern w:val="0"/>
                <w:sz w:val="18"/>
                <w:szCs w:val="18"/>
                <w:lang w:eastAsia="zh-CN"/>
              </w:rPr>
              <w:t>.</w:t>
            </w:r>
            <w:r>
              <w:rPr>
                <w:color w:val="0000FF"/>
                <w:kern w:val="0"/>
                <w:sz w:val="18"/>
                <w:szCs w:val="18"/>
              </w:rPr>
              <w:t xml:space="preserve"> 2016</w:t>
            </w:r>
          </w:p>
        </w:tc>
      </w:tr>
      <w:tr>
        <w:tblPrEx>
          <w:tblLayout w:type="fixed"/>
          <w:tblCellMar>
            <w:top w:w="15" w:type="dxa"/>
            <w:left w:w="15" w:type="dxa"/>
            <w:bottom w:w="15" w:type="dxa"/>
            <w:right w:w="15" w:type="dxa"/>
          </w:tblCellMar>
        </w:tblPrEx>
        <w:trPr>
          <w:trHeight w:val="48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Turin</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181</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0.8</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74</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200</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Mohman et al</w:t>
            </w:r>
            <w:r>
              <w:rPr>
                <w:rFonts w:hint="eastAsia"/>
                <w:color w:val="0000FF"/>
                <w:kern w:val="0"/>
                <w:sz w:val="18"/>
                <w:szCs w:val="18"/>
                <w:lang w:eastAsia="zh-CN"/>
              </w:rPr>
              <w:t>.</w:t>
            </w:r>
            <w:r>
              <w:rPr>
                <w:color w:val="0000FF"/>
                <w:kern w:val="0"/>
                <w:sz w:val="18"/>
                <w:szCs w:val="18"/>
              </w:rPr>
              <w:t xml:space="preserve"> 2015</w:t>
            </w:r>
          </w:p>
        </w:tc>
      </w:tr>
      <w:tr>
        <w:tblPrEx>
          <w:tblLayout w:type="fixed"/>
          <w:tblCellMar>
            <w:top w:w="15" w:type="dxa"/>
            <w:left w:w="15" w:type="dxa"/>
            <w:bottom w:w="15" w:type="dxa"/>
            <w:right w:w="15" w:type="dxa"/>
          </w:tblCellMar>
        </w:tblPrEx>
        <w:trPr>
          <w:trHeight w:val="48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Thessaloniki</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104.9</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662.3</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1.76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336.4</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89.43</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209</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452.8</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Doabi et al</w:t>
            </w:r>
            <w:r>
              <w:rPr>
                <w:rFonts w:hint="eastAsia"/>
                <w:color w:val="0000FF"/>
                <w:kern w:val="0"/>
                <w:sz w:val="18"/>
                <w:szCs w:val="18"/>
                <w:lang w:eastAsia="zh-CN"/>
              </w:rPr>
              <w:t>.</w:t>
            </w:r>
            <w:r>
              <w:rPr>
                <w:color w:val="0000FF"/>
                <w:kern w:val="0"/>
                <w:sz w:val="18"/>
                <w:szCs w:val="18"/>
              </w:rPr>
              <w:t xml:space="preserve"> 2018</w:t>
            </w:r>
          </w:p>
        </w:tc>
      </w:tr>
      <w:tr>
        <w:tblPrEx>
          <w:tblLayout w:type="fixed"/>
          <w:tblCellMar>
            <w:top w:w="15" w:type="dxa"/>
            <w:left w:w="15" w:type="dxa"/>
            <w:bottom w:w="15" w:type="dxa"/>
            <w:right w:w="15" w:type="dxa"/>
          </w:tblCellMar>
        </w:tblPrEx>
        <w:trPr>
          <w:trHeight w:val="480" w:hRule="atLeast"/>
        </w:trPr>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Dhaka</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144.34</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49.68</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11.64</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261.53</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37.01</w:t>
            </w:r>
          </w:p>
        </w:tc>
        <w:tc>
          <w:tcPr>
            <w:tcW w:w="1087"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18.99</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239.16</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nil"/>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nil"/>
              <w:right w:val="nil"/>
            </w:tcBorders>
            <w:vAlign w:val="bottom"/>
          </w:tcPr>
          <w:p>
            <w:pPr>
              <w:widowControl/>
              <w:textAlignment w:val="top"/>
              <w:rPr>
                <w:color w:val="0000FF"/>
                <w:sz w:val="18"/>
                <w:szCs w:val="18"/>
              </w:rPr>
            </w:pPr>
            <w:r>
              <w:rPr>
                <w:color w:val="0000FF"/>
                <w:kern w:val="0"/>
                <w:sz w:val="18"/>
                <w:szCs w:val="18"/>
              </w:rPr>
              <w:t>Valottoet al</w:t>
            </w:r>
            <w:r>
              <w:rPr>
                <w:rFonts w:hint="eastAsia"/>
                <w:color w:val="0000FF"/>
                <w:kern w:val="0"/>
                <w:sz w:val="18"/>
                <w:szCs w:val="18"/>
                <w:lang w:eastAsia="zh-CN"/>
              </w:rPr>
              <w:t>.</w:t>
            </w:r>
            <w:r>
              <w:rPr>
                <w:color w:val="0000FF"/>
                <w:kern w:val="0"/>
                <w:sz w:val="18"/>
                <w:szCs w:val="18"/>
              </w:rPr>
              <w:t xml:space="preserve"> 2015</w:t>
            </w:r>
          </w:p>
        </w:tc>
      </w:tr>
      <w:tr>
        <w:tblPrEx>
          <w:tblLayout w:type="fixed"/>
          <w:tblCellMar>
            <w:top w:w="15" w:type="dxa"/>
            <w:left w:w="15" w:type="dxa"/>
            <w:bottom w:w="15" w:type="dxa"/>
            <w:right w:w="15" w:type="dxa"/>
          </w:tblCellMar>
        </w:tblPrEx>
        <w:trPr>
          <w:trHeight w:val="493" w:hRule="atLeast"/>
        </w:trPr>
        <w:tc>
          <w:tcPr>
            <w:tcW w:w="1086"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Kermanshah</w:t>
            </w:r>
          </w:p>
        </w:tc>
        <w:tc>
          <w:tcPr>
            <w:tcW w:w="1086"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w:t>
            </w:r>
          </w:p>
        </w:tc>
        <w:tc>
          <w:tcPr>
            <w:tcW w:w="1087"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73.74</w:t>
            </w:r>
          </w:p>
        </w:tc>
        <w:tc>
          <w:tcPr>
            <w:tcW w:w="1086"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47.63</w:t>
            </w:r>
          </w:p>
        </w:tc>
        <w:tc>
          <w:tcPr>
            <w:tcW w:w="1086"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119.53</w:t>
            </w:r>
          </w:p>
        </w:tc>
        <w:tc>
          <w:tcPr>
            <w:tcW w:w="1087"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210.29</w:t>
            </w:r>
          </w:p>
        </w:tc>
        <w:tc>
          <w:tcPr>
            <w:tcW w:w="1086"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w:t>
            </w:r>
          </w:p>
        </w:tc>
        <w:tc>
          <w:tcPr>
            <w:tcW w:w="1086" w:type="dxa"/>
            <w:tcBorders>
              <w:top w:val="nil"/>
              <w:left w:val="nil"/>
              <w:bottom w:val="single" w:color="000000" w:sz="8" w:space="0"/>
              <w:right w:val="nil"/>
            </w:tcBorders>
            <w:vAlign w:val="bottom"/>
          </w:tcPr>
          <w:p>
            <w:pPr>
              <w:widowControl/>
              <w:textAlignment w:val="center"/>
              <w:rPr>
                <w:color w:val="000000"/>
                <w:sz w:val="18"/>
                <w:szCs w:val="18"/>
              </w:rPr>
            </w:pPr>
            <w:r>
              <w:rPr>
                <w:color w:val="000000"/>
                <w:kern w:val="0"/>
                <w:sz w:val="18"/>
                <w:szCs w:val="18"/>
              </w:rPr>
              <w:t>-</w:t>
            </w:r>
          </w:p>
        </w:tc>
        <w:tc>
          <w:tcPr>
            <w:tcW w:w="2040" w:type="dxa"/>
            <w:tcBorders>
              <w:top w:val="nil"/>
              <w:left w:val="nil"/>
              <w:bottom w:val="single" w:color="000000" w:sz="8" w:space="0"/>
              <w:right w:val="nil"/>
            </w:tcBorders>
            <w:vAlign w:val="bottom"/>
          </w:tcPr>
          <w:p>
            <w:pPr>
              <w:widowControl/>
              <w:textAlignment w:val="center"/>
              <w:rPr>
                <w:color w:val="0000FF"/>
                <w:sz w:val="18"/>
                <w:szCs w:val="18"/>
              </w:rPr>
            </w:pPr>
            <w:r>
              <w:rPr>
                <w:color w:val="0000FF"/>
                <w:kern w:val="0"/>
                <w:sz w:val="18"/>
                <w:szCs w:val="18"/>
              </w:rPr>
              <w:t>Bourliva et al</w:t>
            </w:r>
            <w:r>
              <w:rPr>
                <w:rFonts w:hint="eastAsia"/>
                <w:color w:val="0000FF"/>
                <w:kern w:val="0"/>
                <w:sz w:val="18"/>
                <w:szCs w:val="18"/>
                <w:lang w:eastAsia="zh-CN"/>
              </w:rPr>
              <w:t>.</w:t>
            </w:r>
            <w:r>
              <w:rPr>
                <w:color w:val="0000FF"/>
                <w:kern w:val="0"/>
                <w:sz w:val="18"/>
                <w:szCs w:val="18"/>
              </w:rPr>
              <w:t xml:space="preserve"> 2017</w:t>
            </w:r>
          </w:p>
        </w:tc>
      </w:tr>
    </w:tbl>
    <w:p>
      <w:pPr>
        <w:autoSpaceDE w:val="0"/>
        <w:jc w:val="left"/>
        <w:rPr>
          <w:b/>
        </w:rPr>
      </w:pPr>
      <w:r>
        <w:rPr>
          <w:rFonts w:hint="eastAsia"/>
          <w:bCs/>
          <w:sz w:val="18"/>
          <w:szCs w:val="18"/>
        </w:rPr>
        <w:t xml:space="preserve">Note: </w:t>
      </w:r>
      <w:r>
        <w:rPr>
          <w:bCs/>
          <w:sz w:val="18"/>
          <w:szCs w:val="18"/>
        </w:rPr>
        <w:t>“-”</w:t>
      </w:r>
      <w:r>
        <w:rPr>
          <w:rFonts w:hint="eastAsia"/>
          <w:bCs/>
          <w:sz w:val="18"/>
          <w:szCs w:val="18"/>
        </w:rPr>
        <w:t xml:space="preserve"> no available data.</w:t>
      </w:r>
    </w:p>
    <w:p>
      <w:pPr>
        <w:autoSpaceDE w:val="0"/>
        <w:spacing w:line="480" w:lineRule="auto"/>
        <w:rPr>
          <w:b/>
        </w:rPr>
      </w:pPr>
      <w:r>
        <w:rPr>
          <w:b/>
        </w:rPr>
        <w:t xml:space="preserve">Table </w:t>
      </w:r>
      <w:r>
        <w:rPr>
          <w:rFonts w:hint="eastAsia"/>
          <w:b/>
        </w:rPr>
        <w:t>S6</w:t>
      </w:r>
    </w:p>
    <w:p>
      <w:pPr>
        <w:autoSpaceDE w:val="0"/>
        <w:spacing w:line="480" w:lineRule="auto"/>
        <w:rPr>
          <w:bCs/>
        </w:rPr>
      </w:pPr>
      <w:r>
        <w:rPr>
          <w:bCs/>
        </w:rPr>
        <w:t xml:space="preserve">Source-specific health risk of </w:t>
      </w:r>
      <w:r>
        <w:rPr>
          <w:rFonts w:hint="eastAsia"/>
          <w:bCs/>
        </w:rPr>
        <w:t>heavy metals</w:t>
      </w:r>
      <w:r>
        <w:rPr>
          <w:bCs/>
        </w:rPr>
        <w:t xml:space="preserve"> in </w:t>
      </w:r>
      <w:r>
        <w:rPr>
          <w:rFonts w:hint="eastAsia"/>
          <w:bCs/>
        </w:rPr>
        <w:t xml:space="preserve">the </w:t>
      </w:r>
      <w:r>
        <w:rPr>
          <w:bCs/>
        </w:rPr>
        <w:t>road dust</w:t>
      </w:r>
      <w:r>
        <w:rPr>
          <w:rFonts w:hint="eastAsia"/>
          <w:bCs/>
        </w:rPr>
        <w:t xml:space="preserve"> of Jinan City</w:t>
      </w:r>
    </w:p>
    <w:tbl>
      <w:tblPr>
        <w:tblStyle w:val="7"/>
        <w:tblW w:w="13982" w:type="dxa"/>
        <w:tblInd w:w="93" w:type="dxa"/>
        <w:tblLayout w:type="fixed"/>
        <w:tblCellMar>
          <w:top w:w="15" w:type="dxa"/>
          <w:left w:w="15" w:type="dxa"/>
          <w:bottom w:w="15" w:type="dxa"/>
          <w:right w:w="15" w:type="dxa"/>
        </w:tblCellMar>
      </w:tblPr>
      <w:tblGrid>
        <w:gridCol w:w="1238"/>
        <w:gridCol w:w="1133"/>
        <w:gridCol w:w="1055"/>
        <w:gridCol w:w="842"/>
        <w:gridCol w:w="1270"/>
        <w:gridCol w:w="1055"/>
        <w:gridCol w:w="842"/>
        <w:gridCol w:w="1270"/>
        <w:gridCol w:w="1055"/>
        <w:gridCol w:w="822"/>
        <w:gridCol w:w="1290"/>
        <w:gridCol w:w="1055"/>
        <w:gridCol w:w="1055"/>
      </w:tblGrid>
      <w:tr>
        <w:tblPrEx>
          <w:tblLayout w:type="fixed"/>
          <w:tblCellMar>
            <w:top w:w="15" w:type="dxa"/>
            <w:left w:w="15" w:type="dxa"/>
            <w:bottom w:w="15" w:type="dxa"/>
            <w:right w:w="15" w:type="dxa"/>
          </w:tblCellMar>
        </w:tblPrEx>
        <w:trPr>
          <w:trHeight w:val="373" w:hRule="atLeast"/>
        </w:trPr>
        <w:tc>
          <w:tcPr>
            <w:tcW w:w="1238" w:type="dxa"/>
            <w:vMerge w:val="restart"/>
            <w:tcBorders>
              <w:top w:val="single" w:color="000000"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Elements</w:t>
            </w:r>
          </w:p>
        </w:tc>
        <w:tc>
          <w:tcPr>
            <w:tcW w:w="3030" w:type="dxa"/>
            <w:gridSpan w:val="3"/>
            <w:tcBorders>
              <w:top w:val="single" w:color="000000" w:sz="4" w:space="0"/>
              <w:left w:val="nil"/>
              <w:bottom w:val="single" w:color="auto" w:sz="4" w:space="0"/>
              <w:right w:val="nil"/>
            </w:tcBorders>
            <w:vAlign w:val="center"/>
          </w:tcPr>
          <w:p>
            <w:pPr>
              <w:widowControl/>
              <w:jc w:val="left"/>
              <w:textAlignment w:val="center"/>
              <w:rPr>
                <w:color w:val="000000"/>
                <w:sz w:val="18"/>
                <w:szCs w:val="18"/>
              </w:rPr>
            </w:pPr>
            <w:r>
              <w:rPr>
                <w:color w:val="000000"/>
                <w:sz w:val="18"/>
                <w:szCs w:val="18"/>
              </w:rPr>
              <w:t>Traffic emissions</w:t>
            </w:r>
          </w:p>
        </w:tc>
        <w:tc>
          <w:tcPr>
            <w:tcW w:w="3167" w:type="dxa"/>
            <w:gridSpan w:val="3"/>
            <w:tcBorders>
              <w:top w:val="single" w:color="000000" w:sz="4" w:space="0"/>
              <w:left w:val="nil"/>
              <w:bottom w:val="single" w:color="auto" w:sz="4" w:space="0"/>
              <w:right w:val="nil"/>
            </w:tcBorders>
            <w:vAlign w:val="center"/>
          </w:tcPr>
          <w:p>
            <w:pPr>
              <w:widowControl/>
              <w:jc w:val="left"/>
              <w:textAlignment w:val="center"/>
              <w:rPr>
                <w:color w:val="000000"/>
                <w:sz w:val="18"/>
                <w:szCs w:val="18"/>
              </w:rPr>
            </w:pPr>
            <w:r>
              <w:rPr>
                <w:color w:val="000000"/>
                <w:kern w:val="0"/>
                <w:sz w:val="18"/>
                <w:szCs w:val="18"/>
              </w:rPr>
              <w:t xml:space="preserve">Industrial discharges </w:t>
            </w:r>
          </w:p>
        </w:tc>
        <w:tc>
          <w:tcPr>
            <w:tcW w:w="3147" w:type="dxa"/>
            <w:gridSpan w:val="3"/>
            <w:tcBorders>
              <w:top w:val="single" w:color="000000" w:sz="4" w:space="0"/>
              <w:left w:val="nil"/>
              <w:bottom w:val="single" w:color="auto" w:sz="4" w:space="0"/>
              <w:right w:val="nil"/>
            </w:tcBorders>
            <w:vAlign w:val="center"/>
          </w:tcPr>
          <w:p>
            <w:pPr>
              <w:widowControl/>
              <w:jc w:val="left"/>
              <w:textAlignment w:val="center"/>
              <w:rPr>
                <w:color w:val="000000"/>
                <w:sz w:val="18"/>
                <w:szCs w:val="18"/>
              </w:rPr>
            </w:pPr>
            <w:r>
              <w:rPr>
                <w:color w:val="000000"/>
                <w:sz w:val="18"/>
                <w:szCs w:val="18"/>
              </w:rPr>
              <w:t>Natural and coal combustion sources</w:t>
            </w:r>
          </w:p>
        </w:tc>
        <w:tc>
          <w:tcPr>
            <w:tcW w:w="3400" w:type="dxa"/>
            <w:gridSpan w:val="3"/>
            <w:tcBorders>
              <w:top w:val="single" w:color="000000" w:sz="4" w:space="0"/>
              <w:left w:val="nil"/>
              <w:bottom w:val="single" w:color="auto" w:sz="4" w:space="0"/>
              <w:right w:val="nil"/>
            </w:tcBorders>
            <w:vAlign w:val="center"/>
          </w:tcPr>
          <w:p>
            <w:pPr>
              <w:widowControl/>
              <w:jc w:val="left"/>
              <w:textAlignment w:val="center"/>
              <w:rPr>
                <w:color w:val="000000"/>
                <w:sz w:val="18"/>
                <w:szCs w:val="18"/>
              </w:rPr>
            </w:pPr>
            <w:r>
              <w:rPr>
                <w:color w:val="000000"/>
                <w:sz w:val="18"/>
                <w:szCs w:val="18"/>
              </w:rPr>
              <w:t>Building material and manufacture sources</w:t>
            </w:r>
          </w:p>
        </w:tc>
      </w:tr>
      <w:tr>
        <w:tblPrEx>
          <w:tblLayout w:type="fixed"/>
          <w:tblCellMar>
            <w:top w:w="15" w:type="dxa"/>
            <w:left w:w="15" w:type="dxa"/>
            <w:bottom w:w="15" w:type="dxa"/>
            <w:right w:w="15" w:type="dxa"/>
          </w:tblCellMar>
        </w:tblPrEx>
        <w:trPr>
          <w:trHeight w:val="360" w:hRule="atLeast"/>
        </w:trPr>
        <w:tc>
          <w:tcPr>
            <w:tcW w:w="1238" w:type="dxa"/>
            <w:vMerge w:val="continue"/>
            <w:tcBorders>
              <w:top w:val="single" w:color="000000" w:sz="4" w:space="0"/>
              <w:left w:val="nil"/>
              <w:bottom w:val="nil"/>
              <w:right w:val="nil"/>
            </w:tcBorders>
            <w:vAlign w:val="center"/>
          </w:tcPr>
          <w:p>
            <w:pPr>
              <w:widowControl/>
              <w:jc w:val="left"/>
              <w:rPr>
                <w:color w:val="000000"/>
                <w:sz w:val="18"/>
                <w:szCs w:val="18"/>
              </w:rPr>
            </w:pPr>
          </w:p>
        </w:tc>
        <w:tc>
          <w:tcPr>
            <w:tcW w:w="2188" w:type="dxa"/>
            <w:gridSpan w:val="2"/>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NCR</w:t>
            </w:r>
          </w:p>
        </w:tc>
        <w:tc>
          <w:tcPr>
            <w:tcW w:w="842" w:type="dxa"/>
            <w:vMerge w:val="restart"/>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CR</w:t>
            </w:r>
          </w:p>
        </w:tc>
        <w:tc>
          <w:tcPr>
            <w:tcW w:w="2325" w:type="dxa"/>
            <w:gridSpan w:val="2"/>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NCR</w:t>
            </w:r>
          </w:p>
        </w:tc>
        <w:tc>
          <w:tcPr>
            <w:tcW w:w="842" w:type="dxa"/>
            <w:vMerge w:val="restart"/>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CR</w:t>
            </w:r>
          </w:p>
        </w:tc>
        <w:tc>
          <w:tcPr>
            <w:tcW w:w="2325" w:type="dxa"/>
            <w:gridSpan w:val="2"/>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NCR</w:t>
            </w:r>
          </w:p>
        </w:tc>
        <w:tc>
          <w:tcPr>
            <w:tcW w:w="822" w:type="dxa"/>
            <w:vMerge w:val="restart"/>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CR</w:t>
            </w:r>
          </w:p>
        </w:tc>
        <w:tc>
          <w:tcPr>
            <w:tcW w:w="2345" w:type="dxa"/>
            <w:gridSpan w:val="2"/>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NCR</w:t>
            </w:r>
          </w:p>
        </w:tc>
        <w:tc>
          <w:tcPr>
            <w:tcW w:w="1055" w:type="dxa"/>
            <w:vMerge w:val="restart"/>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CR</w:t>
            </w:r>
          </w:p>
        </w:tc>
      </w:tr>
      <w:tr>
        <w:tblPrEx>
          <w:tblLayout w:type="fixed"/>
          <w:tblCellMar>
            <w:top w:w="15" w:type="dxa"/>
            <w:left w:w="15" w:type="dxa"/>
            <w:bottom w:w="15" w:type="dxa"/>
            <w:right w:w="15" w:type="dxa"/>
          </w:tblCellMar>
        </w:tblPrEx>
        <w:trPr>
          <w:trHeight w:val="373" w:hRule="atLeast"/>
        </w:trPr>
        <w:tc>
          <w:tcPr>
            <w:tcW w:w="1238" w:type="dxa"/>
            <w:vMerge w:val="continue"/>
            <w:tcBorders>
              <w:top w:val="single" w:color="000000" w:sz="4" w:space="0"/>
              <w:left w:val="nil"/>
              <w:bottom w:val="nil"/>
              <w:right w:val="nil"/>
            </w:tcBorders>
            <w:vAlign w:val="center"/>
          </w:tcPr>
          <w:p>
            <w:pPr>
              <w:widowControl/>
              <w:jc w:val="left"/>
              <w:rPr>
                <w:color w:val="000000"/>
                <w:sz w:val="18"/>
                <w:szCs w:val="18"/>
              </w:rPr>
            </w:pPr>
          </w:p>
        </w:tc>
        <w:tc>
          <w:tcPr>
            <w:tcW w:w="1133" w:type="dxa"/>
            <w:tcBorders>
              <w:top w:val="nil"/>
              <w:left w:val="nil"/>
              <w:bottom w:val="single" w:color="auto" w:sz="4" w:space="0"/>
              <w:right w:val="nil"/>
            </w:tcBorders>
            <w:vAlign w:val="center"/>
          </w:tcPr>
          <w:p>
            <w:pPr>
              <w:widowControl/>
              <w:jc w:val="left"/>
              <w:textAlignment w:val="center"/>
              <w:rPr>
                <w:color w:val="000000"/>
                <w:sz w:val="18"/>
                <w:szCs w:val="18"/>
              </w:rPr>
            </w:pPr>
            <w:r>
              <w:rPr>
                <w:color w:val="000000"/>
                <w:kern w:val="0"/>
                <w:sz w:val="18"/>
                <w:szCs w:val="18"/>
              </w:rPr>
              <w:t>Child</w:t>
            </w:r>
            <w:r>
              <w:rPr>
                <w:rFonts w:hint="eastAsia"/>
                <w:color w:val="000000"/>
                <w:kern w:val="0"/>
                <w:sz w:val="18"/>
                <w:szCs w:val="18"/>
              </w:rPr>
              <w:t>ren</w:t>
            </w:r>
          </w:p>
        </w:tc>
        <w:tc>
          <w:tcPr>
            <w:tcW w:w="1055" w:type="dxa"/>
            <w:tcBorders>
              <w:top w:val="nil"/>
              <w:left w:val="nil"/>
              <w:bottom w:val="single" w:color="auto" w:sz="4" w:space="0"/>
              <w:right w:val="nil"/>
            </w:tcBorders>
            <w:vAlign w:val="center"/>
          </w:tcPr>
          <w:p>
            <w:pPr>
              <w:widowControl/>
              <w:jc w:val="left"/>
              <w:textAlignment w:val="center"/>
              <w:rPr>
                <w:color w:val="000000"/>
                <w:sz w:val="18"/>
                <w:szCs w:val="18"/>
              </w:rPr>
            </w:pPr>
            <w:r>
              <w:rPr>
                <w:color w:val="000000"/>
                <w:kern w:val="0"/>
                <w:sz w:val="18"/>
                <w:szCs w:val="18"/>
              </w:rPr>
              <w:t>Adult</w:t>
            </w:r>
            <w:r>
              <w:rPr>
                <w:rFonts w:hint="eastAsia"/>
                <w:color w:val="000000"/>
                <w:kern w:val="0"/>
                <w:sz w:val="18"/>
                <w:szCs w:val="18"/>
              </w:rPr>
              <w:t>s</w:t>
            </w:r>
          </w:p>
        </w:tc>
        <w:tc>
          <w:tcPr>
            <w:tcW w:w="842" w:type="dxa"/>
            <w:vMerge w:val="continue"/>
            <w:tcBorders>
              <w:top w:val="nil"/>
              <w:left w:val="nil"/>
              <w:bottom w:val="nil"/>
              <w:right w:val="nil"/>
            </w:tcBorders>
            <w:vAlign w:val="center"/>
          </w:tcPr>
          <w:p>
            <w:pPr>
              <w:widowControl/>
              <w:jc w:val="left"/>
              <w:rPr>
                <w:color w:val="000000"/>
                <w:sz w:val="18"/>
                <w:szCs w:val="18"/>
              </w:rPr>
            </w:pPr>
          </w:p>
        </w:tc>
        <w:tc>
          <w:tcPr>
            <w:tcW w:w="1270" w:type="dxa"/>
            <w:tcBorders>
              <w:top w:val="nil"/>
              <w:left w:val="nil"/>
              <w:bottom w:val="single" w:color="auto" w:sz="4" w:space="0"/>
              <w:right w:val="nil"/>
            </w:tcBorders>
            <w:vAlign w:val="center"/>
          </w:tcPr>
          <w:p>
            <w:pPr>
              <w:widowControl/>
              <w:jc w:val="left"/>
              <w:textAlignment w:val="center"/>
              <w:rPr>
                <w:color w:val="000000"/>
                <w:sz w:val="18"/>
                <w:szCs w:val="18"/>
              </w:rPr>
            </w:pPr>
            <w:r>
              <w:rPr>
                <w:color w:val="000000"/>
                <w:kern w:val="0"/>
                <w:sz w:val="18"/>
                <w:szCs w:val="18"/>
              </w:rPr>
              <w:t>Child</w:t>
            </w:r>
            <w:r>
              <w:rPr>
                <w:rFonts w:hint="eastAsia"/>
                <w:color w:val="000000"/>
                <w:kern w:val="0"/>
                <w:sz w:val="18"/>
                <w:szCs w:val="18"/>
              </w:rPr>
              <w:t>ren</w:t>
            </w:r>
          </w:p>
        </w:tc>
        <w:tc>
          <w:tcPr>
            <w:tcW w:w="1055" w:type="dxa"/>
            <w:tcBorders>
              <w:top w:val="nil"/>
              <w:left w:val="nil"/>
              <w:bottom w:val="single" w:color="auto" w:sz="4" w:space="0"/>
              <w:right w:val="nil"/>
            </w:tcBorders>
            <w:vAlign w:val="center"/>
          </w:tcPr>
          <w:p>
            <w:pPr>
              <w:widowControl/>
              <w:jc w:val="left"/>
              <w:textAlignment w:val="center"/>
              <w:rPr>
                <w:color w:val="000000"/>
                <w:sz w:val="18"/>
                <w:szCs w:val="18"/>
              </w:rPr>
            </w:pPr>
            <w:r>
              <w:rPr>
                <w:color w:val="000000"/>
                <w:kern w:val="0"/>
                <w:sz w:val="18"/>
                <w:szCs w:val="18"/>
              </w:rPr>
              <w:t>Adult</w:t>
            </w:r>
            <w:r>
              <w:rPr>
                <w:rFonts w:hint="eastAsia"/>
                <w:color w:val="000000"/>
                <w:kern w:val="0"/>
                <w:sz w:val="18"/>
                <w:szCs w:val="18"/>
              </w:rPr>
              <w:t>s</w:t>
            </w:r>
          </w:p>
        </w:tc>
        <w:tc>
          <w:tcPr>
            <w:tcW w:w="842" w:type="dxa"/>
            <w:vMerge w:val="continue"/>
            <w:tcBorders>
              <w:top w:val="nil"/>
              <w:left w:val="nil"/>
              <w:bottom w:val="nil"/>
              <w:right w:val="nil"/>
            </w:tcBorders>
            <w:vAlign w:val="center"/>
          </w:tcPr>
          <w:p>
            <w:pPr>
              <w:widowControl/>
              <w:jc w:val="left"/>
              <w:rPr>
                <w:color w:val="000000"/>
                <w:sz w:val="18"/>
                <w:szCs w:val="18"/>
              </w:rPr>
            </w:pPr>
          </w:p>
        </w:tc>
        <w:tc>
          <w:tcPr>
            <w:tcW w:w="1270" w:type="dxa"/>
            <w:tcBorders>
              <w:top w:val="nil"/>
              <w:left w:val="nil"/>
              <w:bottom w:val="single" w:color="auto" w:sz="4" w:space="0"/>
              <w:right w:val="nil"/>
            </w:tcBorders>
            <w:vAlign w:val="center"/>
          </w:tcPr>
          <w:p>
            <w:pPr>
              <w:widowControl/>
              <w:jc w:val="left"/>
              <w:textAlignment w:val="center"/>
              <w:rPr>
                <w:color w:val="000000"/>
                <w:sz w:val="18"/>
                <w:szCs w:val="18"/>
              </w:rPr>
            </w:pPr>
            <w:r>
              <w:rPr>
                <w:color w:val="000000"/>
                <w:kern w:val="0"/>
                <w:sz w:val="18"/>
                <w:szCs w:val="18"/>
              </w:rPr>
              <w:t>Child</w:t>
            </w:r>
            <w:r>
              <w:rPr>
                <w:rFonts w:hint="eastAsia"/>
                <w:color w:val="000000"/>
                <w:kern w:val="0"/>
                <w:sz w:val="18"/>
                <w:szCs w:val="18"/>
              </w:rPr>
              <w:t>ren</w:t>
            </w:r>
          </w:p>
        </w:tc>
        <w:tc>
          <w:tcPr>
            <w:tcW w:w="1055" w:type="dxa"/>
            <w:tcBorders>
              <w:top w:val="nil"/>
              <w:left w:val="nil"/>
              <w:bottom w:val="single" w:color="auto" w:sz="4" w:space="0"/>
              <w:right w:val="nil"/>
            </w:tcBorders>
            <w:vAlign w:val="center"/>
          </w:tcPr>
          <w:p>
            <w:pPr>
              <w:widowControl/>
              <w:jc w:val="left"/>
              <w:textAlignment w:val="center"/>
              <w:rPr>
                <w:color w:val="000000"/>
                <w:sz w:val="18"/>
                <w:szCs w:val="18"/>
              </w:rPr>
            </w:pPr>
            <w:r>
              <w:rPr>
                <w:color w:val="000000"/>
                <w:kern w:val="0"/>
                <w:sz w:val="18"/>
                <w:szCs w:val="18"/>
              </w:rPr>
              <w:t>Adult</w:t>
            </w:r>
            <w:r>
              <w:rPr>
                <w:rFonts w:hint="eastAsia"/>
                <w:color w:val="000000"/>
                <w:kern w:val="0"/>
                <w:sz w:val="18"/>
                <w:szCs w:val="18"/>
              </w:rPr>
              <w:t>s</w:t>
            </w:r>
          </w:p>
        </w:tc>
        <w:tc>
          <w:tcPr>
            <w:tcW w:w="822" w:type="dxa"/>
            <w:vMerge w:val="continue"/>
            <w:tcBorders>
              <w:top w:val="single" w:color="auto" w:sz="4" w:space="0"/>
              <w:left w:val="nil"/>
              <w:bottom w:val="nil"/>
              <w:right w:val="nil"/>
            </w:tcBorders>
            <w:vAlign w:val="center"/>
          </w:tcPr>
          <w:p>
            <w:pPr>
              <w:widowControl/>
              <w:jc w:val="left"/>
              <w:rPr>
                <w:color w:val="000000"/>
                <w:sz w:val="18"/>
                <w:szCs w:val="18"/>
              </w:rPr>
            </w:pPr>
          </w:p>
        </w:tc>
        <w:tc>
          <w:tcPr>
            <w:tcW w:w="1290" w:type="dxa"/>
            <w:tcBorders>
              <w:top w:val="nil"/>
              <w:left w:val="nil"/>
              <w:bottom w:val="single" w:color="auto" w:sz="4" w:space="0"/>
              <w:right w:val="nil"/>
            </w:tcBorders>
            <w:vAlign w:val="center"/>
          </w:tcPr>
          <w:p>
            <w:pPr>
              <w:widowControl/>
              <w:jc w:val="left"/>
              <w:textAlignment w:val="center"/>
              <w:rPr>
                <w:color w:val="000000"/>
                <w:sz w:val="18"/>
                <w:szCs w:val="18"/>
              </w:rPr>
            </w:pPr>
            <w:r>
              <w:rPr>
                <w:color w:val="000000"/>
                <w:kern w:val="0"/>
                <w:sz w:val="18"/>
                <w:szCs w:val="18"/>
              </w:rPr>
              <w:t>Child</w:t>
            </w:r>
            <w:r>
              <w:rPr>
                <w:rFonts w:hint="eastAsia"/>
                <w:color w:val="000000"/>
                <w:kern w:val="0"/>
                <w:sz w:val="18"/>
                <w:szCs w:val="18"/>
              </w:rPr>
              <w:t>ren</w:t>
            </w:r>
          </w:p>
        </w:tc>
        <w:tc>
          <w:tcPr>
            <w:tcW w:w="1055" w:type="dxa"/>
            <w:tcBorders>
              <w:top w:val="nil"/>
              <w:left w:val="nil"/>
              <w:bottom w:val="single" w:color="auto" w:sz="4" w:space="0"/>
              <w:right w:val="nil"/>
            </w:tcBorders>
            <w:vAlign w:val="center"/>
          </w:tcPr>
          <w:p>
            <w:pPr>
              <w:widowControl/>
              <w:jc w:val="left"/>
              <w:textAlignment w:val="center"/>
              <w:rPr>
                <w:color w:val="000000"/>
                <w:sz w:val="18"/>
                <w:szCs w:val="18"/>
              </w:rPr>
            </w:pPr>
            <w:r>
              <w:rPr>
                <w:color w:val="000000"/>
                <w:kern w:val="0"/>
                <w:sz w:val="18"/>
                <w:szCs w:val="18"/>
              </w:rPr>
              <w:t>Adult</w:t>
            </w:r>
            <w:r>
              <w:rPr>
                <w:rFonts w:hint="eastAsia"/>
                <w:color w:val="000000"/>
                <w:kern w:val="0"/>
                <w:sz w:val="18"/>
                <w:szCs w:val="18"/>
              </w:rPr>
              <w:t>s</w:t>
            </w:r>
          </w:p>
        </w:tc>
        <w:tc>
          <w:tcPr>
            <w:tcW w:w="1055" w:type="dxa"/>
            <w:vMerge w:val="continue"/>
            <w:tcBorders>
              <w:top w:val="single" w:color="auto" w:sz="4" w:space="0"/>
              <w:left w:val="nil"/>
              <w:bottom w:val="nil"/>
              <w:right w:val="nil"/>
            </w:tcBorders>
            <w:vAlign w:val="center"/>
          </w:tcPr>
          <w:p>
            <w:pPr>
              <w:widowControl/>
              <w:jc w:val="left"/>
              <w:rPr>
                <w:color w:val="000000"/>
                <w:sz w:val="18"/>
                <w:szCs w:val="18"/>
              </w:rPr>
            </w:pPr>
          </w:p>
        </w:tc>
      </w:tr>
      <w:tr>
        <w:tblPrEx>
          <w:tblLayout w:type="fixed"/>
          <w:tblCellMar>
            <w:top w:w="15" w:type="dxa"/>
            <w:left w:w="15" w:type="dxa"/>
            <w:bottom w:w="15" w:type="dxa"/>
            <w:right w:w="15" w:type="dxa"/>
          </w:tblCellMar>
        </w:tblPrEx>
        <w:trPr>
          <w:trHeight w:val="360" w:hRule="atLeast"/>
        </w:trPr>
        <w:tc>
          <w:tcPr>
            <w:tcW w:w="1238"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Co</w:t>
            </w:r>
          </w:p>
        </w:tc>
        <w:tc>
          <w:tcPr>
            <w:tcW w:w="1133"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1.00E-04</w:t>
            </w:r>
          </w:p>
        </w:tc>
        <w:tc>
          <w:tcPr>
            <w:tcW w:w="1055"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1.56E-05</w:t>
            </w:r>
          </w:p>
        </w:tc>
        <w:tc>
          <w:tcPr>
            <w:tcW w:w="842"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1.17E-10</w:t>
            </w:r>
          </w:p>
        </w:tc>
        <w:tc>
          <w:tcPr>
            <w:tcW w:w="1270"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2.06E-04</w:t>
            </w:r>
          </w:p>
        </w:tc>
        <w:tc>
          <w:tcPr>
            <w:tcW w:w="1055"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3.20E-05</w:t>
            </w:r>
          </w:p>
        </w:tc>
        <w:tc>
          <w:tcPr>
            <w:tcW w:w="842"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2.40E-10</w:t>
            </w:r>
          </w:p>
        </w:tc>
        <w:tc>
          <w:tcPr>
            <w:tcW w:w="1270"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5.46E-04</w:t>
            </w:r>
          </w:p>
        </w:tc>
        <w:tc>
          <w:tcPr>
            <w:tcW w:w="1055"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8.46E-05</w:t>
            </w:r>
          </w:p>
        </w:tc>
        <w:tc>
          <w:tcPr>
            <w:tcW w:w="822"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6.35E-10</w:t>
            </w:r>
          </w:p>
        </w:tc>
        <w:tc>
          <w:tcPr>
            <w:tcW w:w="1290"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6.99E-05</w:t>
            </w:r>
          </w:p>
        </w:tc>
        <w:tc>
          <w:tcPr>
            <w:tcW w:w="1055"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1.08E-05</w:t>
            </w:r>
          </w:p>
        </w:tc>
        <w:tc>
          <w:tcPr>
            <w:tcW w:w="1055" w:type="dxa"/>
            <w:tcBorders>
              <w:top w:val="single" w:color="auto" w:sz="4" w:space="0"/>
              <w:left w:val="nil"/>
              <w:bottom w:val="nil"/>
              <w:right w:val="nil"/>
            </w:tcBorders>
            <w:vAlign w:val="center"/>
          </w:tcPr>
          <w:p>
            <w:pPr>
              <w:widowControl/>
              <w:jc w:val="left"/>
              <w:textAlignment w:val="center"/>
              <w:rPr>
                <w:color w:val="000000"/>
                <w:sz w:val="18"/>
                <w:szCs w:val="18"/>
              </w:rPr>
            </w:pPr>
            <w:r>
              <w:rPr>
                <w:color w:val="000000"/>
                <w:kern w:val="0"/>
                <w:sz w:val="18"/>
                <w:szCs w:val="18"/>
              </w:rPr>
              <w:t>8.13E-11</w:t>
            </w:r>
          </w:p>
        </w:tc>
      </w:tr>
      <w:tr>
        <w:tblPrEx>
          <w:tblLayout w:type="fixed"/>
          <w:tblCellMar>
            <w:top w:w="15" w:type="dxa"/>
            <w:left w:w="15" w:type="dxa"/>
            <w:bottom w:w="15" w:type="dxa"/>
            <w:right w:w="15" w:type="dxa"/>
          </w:tblCellMar>
        </w:tblPrEx>
        <w:trPr>
          <w:trHeight w:val="360" w:hRule="atLeast"/>
        </w:trPr>
        <w:tc>
          <w:tcPr>
            <w:tcW w:w="1238"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Cr</w:t>
            </w:r>
          </w:p>
        </w:tc>
        <w:tc>
          <w:tcPr>
            <w:tcW w:w="1133"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1.21E-02</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1.59E-03</w:t>
            </w:r>
          </w:p>
        </w:tc>
        <w:tc>
          <w:tcPr>
            <w:tcW w:w="842"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9.42E-09</w:t>
            </w: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1.52E-02</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1.99E-03</w:t>
            </w:r>
          </w:p>
        </w:tc>
        <w:tc>
          <w:tcPr>
            <w:tcW w:w="842"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1.18E-08</w:t>
            </w: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2.37E-02</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3.10E-03</w:t>
            </w:r>
          </w:p>
        </w:tc>
        <w:tc>
          <w:tcPr>
            <w:tcW w:w="822"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1.84E-08</w:t>
            </w:r>
          </w:p>
        </w:tc>
        <w:tc>
          <w:tcPr>
            <w:tcW w:w="129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4.85E-03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6.35E-04</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3.76E-09</w:t>
            </w:r>
          </w:p>
        </w:tc>
      </w:tr>
      <w:tr>
        <w:tblPrEx>
          <w:tblLayout w:type="fixed"/>
          <w:tblCellMar>
            <w:top w:w="15" w:type="dxa"/>
            <w:left w:w="15" w:type="dxa"/>
            <w:bottom w:w="15" w:type="dxa"/>
            <w:right w:w="15" w:type="dxa"/>
          </w:tblCellMar>
        </w:tblPrEx>
        <w:trPr>
          <w:trHeight w:val="360" w:hRule="atLeast"/>
        </w:trPr>
        <w:tc>
          <w:tcPr>
            <w:tcW w:w="1238"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Cu</w:t>
            </w:r>
          </w:p>
        </w:tc>
        <w:tc>
          <w:tcPr>
            <w:tcW w:w="1133"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3.50E-04</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4.48E-05</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2.87E-03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3.68E-04</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jc w:val="left"/>
              <w:rPr>
                <w:color w:val="000000"/>
                <w:sz w:val="18"/>
                <w:szCs w:val="18"/>
              </w:rPr>
            </w:pPr>
          </w:p>
        </w:tc>
        <w:tc>
          <w:tcPr>
            <w:tcW w:w="1055" w:type="dxa"/>
            <w:tcBorders>
              <w:top w:val="nil"/>
              <w:left w:val="nil"/>
              <w:bottom w:val="nil"/>
              <w:right w:val="nil"/>
            </w:tcBorders>
            <w:vAlign w:val="center"/>
          </w:tcPr>
          <w:p>
            <w:pPr>
              <w:jc w:val="left"/>
              <w:rPr>
                <w:color w:val="000000"/>
                <w:sz w:val="18"/>
                <w:szCs w:val="18"/>
              </w:rPr>
            </w:pPr>
          </w:p>
        </w:tc>
        <w:tc>
          <w:tcPr>
            <w:tcW w:w="822" w:type="dxa"/>
            <w:tcBorders>
              <w:top w:val="nil"/>
              <w:left w:val="nil"/>
              <w:bottom w:val="nil"/>
              <w:right w:val="nil"/>
            </w:tcBorders>
            <w:vAlign w:val="center"/>
          </w:tcPr>
          <w:p>
            <w:pPr>
              <w:jc w:val="left"/>
              <w:rPr>
                <w:color w:val="000000"/>
                <w:sz w:val="18"/>
                <w:szCs w:val="18"/>
              </w:rPr>
            </w:pPr>
          </w:p>
        </w:tc>
        <w:tc>
          <w:tcPr>
            <w:tcW w:w="129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6.08E-03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7.79E-04</w:t>
            </w:r>
          </w:p>
        </w:tc>
        <w:tc>
          <w:tcPr>
            <w:tcW w:w="1055" w:type="dxa"/>
            <w:tcBorders>
              <w:top w:val="nil"/>
              <w:left w:val="nil"/>
              <w:bottom w:val="nil"/>
              <w:right w:val="nil"/>
            </w:tcBorders>
            <w:vAlign w:val="center"/>
          </w:tcPr>
          <w:p>
            <w:pPr>
              <w:widowControl/>
              <w:jc w:val="left"/>
              <w:textAlignment w:val="center"/>
              <w:rPr>
                <w:color w:val="000000"/>
                <w:sz w:val="18"/>
                <w:szCs w:val="18"/>
              </w:rPr>
            </w:pPr>
          </w:p>
        </w:tc>
      </w:tr>
      <w:tr>
        <w:tblPrEx>
          <w:tblLayout w:type="fixed"/>
          <w:tblCellMar>
            <w:top w:w="15" w:type="dxa"/>
            <w:left w:w="15" w:type="dxa"/>
            <w:bottom w:w="15" w:type="dxa"/>
            <w:right w:w="15" w:type="dxa"/>
          </w:tblCellMar>
        </w:tblPrEx>
        <w:trPr>
          <w:trHeight w:val="360" w:hRule="atLeast"/>
        </w:trPr>
        <w:tc>
          <w:tcPr>
            <w:tcW w:w="1238"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Cd</w:t>
            </w:r>
          </w:p>
        </w:tc>
        <w:tc>
          <w:tcPr>
            <w:tcW w:w="1133"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3.84E-03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5.07E-04</w:t>
            </w:r>
          </w:p>
        </w:tc>
        <w:tc>
          <w:tcPr>
            <w:tcW w:w="842"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2.72E-06</w:t>
            </w: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1.70E-03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2.24E-04</w:t>
            </w:r>
          </w:p>
        </w:tc>
        <w:tc>
          <w:tcPr>
            <w:tcW w:w="842"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1.21E-06</w:t>
            </w:r>
          </w:p>
        </w:tc>
        <w:tc>
          <w:tcPr>
            <w:tcW w:w="1270" w:type="dxa"/>
            <w:tcBorders>
              <w:top w:val="nil"/>
              <w:left w:val="nil"/>
              <w:bottom w:val="nil"/>
              <w:right w:val="nil"/>
            </w:tcBorders>
            <w:vAlign w:val="center"/>
          </w:tcPr>
          <w:p>
            <w:pPr>
              <w:jc w:val="left"/>
              <w:rPr>
                <w:color w:val="000000"/>
                <w:sz w:val="18"/>
                <w:szCs w:val="18"/>
              </w:rPr>
            </w:pPr>
          </w:p>
        </w:tc>
        <w:tc>
          <w:tcPr>
            <w:tcW w:w="1055" w:type="dxa"/>
            <w:tcBorders>
              <w:top w:val="nil"/>
              <w:left w:val="nil"/>
              <w:bottom w:val="nil"/>
              <w:right w:val="nil"/>
            </w:tcBorders>
            <w:vAlign w:val="center"/>
          </w:tcPr>
          <w:p>
            <w:pPr>
              <w:jc w:val="left"/>
              <w:rPr>
                <w:color w:val="000000"/>
                <w:sz w:val="18"/>
                <w:szCs w:val="18"/>
              </w:rPr>
            </w:pPr>
          </w:p>
        </w:tc>
        <w:tc>
          <w:tcPr>
            <w:tcW w:w="822" w:type="dxa"/>
            <w:tcBorders>
              <w:top w:val="nil"/>
              <w:left w:val="nil"/>
              <w:bottom w:val="nil"/>
              <w:right w:val="nil"/>
            </w:tcBorders>
            <w:vAlign w:val="center"/>
          </w:tcPr>
          <w:p>
            <w:pPr>
              <w:jc w:val="left"/>
              <w:rPr>
                <w:color w:val="000000"/>
                <w:sz w:val="18"/>
                <w:szCs w:val="18"/>
              </w:rPr>
            </w:pPr>
          </w:p>
        </w:tc>
        <w:tc>
          <w:tcPr>
            <w:tcW w:w="129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7.55E-04</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9.97E-05</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5.36E-07</w:t>
            </w:r>
          </w:p>
        </w:tc>
      </w:tr>
      <w:tr>
        <w:tblPrEx>
          <w:tblLayout w:type="fixed"/>
          <w:tblCellMar>
            <w:top w:w="15" w:type="dxa"/>
            <w:left w:w="15" w:type="dxa"/>
            <w:bottom w:w="15" w:type="dxa"/>
            <w:right w:w="15" w:type="dxa"/>
          </w:tblCellMar>
        </w:tblPrEx>
        <w:trPr>
          <w:trHeight w:val="360" w:hRule="atLeast"/>
        </w:trPr>
        <w:tc>
          <w:tcPr>
            <w:tcW w:w="1238"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Mn</w:t>
            </w:r>
          </w:p>
        </w:tc>
        <w:tc>
          <w:tcPr>
            <w:tcW w:w="1133"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6.05E-03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9.28E-04</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9.30E-03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1.43E-03</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2.40E-02</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3.68E-03</w:t>
            </w:r>
          </w:p>
        </w:tc>
        <w:tc>
          <w:tcPr>
            <w:tcW w:w="822" w:type="dxa"/>
            <w:tcBorders>
              <w:top w:val="nil"/>
              <w:left w:val="nil"/>
              <w:bottom w:val="nil"/>
              <w:right w:val="nil"/>
            </w:tcBorders>
            <w:vAlign w:val="center"/>
          </w:tcPr>
          <w:p>
            <w:pPr>
              <w:jc w:val="left"/>
              <w:rPr>
                <w:color w:val="000000"/>
                <w:sz w:val="18"/>
                <w:szCs w:val="18"/>
              </w:rPr>
            </w:pPr>
          </w:p>
        </w:tc>
        <w:tc>
          <w:tcPr>
            <w:tcW w:w="129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2.85E-03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4.37E-04</w:t>
            </w:r>
          </w:p>
        </w:tc>
        <w:tc>
          <w:tcPr>
            <w:tcW w:w="1055" w:type="dxa"/>
            <w:tcBorders>
              <w:top w:val="nil"/>
              <w:left w:val="nil"/>
              <w:bottom w:val="nil"/>
              <w:right w:val="nil"/>
            </w:tcBorders>
            <w:vAlign w:val="center"/>
          </w:tcPr>
          <w:p>
            <w:pPr>
              <w:jc w:val="left"/>
              <w:rPr>
                <w:color w:val="000000"/>
                <w:sz w:val="18"/>
                <w:szCs w:val="18"/>
              </w:rPr>
            </w:pPr>
          </w:p>
        </w:tc>
      </w:tr>
      <w:tr>
        <w:tblPrEx>
          <w:tblLayout w:type="fixed"/>
          <w:tblCellMar>
            <w:top w:w="15" w:type="dxa"/>
            <w:left w:w="15" w:type="dxa"/>
            <w:bottom w:w="15" w:type="dxa"/>
            <w:right w:w="15" w:type="dxa"/>
          </w:tblCellMar>
        </w:tblPrEx>
        <w:trPr>
          <w:trHeight w:val="360" w:hRule="atLeast"/>
        </w:trPr>
        <w:tc>
          <w:tcPr>
            <w:tcW w:w="1238"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Ni</w:t>
            </w:r>
          </w:p>
        </w:tc>
        <w:tc>
          <w:tcPr>
            <w:tcW w:w="1133"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6.90E-04</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8.84E-05</w:t>
            </w:r>
          </w:p>
        </w:tc>
        <w:tc>
          <w:tcPr>
            <w:tcW w:w="842"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7.53E-11</w:t>
            </w: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2.90E-04</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3.72E-05</w:t>
            </w:r>
          </w:p>
        </w:tc>
        <w:tc>
          <w:tcPr>
            <w:tcW w:w="842"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3.17E-11</w:t>
            </w: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1.61E-03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2.06E-04</w:t>
            </w:r>
          </w:p>
        </w:tc>
        <w:tc>
          <w:tcPr>
            <w:tcW w:w="822"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1.76E-10</w:t>
            </w:r>
          </w:p>
        </w:tc>
        <w:tc>
          <w:tcPr>
            <w:tcW w:w="129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2.37E-04</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3.03E-05</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2.58E-11</w:t>
            </w:r>
          </w:p>
        </w:tc>
      </w:tr>
      <w:tr>
        <w:tblPrEx>
          <w:tblLayout w:type="fixed"/>
          <w:tblCellMar>
            <w:top w:w="15" w:type="dxa"/>
            <w:left w:w="15" w:type="dxa"/>
            <w:bottom w:w="15" w:type="dxa"/>
            <w:right w:w="15" w:type="dxa"/>
          </w:tblCellMar>
        </w:tblPrEx>
        <w:trPr>
          <w:trHeight w:val="360" w:hRule="atLeast"/>
        </w:trPr>
        <w:tc>
          <w:tcPr>
            <w:tcW w:w="1238"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Pb</w:t>
            </w:r>
          </w:p>
        </w:tc>
        <w:tc>
          <w:tcPr>
            <w:tcW w:w="1133"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2.27E-02</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2.91E-03</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3.49E-02</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4.48E-03</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8.44E-03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1.08E-03</w:t>
            </w:r>
          </w:p>
        </w:tc>
        <w:tc>
          <w:tcPr>
            <w:tcW w:w="822" w:type="dxa"/>
            <w:tcBorders>
              <w:top w:val="nil"/>
              <w:left w:val="nil"/>
              <w:bottom w:val="nil"/>
              <w:right w:val="nil"/>
            </w:tcBorders>
            <w:vAlign w:val="center"/>
          </w:tcPr>
          <w:p>
            <w:pPr>
              <w:jc w:val="left"/>
              <w:rPr>
                <w:color w:val="000000"/>
                <w:sz w:val="18"/>
                <w:szCs w:val="18"/>
              </w:rPr>
            </w:pPr>
          </w:p>
        </w:tc>
        <w:tc>
          <w:tcPr>
            <w:tcW w:w="129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1.34E-02</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1.72E-03</w:t>
            </w:r>
          </w:p>
        </w:tc>
        <w:tc>
          <w:tcPr>
            <w:tcW w:w="1055" w:type="dxa"/>
            <w:tcBorders>
              <w:top w:val="nil"/>
              <w:left w:val="nil"/>
              <w:bottom w:val="nil"/>
              <w:right w:val="nil"/>
            </w:tcBorders>
            <w:vAlign w:val="center"/>
          </w:tcPr>
          <w:p>
            <w:pPr>
              <w:jc w:val="left"/>
              <w:rPr>
                <w:color w:val="000000"/>
                <w:sz w:val="18"/>
                <w:szCs w:val="18"/>
              </w:rPr>
            </w:pPr>
          </w:p>
        </w:tc>
      </w:tr>
      <w:tr>
        <w:tblPrEx>
          <w:tblLayout w:type="fixed"/>
          <w:tblCellMar>
            <w:top w:w="15" w:type="dxa"/>
            <w:left w:w="15" w:type="dxa"/>
            <w:bottom w:w="15" w:type="dxa"/>
            <w:right w:w="15" w:type="dxa"/>
          </w:tblCellMar>
        </w:tblPrEx>
        <w:trPr>
          <w:trHeight w:val="360" w:hRule="atLeast"/>
        </w:trPr>
        <w:tc>
          <w:tcPr>
            <w:tcW w:w="1238"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Zn</w:t>
            </w:r>
          </w:p>
        </w:tc>
        <w:tc>
          <w:tcPr>
            <w:tcW w:w="1133"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1.44E-03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1.85E-04</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1.05E-03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1.35E-04</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1.63E-03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2.09E-04</w:t>
            </w:r>
          </w:p>
        </w:tc>
        <w:tc>
          <w:tcPr>
            <w:tcW w:w="822" w:type="dxa"/>
            <w:tcBorders>
              <w:top w:val="nil"/>
              <w:left w:val="nil"/>
              <w:bottom w:val="nil"/>
              <w:right w:val="nil"/>
            </w:tcBorders>
            <w:vAlign w:val="center"/>
          </w:tcPr>
          <w:p>
            <w:pPr>
              <w:jc w:val="left"/>
              <w:rPr>
                <w:color w:val="000000"/>
                <w:sz w:val="18"/>
                <w:szCs w:val="18"/>
              </w:rPr>
            </w:pPr>
          </w:p>
        </w:tc>
        <w:tc>
          <w:tcPr>
            <w:tcW w:w="129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4.70E-04</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6.02E-05</w:t>
            </w:r>
          </w:p>
        </w:tc>
        <w:tc>
          <w:tcPr>
            <w:tcW w:w="1055" w:type="dxa"/>
            <w:tcBorders>
              <w:top w:val="nil"/>
              <w:left w:val="nil"/>
              <w:bottom w:val="nil"/>
              <w:right w:val="nil"/>
            </w:tcBorders>
            <w:vAlign w:val="center"/>
          </w:tcPr>
          <w:p>
            <w:pPr>
              <w:jc w:val="left"/>
              <w:rPr>
                <w:color w:val="000000"/>
                <w:sz w:val="18"/>
                <w:szCs w:val="18"/>
              </w:rPr>
            </w:pPr>
          </w:p>
        </w:tc>
      </w:tr>
      <w:tr>
        <w:tblPrEx>
          <w:tblLayout w:type="fixed"/>
          <w:tblCellMar>
            <w:top w:w="15" w:type="dxa"/>
            <w:left w:w="15" w:type="dxa"/>
            <w:bottom w:w="15" w:type="dxa"/>
            <w:right w:w="15" w:type="dxa"/>
          </w:tblCellMar>
        </w:tblPrEx>
        <w:trPr>
          <w:trHeight w:val="360" w:hRule="atLeast"/>
        </w:trPr>
        <w:tc>
          <w:tcPr>
            <w:tcW w:w="1238"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V</w:t>
            </w:r>
          </w:p>
        </w:tc>
        <w:tc>
          <w:tcPr>
            <w:tcW w:w="1133"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1.10E-03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1.46E-04</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3.43E-03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4.53E-04</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8.35E-03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1.10E-03</w:t>
            </w:r>
          </w:p>
        </w:tc>
        <w:tc>
          <w:tcPr>
            <w:tcW w:w="822" w:type="dxa"/>
            <w:tcBorders>
              <w:top w:val="nil"/>
              <w:left w:val="nil"/>
              <w:bottom w:val="nil"/>
              <w:right w:val="nil"/>
            </w:tcBorders>
            <w:vAlign w:val="center"/>
          </w:tcPr>
          <w:p>
            <w:pPr>
              <w:jc w:val="left"/>
              <w:rPr>
                <w:color w:val="000000"/>
                <w:sz w:val="18"/>
                <w:szCs w:val="18"/>
              </w:rPr>
            </w:pPr>
          </w:p>
        </w:tc>
        <w:tc>
          <w:tcPr>
            <w:tcW w:w="129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9.75E-04</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1.29E-04</w:t>
            </w:r>
          </w:p>
        </w:tc>
        <w:tc>
          <w:tcPr>
            <w:tcW w:w="1055" w:type="dxa"/>
            <w:tcBorders>
              <w:top w:val="nil"/>
              <w:left w:val="nil"/>
              <w:bottom w:val="nil"/>
              <w:right w:val="nil"/>
            </w:tcBorders>
            <w:vAlign w:val="center"/>
          </w:tcPr>
          <w:p>
            <w:pPr>
              <w:jc w:val="left"/>
              <w:rPr>
                <w:color w:val="000000"/>
                <w:sz w:val="18"/>
                <w:szCs w:val="18"/>
              </w:rPr>
            </w:pPr>
          </w:p>
        </w:tc>
      </w:tr>
      <w:tr>
        <w:tblPrEx>
          <w:tblLayout w:type="fixed"/>
          <w:tblCellMar>
            <w:top w:w="15" w:type="dxa"/>
            <w:left w:w="15" w:type="dxa"/>
            <w:bottom w:w="15" w:type="dxa"/>
            <w:right w:w="15" w:type="dxa"/>
          </w:tblCellMar>
        </w:tblPrEx>
        <w:trPr>
          <w:trHeight w:val="360" w:hRule="atLeast"/>
        </w:trPr>
        <w:tc>
          <w:tcPr>
            <w:tcW w:w="1238"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Ba</w:t>
            </w:r>
          </w:p>
        </w:tc>
        <w:tc>
          <w:tcPr>
            <w:tcW w:w="1133"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6.95E-03</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9.22E-04</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1.68E-02</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2.23E-03</w:t>
            </w:r>
          </w:p>
        </w:tc>
        <w:tc>
          <w:tcPr>
            <w:tcW w:w="842" w:type="dxa"/>
            <w:tcBorders>
              <w:top w:val="nil"/>
              <w:left w:val="nil"/>
              <w:bottom w:val="nil"/>
              <w:right w:val="nil"/>
            </w:tcBorders>
            <w:vAlign w:val="center"/>
          </w:tcPr>
          <w:p>
            <w:pPr>
              <w:jc w:val="left"/>
              <w:rPr>
                <w:color w:val="000000"/>
                <w:sz w:val="18"/>
                <w:szCs w:val="18"/>
              </w:rPr>
            </w:pPr>
          </w:p>
        </w:tc>
        <w:tc>
          <w:tcPr>
            <w:tcW w:w="1270" w:type="dxa"/>
            <w:tcBorders>
              <w:top w:val="nil"/>
              <w:left w:val="nil"/>
              <w:bottom w:val="nil"/>
              <w:right w:val="nil"/>
            </w:tcBorders>
            <w:vAlign w:val="center"/>
          </w:tcPr>
          <w:p>
            <w:pPr>
              <w:jc w:val="left"/>
              <w:rPr>
                <w:color w:val="000000"/>
                <w:sz w:val="18"/>
                <w:szCs w:val="18"/>
              </w:rPr>
            </w:pPr>
          </w:p>
        </w:tc>
        <w:tc>
          <w:tcPr>
            <w:tcW w:w="1055" w:type="dxa"/>
            <w:tcBorders>
              <w:top w:val="nil"/>
              <w:left w:val="nil"/>
              <w:bottom w:val="nil"/>
              <w:right w:val="nil"/>
            </w:tcBorders>
            <w:vAlign w:val="center"/>
          </w:tcPr>
          <w:p>
            <w:pPr>
              <w:jc w:val="left"/>
              <w:rPr>
                <w:color w:val="000000"/>
                <w:sz w:val="18"/>
                <w:szCs w:val="18"/>
              </w:rPr>
            </w:pPr>
          </w:p>
        </w:tc>
        <w:tc>
          <w:tcPr>
            <w:tcW w:w="822" w:type="dxa"/>
            <w:tcBorders>
              <w:top w:val="nil"/>
              <w:left w:val="nil"/>
              <w:bottom w:val="nil"/>
              <w:right w:val="nil"/>
            </w:tcBorders>
            <w:vAlign w:val="center"/>
          </w:tcPr>
          <w:p>
            <w:pPr>
              <w:jc w:val="left"/>
              <w:rPr>
                <w:color w:val="000000"/>
                <w:sz w:val="18"/>
                <w:szCs w:val="18"/>
              </w:rPr>
            </w:pPr>
          </w:p>
        </w:tc>
        <w:tc>
          <w:tcPr>
            <w:tcW w:w="1290"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8.66E-06</w:t>
            </w:r>
          </w:p>
        </w:tc>
        <w:tc>
          <w:tcPr>
            <w:tcW w:w="1055" w:type="dxa"/>
            <w:tcBorders>
              <w:top w:val="nil"/>
              <w:left w:val="nil"/>
              <w:bottom w:val="nil"/>
              <w:right w:val="nil"/>
            </w:tcBorders>
            <w:vAlign w:val="center"/>
          </w:tcPr>
          <w:p>
            <w:pPr>
              <w:widowControl/>
              <w:jc w:val="left"/>
              <w:textAlignment w:val="center"/>
              <w:rPr>
                <w:color w:val="000000"/>
                <w:sz w:val="18"/>
                <w:szCs w:val="18"/>
              </w:rPr>
            </w:pPr>
            <w:r>
              <w:rPr>
                <w:color w:val="000000"/>
                <w:kern w:val="0"/>
                <w:sz w:val="18"/>
                <w:szCs w:val="18"/>
              </w:rPr>
              <w:t>1.15E-06</w:t>
            </w:r>
          </w:p>
        </w:tc>
        <w:tc>
          <w:tcPr>
            <w:tcW w:w="1055" w:type="dxa"/>
            <w:tcBorders>
              <w:top w:val="nil"/>
              <w:left w:val="nil"/>
              <w:bottom w:val="nil"/>
              <w:right w:val="nil"/>
            </w:tcBorders>
            <w:vAlign w:val="center"/>
          </w:tcPr>
          <w:p>
            <w:pPr>
              <w:jc w:val="left"/>
              <w:rPr>
                <w:color w:val="000000"/>
                <w:sz w:val="18"/>
                <w:szCs w:val="18"/>
              </w:rPr>
            </w:pPr>
          </w:p>
        </w:tc>
      </w:tr>
      <w:tr>
        <w:tblPrEx>
          <w:tblLayout w:type="fixed"/>
          <w:tblCellMar>
            <w:top w:w="15" w:type="dxa"/>
            <w:left w:w="15" w:type="dxa"/>
            <w:bottom w:w="15" w:type="dxa"/>
            <w:right w:w="15" w:type="dxa"/>
          </w:tblCellMar>
        </w:tblPrEx>
        <w:trPr>
          <w:trHeight w:val="373" w:hRule="atLeast"/>
        </w:trPr>
        <w:tc>
          <w:tcPr>
            <w:tcW w:w="1238"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ΣHeavy metals</w:t>
            </w:r>
          </w:p>
        </w:tc>
        <w:tc>
          <w:tcPr>
            <w:tcW w:w="1133"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5.53E-02</w:t>
            </w:r>
          </w:p>
        </w:tc>
        <w:tc>
          <w:tcPr>
            <w:tcW w:w="1055"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7.33E-03</w:t>
            </w:r>
          </w:p>
        </w:tc>
        <w:tc>
          <w:tcPr>
            <w:tcW w:w="842"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2.73E-06</w:t>
            </w:r>
          </w:p>
        </w:tc>
        <w:tc>
          <w:tcPr>
            <w:tcW w:w="1270"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8.58E-02</w:t>
            </w:r>
          </w:p>
        </w:tc>
        <w:tc>
          <w:tcPr>
            <w:tcW w:w="1055"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1.14E-02</w:t>
            </w:r>
          </w:p>
        </w:tc>
        <w:tc>
          <w:tcPr>
            <w:tcW w:w="842"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1.22E-06</w:t>
            </w:r>
          </w:p>
        </w:tc>
        <w:tc>
          <w:tcPr>
            <w:tcW w:w="1270"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6.82E-02</w:t>
            </w:r>
          </w:p>
        </w:tc>
        <w:tc>
          <w:tcPr>
            <w:tcW w:w="1055"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9.46E-03</w:t>
            </w:r>
          </w:p>
        </w:tc>
        <w:tc>
          <w:tcPr>
            <w:tcW w:w="822"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1.92E-08</w:t>
            </w:r>
          </w:p>
        </w:tc>
        <w:tc>
          <w:tcPr>
            <w:tcW w:w="1290"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2.97E-02</w:t>
            </w:r>
          </w:p>
        </w:tc>
        <w:tc>
          <w:tcPr>
            <w:tcW w:w="1055"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3.90E-03</w:t>
            </w:r>
          </w:p>
        </w:tc>
        <w:tc>
          <w:tcPr>
            <w:tcW w:w="1055" w:type="dxa"/>
            <w:tcBorders>
              <w:top w:val="nil"/>
              <w:left w:val="nil"/>
              <w:bottom w:val="single" w:color="000000" w:sz="8" w:space="0"/>
              <w:right w:val="nil"/>
            </w:tcBorders>
            <w:vAlign w:val="center"/>
          </w:tcPr>
          <w:p>
            <w:pPr>
              <w:widowControl/>
              <w:jc w:val="left"/>
              <w:textAlignment w:val="center"/>
              <w:rPr>
                <w:color w:val="000000"/>
                <w:sz w:val="18"/>
                <w:szCs w:val="18"/>
              </w:rPr>
            </w:pPr>
            <w:r>
              <w:rPr>
                <w:color w:val="000000"/>
                <w:kern w:val="0"/>
                <w:sz w:val="18"/>
                <w:szCs w:val="18"/>
              </w:rPr>
              <w:t>5.40E-07</w:t>
            </w:r>
          </w:p>
        </w:tc>
      </w:tr>
    </w:tbl>
    <w:p>
      <w:r>
        <w:rPr>
          <w:color w:val="000000"/>
          <w:kern w:val="0"/>
        </w:rPr>
        <w:t>NCR</w:t>
      </w:r>
      <w:r>
        <w:rPr>
          <w:rFonts w:hint="eastAsia"/>
          <w:color w:val="000000"/>
          <w:kern w:val="0"/>
        </w:rPr>
        <w:t>: Non-carcinogenic risk; CR: Lifetime carcinogenic risk.</w:t>
      </w:r>
    </w:p>
    <w:p>
      <w:pPr>
        <w:rPr>
          <w:b/>
          <w:bCs/>
        </w:rPr>
      </w:pPr>
    </w:p>
    <w:p>
      <w:pPr>
        <w:rPr>
          <w:b/>
          <w:bCs/>
        </w:rPr>
      </w:pPr>
    </w:p>
    <w:p>
      <w:pPr>
        <w:rPr>
          <w:b/>
          <w:bCs/>
        </w:rPr>
      </w:pPr>
    </w:p>
    <w:p>
      <w:pPr>
        <w:rPr>
          <w:b/>
          <w:bCs/>
        </w:rPr>
      </w:pPr>
    </w:p>
    <w:p>
      <w:pPr>
        <w:rPr>
          <w:b/>
          <w:bCs/>
        </w:rPr>
      </w:pPr>
    </w:p>
    <w:p>
      <w:pPr>
        <w:widowControl/>
        <w:jc w:val="left"/>
        <w:rPr>
          <w:b/>
          <w:bCs/>
        </w:rPr>
        <w:sectPr>
          <w:pgSz w:w="16838" w:h="12529" w:orient="landscape"/>
          <w:pgMar w:top="1803" w:right="1440" w:bottom="1803" w:left="1440" w:header="851" w:footer="992" w:gutter="0"/>
          <w:cols w:space="720" w:num="1"/>
          <w:docGrid w:type="lines" w:linePitch="312" w:charSpace="0"/>
        </w:sectPr>
      </w:pPr>
    </w:p>
    <w:p>
      <w:pPr>
        <w:autoSpaceDE w:val="0"/>
        <w:spacing w:line="480" w:lineRule="auto"/>
        <w:rPr>
          <w:b/>
          <w:bCs/>
        </w:rPr>
      </w:pPr>
      <w:r>
        <w:rPr>
          <w:rFonts w:hint="eastAsia"/>
          <w:b/>
          <w:bCs/>
        </w:rPr>
        <w:t>References</w:t>
      </w:r>
    </w:p>
    <w:p>
      <w:pPr>
        <w:pStyle w:val="10"/>
        <w:autoSpaceDE w:val="0"/>
        <w:spacing w:before="0" w:beforeAutospacing="0" w:after="0" w:afterAutospacing="0" w:line="480" w:lineRule="auto"/>
        <w:ind w:left="420" w:hanging="420"/>
        <w:rPr>
          <w:sz w:val="21"/>
          <w:szCs w:val="21"/>
        </w:rPr>
      </w:pPr>
      <w:r>
        <w:rPr>
          <w:sz w:val="21"/>
          <w:szCs w:val="21"/>
        </w:rPr>
        <w:t>Bi C</w:t>
      </w:r>
      <w:r>
        <w:rPr>
          <w:rFonts w:hint="eastAsia"/>
          <w:sz w:val="21"/>
          <w:szCs w:val="21"/>
          <w:lang w:val="en-US" w:eastAsia="zh-CN"/>
        </w:rPr>
        <w:t>,</w:t>
      </w:r>
      <w:r>
        <w:rPr>
          <w:sz w:val="21"/>
          <w:szCs w:val="21"/>
        </w:rPr>
        <w:t xml:space="preserve"> Zhou</w:t>
      </w:r>
      <w:r>
        <w:rPr>
          <w:rFonts w:hint="eastAsia"/>
          <w:sz w:val="21"/>
          <w:szCs w:val="21"/>
          <w:lang w:val="en-US" w:eastAsia="zh-CN"/>
        </w:rPr>
        <w:t xml:space="preserve"> </w:t>
      </w:r>
      <w:r>
        <w:rPr>
          <w:sz w:val="21"/>
          <w:szCs w:val="21"/>
        </w:rPr>
        <w:t>Y</w:t>
      </w:r>
      <w:r>
        <w:rPr>
          <w:rFonts w:hint="eastAsia"/>
          <w:sz w:val="21"/>
          <w:szCs w:val="21"/>
          <w:lang w:val="en-US" w:eastAsia="zh-CN"/>
        </w:rPr>
        <w:t>,</w:t>
      </w:r>
      <w:r>
        <w:rPr>
          <w:sz w:val="21"/>
          <w:szCs w:val="21"/>
        </w:rPr>
        <w:t xml:space="preserve"> Chen Z</w:t>
      </w:r>
      <w:r>
        <w:rPr>
          <w:rFonts w:hint="eastAsia"/>
          <w:sz w:val="21"/>
          <w:szCs w:val="21"/>
          <w:lang w:val="en-US" w:eastAsia="zh-CN"/>
        </w:rPr>
        <w:t>,</w:t>
      </w:r>
      <w:r>
        <w:rPr>
          <w:sz w:val="21"/>
          <w:szCs w:val="21"/>
        </w:rPr>
        <w:t xml:space="preserve"> </w:t>
      </w:r>
      <w:r>
        <w:rPr>
          <w:rFonts w:hint="eastAsia"/>
          <w:sz w:val="21"/>
          <w:szCs w:val="21"/>
        </w:rPr>
        <w:t>Jia</w:t>
      </w:r>
      <w:r>
        <w:rPr>
          <w:rFonts w:hint="eastAsia"/>
          <w:sz w:val="21"/>
          <w:szCs w:val="21"/>
          <w:lang w:val="en-US" w:eastAsia="zh-CN"/>
        </w:rPr>
        <w:t>,</w:t>
      </w:r>
      <w:r>
        <w:rPr>
          <w:rFonts w:hint="eastAsia"/>
          <w:sz w:val="21"/>
          <w:szCs w:val="21"/>
        </w:rPr>
        <w:t xml:space="preserve"> JP</w:t>
      </w:r>
      <w:r>
        <w:rPr>
          <w:rFonts w:hint="eastAsia"/>
          <w:sz w:val="21"/>
          <w:szCs w:val="21"/>
          <w:lang w:val="en-US" w:eastAsia="zh-CN"/>
        </w:rPr>
        <w:t>,</w:t>
      </w:r>
      <w:r>
        <w:rPr>
          <w:rFonts w:hint="eastAsia"/>
          <w:sz w:val="21"/>
          <w:szCs w:val="21"/>
        </w:rPr>
        <w:t xml:space="preserve"> Bao XI </w:t>
      </w:r>
      <w:r>
        <w:rPr>
          <w:rFonts w:hint="eastAsia"/>
          <w:sz w:val="21"/>
          <w:szCs w:val="21"/>
          <w:lang w:val="en-US" w:eastAsia="zh-CN"/>
        </w:rPr>
        <w:t>(</w:t>
      </w:r>
      <w:r>
        <w:rPr>
          <w:rFonts w:hint="eastAsia"/>
          <w:sz w:val="21"/>
          <w:szCs w:val="21"/>
        </w:rPr>
        <w:t>2018</w:t>
      </w:r>
      <w:r>
        <w:rPr>
          <w:rFonts w:hint="eastAsia"/>
          <w:sz w:val="21"/>
          <w:szCs w:val="21"/>
          <w:lang w:val="en-US" w:eastAsia="zh-CN"/>
        </w:rPr>
        <w:t>)</w:t>
      </w:r>
      <w:r>
        <w:rPr>
          <w:sz w:val="21"/>
          <w:szCs w:val="21"/>
        </w:rPr>
        <w:t xml:space="preserve"> Heavy metals and lead isotopes in soils, road dust and leafy vegetables and health risks via vegetable consumption in the industrial areas of Shanghai, China. Science of the Total Environment 619-620: 1349-1357.</w:t>
      </w:r>
    </w:p>
    <w:p>
      <w:pPr>
        <w:pStyle w:val="10"/>
        <w:autoSpaceDE w:val="0"/>
        <w:spacing w:before="0" w:beforeAutospacing="0" w:after="0" w:afterAutospacing="0" w:line="480" w:lineRule="auto"/>
        <w:ind w:left="420" w:hanging="420"/>
        <w:rPr>
          <w:sz w:val="21"/>
          <w:szCs w:val="21"/>
        </w:rPr>
      </w:pPr>
      <w:r>
        <w:rPr>
          <w:rFonts w:eastAsia="CharisSIL"/>
          <w:sz w:val="21"/>
          <w:szCs w:val="21"/>
        </w:rPr>
        <w:t>Bourliva</w:t>
      </w:r>
      <w:r>
        <w:rPr>
          <w:sz w:val="21"/>
          <w:szCs w:val="21"/>
        </w:rPr>
        <w:t xml:space="preserve"> A</w:t>
      </w:r>
      <w:r>
        <w:rPr>
          <w:rFonts w:hint="eastAsia"/>
          <w:sz w:val="21"/>
          <w:szCs w:val="21"/>
          <w:lang w:val="en-US" w:eastAsia="zh-CN"/>
        </w:rPr>
        <w:t>,</w:t>
      </w:r>
      <w:r>
        <w:rPr>
          <w:rFonts w:eastAsia="CharisSIL"/>
          <w:sz w:val="21"/>
          <w:szCs w:val="21"/>
        </w:rPr>
        <w:t xml:space="preserve"> Christophoridis </w:t>
      </w:r>
      <w:r>
        <w:rPr>
          <w:sz w:val="21"/>
          <w:szCs w:val="21"/>
        </w:rPr>
        <w:t>C</w:t>
      </w:r>
      <w:r>
        <w:rPr>
          <w:rFonts w:hint="eastAsia"/>
          <w:sz w:val="21"/>
          <w:szCs w:val="21"/>
          <w:lang w:val="en-US" w:eastAsia="zh-CN"/>
        </w:rPr>
        <w:t>,</w:t>
      </w:r>
      <w:r>
        <w:rPr>
          <w:sz w:val="21"/>
          <w:szCs w:val="21"/>
        </w:rPr>
        <w:t xml:space="preserve"> </w:t>
      </w:r>
      <w:r>
        <w:rPr>
          <w:rFonts w:eastAsia="CharisSIL"/>
          <w:sz w:val="21"/>
          <w:szCs w:val="21"/>
        </w:rPr>
        <w:t xml:space="preserve">Papadopoulou </w:t>
      </w:r>
      <w:r>
        <w:rPr>
          <w:sz w:val="21"/>
          <w:szCs w:val="21"/>
        </w:rPr>
        <w:t>L</w:t>
      </w:r>
      <w:r>
        <w:rPr>
          <w:rFonts w:hint="eastAsia"/>
          <w:sz w:val="21"/>
          <w:szCs w:val="21"/>
          <w:lang w:val="en-US" w:eastAsia="zh-CN"/>
        </w:rPr>
        <w:t>,</w:t>
      </w:r>
      <w:r>
        <w:rPr>
          <w:sz w:val="21"/>
          <w:szCs w:val="21"/>
        </w:rPr>
        <w:t xml:space="preserve"> </w:t>
      </w:r>
      <w:r>
        <w:rPr>
          <w:rFonts w:hint="eastAsia"/>
          <w:sz w:val="21"/>
          <w:szCs w:val="21"/>
        </w:rPr>
        <w:t>Giouri K</w:t>
      </w:r>
      <w:r>
        <w:rPr>
          <w:rFonts w:hint="eastAsia"/>
          <w:sz w:val="21"/>
          <w:szCs w:val="21"/>
          <w:lang w:val="en-US" w:eastAsia="zh-CN"/>
        </w:rPr>
        <w:t>,</w:t>
      </w:r>
      <w:r>
        <w:rPr>
          <w:rFonts w:hint="eastAsia"/>
          <w:sz w:val="21"/>
          <w:szCs w:val="21"/>
        </w:rPr>
        <w:t xml:space="preserve"> Papadopoulos A</w:t>
      </w:r>
      <w:r>
        <w:rPr>
          <w:rFonts w:hint="eastAsia"/>
          <w:sz w:val="21"/>
          <w:szCs w:val="21"/>
          <w:lang w:val="en-US" w:eastAsia="zh-CN"/>
        </w:rPr>
        <w:t>,</w:t>
      </w:r>
      <w:r>
        <w:rPr>
          <w:rFonts w:hint="eastAsia"/>
          <w:sz w:val="21"/>
          <w:szCs w:val="21"/>
        </w:rPr>
        <w:t xml:space="preserve"> Mitsika E</w:t>
      </w:r>
      <w:r>
        <w:rPr>
          <w:rFonts w:hint="eastAsia"/>
          <w:sz w:val="21"/>
          <w:szCs w:val="21"/>
          <w:lang w:val="en-US" w:eastAsia="zh-CN"/>
        </w:rPr>
        <w:t>,</w:t>
      </w:r>
      <w:r>
        <w:rPr>
          <w:rFonts w:hint="eastAsia"/>
          <w:sz w:val="21"/>
          <w:szCs w:val="21"/>
        </w:rPr>
        <w:t xml:space="preserve"> Fytianos K </w:t>
      </w:r>
      <w:r>
        <w:rPr>
          <w:rFonts w:hint="eastAsia"/>
          <w:sz w:val="21"/>
          <w:szCs w:val="21"/>
          <w:lang w:val="en-US" w:eastAsia="zh-CN"/>
        </w:rPr>
        <w:t>(</w:t>
      </w:r>
      <w:r>
        <w:rPr>
          <w:rFonts w:hint="eastAsia"/>
          <w:sz w:val="21"/>
          <w:szCs w:val="21"/>
        </w:rPr>
        <w:t>2017</w:t>
      </w:r>
      <w:r>
        <w:rPr>
          <w:rFonts w:hint="eastAsia"/>
          <w:sz w:val="21"/>
          <w:szCs w:val="21"/>
          <w:lang w:val="en-US" w:eastAsia="zh-CN"/>
        </w:rPr>
        <w:t>)</w:t>
      </w:r>
      <w:r>
        <w:rPr>
          <w:rFonts w:eastAsia="CharisSIL"/>
          <w:sz w:val="21"/>
          <w:szCs w:val="21"/>
        </w:rPr>
        <w:t xml:space="preserve"> Characterization, heavy metal content and health risk assessment of urban road dusts from the historic center of the city of Thessaloniki, Greece. Environ</w:t>
      </w:r>
      <w:r>
        <w:rPr>
          <w:sz w:val="21"/>
          <w:szCs w:val="21"/>
        </w:rPr>
        <w:t>mental</w:t>
      </w:r>
      <w:r>
        <w:rPr>
          <w:rFonts w:eastAsia="CharisSIL"/>
          <w:sz w:val="21"/>
          <w:szCs w:val="21"/>
        </w:rPr>
        <w:t xml:space="preserve"> Geochem</w:t>
      </w:r>
      <w:r>
        <w:rPr>
          <w:sz w:val="21"/>
          <w:szCs w:val="21"/>
        </w:rPr>
        <w:t>istry</w:t>
      </w:r>
      <w:r>
        <w:rPr>
          <w:rFonts w:eastAsia="CharisSIL"/>
          <w:sz w:val="21"/>
          <w:szCs w:val="21"/>
        </w:rPr>
        <w:t xml:space="preserve"> Health 39</w:t>
      </w:r>
      <w:r>
        <w:rPr>
          <w:sz w:val="21"/>
          <w:szCs w:val="21"/>
        </w:rPr>
        <w:t xml:space="preserve">: </w:t>
      </w:r>
      <w:r>
        <w:rPr>
          <w:rFonts w:eastAsia="CharisSIL"/>
          <w:sz w:val="21"/>
          <w:szCs w:val="21"/>
        </w:rPr>
        <w:t>611-634</w:t>
      </w:r>
      <w:r>
        <w:rPr>
          <w:sz w:val="21"/>
          <w:szCs w:val="21"/>
        </w:rPr>
        <w:t>.</w:t>
      </w:r>
    </w:p>
    <w:p>
      <w:pPr>
        <w:pStyle w:val="10"/>
        <w:autoSpaceDE w:val="0"/>
        <w:spacing w:before="0" w:beforeAutospacing="0" w:after="0" w:afterAutospacing="0" w:line="480" w:lineRule="auto"/>
        <w:ind w:left="420" w:hanging="420"/>
        <w:rPr>
          <w:sz w:val="21"/>
          <w:szCs w:val="21"/>
        </w:rPr>
      </w:pPr>
      <w:r>
        <w:rPr>
          <w:sz w:val="21"/>
          <w:szCs w:val="21"/>
        </w:rPr>
        <w:t>D</w:t>
      </w:r>
      <w:r>
        <w:rPr>
          <w:rFonts w:eastAsia="CharisSIL"/>
          <w:sz w:val="21"/>
          <w:szCs w:val="21"/>
        </w:rPr>
        <w:t>oabi</w:t>
      </w:r>
      <w:r>
        <w:rPr>
          <w:sz w:val="21"/>
          <w:szCs w:val="21"/>
        </w:rPr>
        <w:t xml:space="preserve"> SA</w:t>
      </w:r>
      <w:r>
        <w:rPr>
          <w:rFonts w:hint="eastAsia"/>
          <w:sz w:val="21"/>
          <w:szCs w:val="21"/>
          <w:lang w:val="en-US" w:eastAsia="zh-CN"/>
        </w:rPr>
        <w:t>,</w:t>
      </w:r>
      <w:r>
        <w:rPr>
          <w:sz w:val="21"/>
          <w:szCs w:val="21"/>
        </w:rPr>
        <w:t xml:space="preserve"> </w:t>
      </w:r>
      <w:r>
        <w:rPr>
          <w:rFonts w:eastAsia="CharisSIL"/>
          <w:sz w:val="21"/>
          <w:szCs w:val="21"/>
        </w:rPr>
        <w:t>Karami</w:t>
      </w:r>
      <w:r>
        <w:rPr>
          <w:sz w:val="21"/>
          <w:szCs w:val="21"/>
        </w:rPr>
        <w:t xml:space="preserve"> M</w:t>
      </w:r>
      <w:r>
        <w:rPr>
          <w:rFonts w:hint="eastAsia"/>
          <w:sz w:val="21"/>
          <w:szCs w:val="21"/>
          <w:lang w:val="en-US" w:eastAsia="zh-CN"/>
        </w:rPr>
        <w:t>,</w:t>
      </w:r>
      <w:r>
        <w:rPr>
          <w:rFonts w:eastAsia="CharisSIL"/>
          <w:sz w:val="21"/>
          <w:szCs w:val="21"/>
        </w:rPr>
        <w:t xml:space="preserve"> Afyuni</w:t>
      </w:r>
      <w:r>
        <w:rPr>
          <w:sz w:val="21"/>
          <w:szCs w:val="21"/>
        </w:rPr>
        <w:t xml:space="preserve"> M</w:t>
      </w:r>
      <w:r>
        <w:rPr>
          <w:rFonts w:hint="eastAsia"/>
          <w:sz w:val="21"/>
          <w:szCs w:val="21"/>
          <w:lang w:val="en-US" w:eastAsia="zh-CN"/>
        </w:rPr>
        <w:t>,</w:t>
      </w:r>
      <w:r>
        <w:rPr>
          <w:sz w:val="21"/>
          <w:szCs w:val="21"/>
        </w:rPr>
        <w:t xml:space="preserve"> </w:t>
      </w:r>
      <w:r>
        <w:rPr>
          <w:rFonts w:hint="eastAsia"/>
          <w:sz w:val="21"/>
          <w:szCs w:val="21"/>
        </w:rPr>
        <w:t xml:space="preserve">Yeganeh M </w:t>
      </w:r>
      <w:r>
        <w:rPr>
          <w:rFonts w:hint="eastAsia"/>
          <w:sz w:val="21"/>
          <w:szCs w:val="21"/>
          <w:lang w:val="en-US" w:eastAsia="zh-CN"/>
        </w:rPr>
        <w:t>(</w:t>
      </w:r>
      <w:r>
        <w:rPr>
          <w:rFonts w:hint="eastAsia"/>
          <w:sz w:val="21"/>
          <w:szCs w:val="21"/>
        </w:rPr>
        <w:t>2018</w:t>
      </w:r>
      <w:r>
        <w:rPr>
          <w:rFonts w:hint="eastAsia"/>
          <w:sz w:val="21"/>
          <w:szCs w:val="21"/>
          <w:lang w:val="en-US" w:eastAsia="zh-CN"/>
        </w:rPr>
        <w:t>)</w:t>
      </w:r>
      <w:r>
        <w:rPr>
          <w:rFonts w:eastAsia="CharisSIL"/>
          <w:sz w:val="21"/>
          <w:szCs w:val="21"/>
        </w:rPr>
        <w:t xml:space="preserve"> Pollution and health risk assessment of heavy metals in agricultural soil, atmospheric dust and major food crops in Kermanshah province, Iran. Ecotoxicology and Environmental Safety 163</w:t>
      </w:r>
      <w:r>
        <w:rPr>
          <w:sz w:val="21"/>
          <w:szCs w:val="21"/>
        </w:rPr>
        <w:t>:</w:t>
      </w:r>
      <w:r>
        <w:rPr>
          <w:rFonts w:eastAsia="CharisSIL"/>
          <w:sz w:val="21"/>
          <w:szCs w:val="21"/>
        </w:rPr>
        <w:t xml:space="preserve"> 153-164.</w:t>
      </w:r>
    </w:p>
    <w:p>
      <w:pPr>
        <w:pStyle w:val="10"/>
        <w:autoSpaceDE w:val="0"/>
        <w:spacing w:before="0" w:beforeAutospacing="0" w:after="0" w:afterAutospacing="0" w:line="480" w:lineRule="auto"/>
        <w:ind w:left="420" w:hanging="420"/>
        <w:rPr>
          <w:sz w:val="21"/>
          <w:szCs w:val="21"/>
          <w:highlight w:val="yellow"/>
        </w:rPr>
      </w:pPr>
      <w:r>
        <w:rPr>
          <w:sz w:val="21"/>
          <w:szCs w:val="21"/>
        </w:rPr>
        <w:t>Duzgoren-Aydin NS</w:t>
      </w:r>
      <w:r>
        <w:rPr>
          <w:rFonts w:hint="eastAsia"/>
          <w:sz w:val="21"/>
          <w:szCs w:val="21"/>
          <w:lang w:val="en-US" w:eastAsia="zh-CN"/>
        </w:rPr>
        <w:t>,</w:t>
      </w:r>
      <w:r>
        <w:rPr>
          <w:sz w:val="21"/>
          <w:szCs w:val="21"/>
        </w:rPr>
        <w:t xml:space="preserve"> Wong CSC</w:t>
      </w:r>
      <w:r>
        <w:rPr>
          <w:rFonts w:hint="eastAsia"/>
          <w:sz w:val="21"/>
          <w:szCs w:val="21"/>
          <w:lang w:val="en-US" w:eastAsia="zh-CN"/>
        </w:rPr>
        <w:t>,</w:t>
      </w:r>
      <w:r>
        <w:rPr>
          <w:sz w:val="21"/>
          <w:szCs w:val="21"/>
        </w:rPr>
        <w:t xml:space="preserve"> Aydin A</w:t>
      </w:r>
      <w:r>
        <w:rPr>
          <w:rFonts w:hint="eastAsia"/>
          <w:sz w:val="21"/>
          <w:szCs w:val="21"/>
          <w:lang w:val="en-US" w:eastAsia="zh-CN"/>
        </w:rPr>
        <w:t>,</w:t>
      </w:r>
      <w:r>
        <w:rPr>
          <w:sz w:val="21"/>
          <w:szCs w:val="21"/>
        </w:rPr>
        <w:t xml:space="preserve"> </w:t>
      </w:r>
      <w:r>
        <w:rPr>
          <w:rFonts w:hint="eastAsia"/>
          <w:sz w:val="21"/>
          <w:szCs w:val="21"/>
        </w:rPr>
        <w:t>Song Z</w:t>
      </w:r>
      <w:r>
        <w:rPr>
          <w:rFonts w:hint="eastAsia"/>
          <w:sz w:val="21"/>
          <w:szCs w:val="21"/>
          <w:lang w:val="en-US" w:eastAsia="zh-CN"/>
        </w:rPr>
        <w:t>,</w:t>
      </w:r>
      <w:r>
        <w:rPr>
          <w:rFonts w:hint="eastAsia"/>
          <w:sz w:val="21"/>
          <w:szCs w:val="21"/>
        </w:rPr>
        <w:t xml:space="preserve"> You M</w:t>
      </w:r>
      <w:r>
        <w:rPr>
          <w:rFonts w:hint="eastAsia"/>
          <w:sz w:val="21"/>
          <w:szCs w:val="21"/>
          <w:lang w:val="en-US" w:eastAsia="zh-CN"/>
        </w:rPr>
        <w:t>,</w:t>
      </w:r>
      <w:r>
        <w:rPr>
          <w:rFonts w:hint="eastAsia"/>
          <w:sz w:val="21"/>
          <w:szCs w:val="21"/>
        </w:rPr>
        <w:t xml:space="preserve"> Li XD </w:t>
      </w:r>
      <w:r>
        <w:rPr>
          <w:rFonts w:hint="eastAsia"/>
          <w:sz w:val="21"/>
          <w:szCs w:val="21"/>
          <w:lang w:val="en-US" w:eastAsia="zh-CN"/>
        </w:rPr>
        <w:t>(</w:t>
      </w:r>
      <w:r>
        <w:rPr>
          <w:rFonts w:hint="eastAsia"/>
          <w:sz w:val="21"/>
          <w:szCs w:val="21"/>
        </w:rPr>
        <w:t>2006</w:t>
      </w:r>
      <w:r>
        <w:rPr>
          <w:rFonts w:hint="eastAsia"/>
          <w:sz w:val="21"/>
          <w:szCs w:val="21"/>
          <w:lang w:val="en-US" w:eastAsia="zh-CN"/>
        </w:rPr>
        <w:t>)</w:t>
      </w:r>
      <w:r>
        <w:rPr>
          <w:sz w:val="21"/>
          <w:szCs w:val="21"/>
        </w:rPr>
        <w:t xml:space="preserve"> Heavy metal contamination and distribution in the urban environment of Guangzhou, SE China. Environmental Geochemistry and Health 28: 375-391.</w:t>
      </w:r>
    </w:p>
    <w:p>
      <w:pPr>
        <w:autoSpaceDE w:val="0"/>
        <w:spacing w:line="480" w:lineRule="auto"/>
        <w:ind w:left="420" w:hanging="420" w:hangingChars="200"/>
      </w:pPr>
      <w:r>
        <w:t>Henry RC</w:t>
      </w:r>
      <w:r>
        <w:rPr>
          <w:rFonts w:hint="eastAsia"/>
          <w:lang w:val="en-US" w:eastAsia="zh-CN"/>
        </w:rPr>
        <w:t>,</w:t>
      </w:r>
      <w:r>
        <w:t xml:space="preserve"> Christensen ER </w:t>
      </w:r>
      <w:r>
        <w:rPr>
          <w:rFonts w:hint="eastAsia"/>
          <w:lang w:val="en-US" w:eastAsia="zh-CN"/>
        </w:rPr>
        <w:t>(</w:t>
      </w:r>
      <w:r>
        <w:t>2010</w:t>
      </w:r>
      <w:r>
        <w:rPr>
          <w:rFonts w:hint="eastAsia"/>
          <w:lang w:val="en-US" w:eastAsia="zh-CN"/>
        </w:rPr>
        <w:t>)</w:t>
      </w:r>
      <w:r>
        <w:t xml:space="preserve"> Selecting an appropriate multivariate source apportionment model result. Environmental Science and Technology 44</w:t>
      </w:r>
      <w:r>
        <w:rPr>
          <w:rFonts w:hint="eastAsia"/>
          <w:lang w:val="en-US" w:eastAsia="zh-CN"/>
        </w:rPr>
        <w:t>:</w:t>
      </w:r>
      <w:bookmarkStart w:id="2" w:name="_GoBack"/>
      <w:bookmarkEnd w:id="2"/>
      <w:r>
        <w:t xml:space="preserve"> 2474-2481.</w:t>
      </w:r>
    </w:p>
    <w:p>
      <w:pPr>
        <w:autoSpaceDE w:val="0"/>
        <w:spacing w:line="480" w:lineRule="auto"/>
        <w:ind w:left="420" w:hanging="420" w:hangingChars="200"/>
      </w:pPr>
      <w:r>
        <w:t xml:space="preserve">Hopke PK </w:t>
      </w:r>
      <w:r>
        <w:rPr>
          <w:rFonts w:hint="eastAsia"/>
          <w:lang w:val="en-US" w:eastAsia="zh-CN"/>
        </w:rPr>
        <w:t>(</w:t>
      </w:r>
      <w:r>
        <w:t>2003</w:t>
      </w:r>
      <w:r>
        <w:rPr>
          <w:rFonts w:hint="eastAsia"/>
          <w:lang w:val="en-US" w:eastAsia="zh-CN"/>
        </w:rPr>
        <w:t>)</w:t>
      </w:r>
      <w:r>
        <w:t xml:space="preserve"> Recent developments in receptor modeling. Journal of Chemistry 17, 255-265.</w:t>
      </w:r>
    </w:p>
    <w:p>
      <w:pPr>
        <w:autoSpaceDE w:val="0"/>
        <w:spacing w:line="480" w:lineRule="auto"/>
        <w:ind w:left="420" w:hanging="420" w:hangingChars="200"/>
      </w:pPr>
      <w:r>
        <w:t>Khairy MA</w:t>
      </w:r>
      <w:r>
        <w:rPr>
          <w:rFonts w:hint="eastAsia"/>
          <w:lang w:val="en-US" w:eastAsia="zh-CN"/>
        </w:rPr>
        <w:t>,</w:t>
      </w:r>
      <w:r>
        <w:t xml:space="preserve"> Barakat AO</w:t>
      </w:r>
      <w:r>
        <w:rPr>
          <w:rFonts w:hint="eastAsia"/>
          <w:lang w:val="en-US" w:eastAsia="zh-CN"/>
        </w:rPr>
        <w:t>,</w:t>
      </w:r>
      <w:r>
        <w:t xml:space="preserve"> Mostafa AR</w:t>
      </w:r>
      <w:r>
        <w:rPr>
          <w:rFonts w:hint="eastAsia"/>
          <w:lang w:val="en-US" w:eastAsia="zh-CN"/>
        </w:rPr>
        <w:t>,</w:t>
      </w:r>
      <w:r>
        <w:t xml:space="preserve"> </w:t>
      </w:r>
      <w:r>
        <w:rPr>
          <w:rFonts w:hint="eastAsia"/>
        </w:rPr>
        <w:t xml:space="preserve">Wade TL </w:t>
      </w:r>
      <w:r>
        <w:rPr>
          <w:rFonts w:hint="eastAsia"/>
          <w:lang w:val="en-US" w:eastAsia="zh-CN"/>
        </w:rPr>
        <w:t>(</w:t>
      </w:r>
      <w:r>
        <w:t>2011</w:t>
      </w:r>
      <w:r>
        <w:rPr>
          <w:rFonts w:hint="eastAsia"/>
          <w:lang w:val="en-US" w:eastAsia="zh-CN"/>
        </w:rPr>
        <w:t>)</w:t>
      </w:r>
      <w:r>
        <w:t xml:space="preserve"> Multielement determination by flame </w:t>
      </w:r>
      <w:r>
        <w:rPr>
          <w:rFonts w:hint="eastAsia"/>
          <w:lang w:val="en-US" w:eastAsia="zh-CN"/>
        </w:rPr>
        <w:t>,</w:t>
      </w:r>
      <w:r>
        <w:t>atomic absorption of road dust samples in Delta Region, Egypt. Microchemistry Journal 97</w:t>
      </w:r>
      <w:r>
        <w:rPr>
          <w:rFonts w:hint="eastAsia"/>
          <w:lang w:val="en-US" w:eastAsia="zh-CN"/>
        </w:rPr>
        <w:t>:</w:t>
      </w:r>
      <w:r>
        <w:t xml:space="preserve"> 234-242.</w:t>
      </w:r>
    </w:p>
    <w:p>
      <w:pPr>
        <w:autoSpaceDE w:val="0"/>
        <w:spacing w:line="480" w:lineRule="auto"/>
        <w:ind w:left="420" w:hanging="420" w:hangingChars="200"/>
      </w:pPr>
      <w:r>
        <w:t>Kim E</w:t>
      </w:r>
      <w:r>
        <w:rPr>
          <w:rFonts w:hint="eastAsia"/>
          <w:lang w:val="en-US" w:eastAsia="zh-CN"/>
        </w:rPr>
        <w:t>,</w:t>
      </w:r>
      <w:r>
        <w:t xml:space="preserve"> Hopke PK </w:t>
      </w:r>
      <w:r>
        <w:rPr>
          <w:rFonts w:hint="eastAsia"/>
          <w:lang w:val="en-US" w:eastAsia="zh-CN"/>
        </w:rPr>
        <w:t>(</w:t>
      </w:r>
      <w:r>
        <w:t>2007</w:t>
      </w:r>
      <w:r>
        <w:rPr>
          <w:rFonts w:hint="eastAsia"/>
          <w:lang w:val="en-US" w:eastAsia="zh-CN"/>
        </w:rPr>
        <w:t>)</w:t>
      </w:r>
      <w:r>
        <w:t xml:space="preserve"> Comparison between sample-species specific uncertainties and estimated uncertainties for the source apportionment of the speciation trends network data. Atmospheric Environment 41</w:t>
      </w:r>
      <w:r>
        <w:rPr>
          <w:rFonts w:hint="eastAsia"/>
          <w:lang w:val="en-US" w:eastAsia="zh-CN"/>
        </w:rPr>
        <w:t>:</w:t>
      </w:r>
      <w:r>
        <w:t xml:space="preserve"> 567-575.</w:t>
      </w:r>
    </w:p>
    <w:p>
      <w:pPr>
        <w:autoSpaceDE w:val="0"/>
        <w:spacing w:line="480" w:lineRule="auto"/>
        <w:ind w:left="420" w:hanging="420" w:hangingChars="200"/>
      </w:pPr>
      <w:r>
        <w:t>Li HH</w:t>
      </w:r>
      <w:r>
        <w:rPr>
          <w:rFonts w:hint="eastAsia"/>
          <w:lang w:val="en-US" w:eastAsia="zh-CN"/>
        </w:rPr>
        <w:t>,</w:t>
      </w:r>
      <w:r>
        <w:t xml:space="preserve"> Chen LJ</w:t>
      </w:r>
      <w:r>
        <w:rPr>
          <w:rFonts w:hint="eastAsia"/>
          <w:lang w:val="en-US" w:eastAsia="zh-CN"/>
        </w:rPr>
        <w:t>,</w:t>
      </w:r>
      <w:r>
        <w:t xml:space="preserve"> Yu L</w:t>
      </w:r>
      <w:r>
        <w:rPr>
          <w:rFonts w:hint="eastAsia"/>
          <w:lang w:val="en-US" w:eastAsia="zh-CN"/>
        </w:rPr>
        <w:t>,</w:t>
      </w:r>
      <w:r>
        <w:t xml:space="preserve"> </w:t>
      </w:r>
      <w:r>
        <w:rPr>
          <w:rFonts w:hint="eastAsia"/>
        </w:rPr>
        <w:t>Guo Z</w:t>
      </w:r>
      <w:r>
        <w:rPr>
          <w:rFonts w:hint="eastAsia"/>
          <w:lang w:val="en-US" w:eastAsia="zh-CN"/>
        </w:rPr>
        <w:t>,</w:t>
      </w:r>
      <w:r>
        <w:rPr>
          <w:rFonts w:hint="eastAsia"/>
        </w:rPr>
        <w:t xml:space="preserve"> Shan C</w:t>
      </w:r>
      <w:r>
        <w:rPr>
          <w:rFonts w:hint="eastAsia"/>
          <w:lang w:val="en-US" w:eastAsia="zh-CN"/>
        </w:rPr>
        <w:t>,</w:t>
      </w:r>
      <w:r>
        <w:rPr>
          <w:rFonts w:hint="eastAsia"/>
        </w:rPr>
        <w:t xml:space="preserve"> Lin J</w:t>
      </w:r>
      <w:r>
        <w:rPr>
          <w:rFonts w:hint="eastAsia"/>
          <w:lang w:val="en-US" w:eastAsia="zh-CN"/>
        </w:rPr>
        <w:t>,</w:t>
      </w:r>
      <w:r>
        <w:rPr>
          <w:rFonts w:hint="eastAsia"/>
        </w:rPr>
        <w:t xml:space="preserve"> Gu Y</w:t>
      </w:r>
      <w:r>
        <w:rPr>
          <w:rFonts w:hint="eastAsia"/>
          <w:lang w:val="en-US" w:eastAsia="zh-CN"/>
        </w:rPr>
        <w:t>,</w:t>
      </w:r>
      <w:r>
        <w:rPr>
          <w:rFonts w:hint="eastAsia"/>
        </w:rPr>
        <w:t xml:space="preserve"> Yang Z</w:t>
      </w:r>
      <w:r>
        <w:rPr>
          <w:rFonts w:hint="eastAsia"/>
          <w:lang w:val="en-US" w:eastAsia="zh-CN"/>
        </w:rPr>
        <w:t>,</w:t>
      </w:r>
      <w:r>
        <w:rPr>
          <w:rFonts w:hint="eastAsia"/>
        </w:rPr>
        <w:t xml:space="preserve"> Yang Y</w:t>
      </w:r>
      <w:r>
        <w:rPr>
          <w:rFonts w:hint="eastAsia"/>
          <w:lang w:val="en-US" w:eastAsia="zh-CN"/>
        </w:rPr>
        <w:t>,</w:t>
      </w:r>
      <w:r>
        <w:rPr>
          <w:rFonts w:hint="eastAsia"/>
        </w:rPr>
        <w:t xml:space="preserve"> Shao J</w:t>
      </w:r>
      <w:r>
        <w:t xml:space="preserve"> </w:t>
      </w:r>
      <w:r>
        <w:rPr>
          <w:rFonts w:hint="eastAsia"/>
          <w:lang w:val="en-US" w:eastAsia="zh-CN"/>
        </w:rPr>
        <w:t>(</w:t>
      </w:r>
      <w:r>
        <w:t>2017</w:t>
      </w:r>
      <w:r>
        <w:rPr>
          <w:rFonts w:hint="eastAsia"/>
          <w:lang w:val="en-US" w:eastAsia="zh-CN"/>
        </w:rPr>
        <w:t>)</w:t>
      </w:r>
      <w:r>
        <w:t xml:space="preserve"> Pollution characteristics and risk assessment of human exposure to oral bioaccessibility of heavy metals via urban street dusts from different functional areas in Chengdu, China. Science of the Total Environment 586</w:t>
      </w:r>
      <w:r>
        <w:rPr>
          <w:rFonts w:hint="eastAsia"/>
          <w:lang w:val="en-US" w:eastAsia="zh-CN"/>
        </w:rPr>
        <w:t>:</w:t>
      </w:r>
      <w:r>
        <w:t xml:space="preserve"> 1076-1084.</w:t>
      </w:r>
    </w:p>
    <w:p>
      <w:pPr>
        <w:autoSpaceDE w:val="0"/>
        <w:spacing w:line="480" w:lineRule="auto"/>
        <w:ind w:left="420" w:hanging="420" w:hangingChars="200"/>
      </w:pPr>
      <w:r>
        <w:t>Li RZ</w:t>
      </w:r>
      <w:r>
        <w:rPr>
          <w:rFonts w:hint="eastAsia"/>
          <w:lang w:val="en-US" w:eastAsia="zh-CN"/>
        </w:rPr>
        <w:t>,</w:t>
      </w:r>
      <w:r>
        <w:t xml:space="preserve"> Zhou AJ</w:t>
      </w:r>
      <w:r>
        <w:rPr>
          <w:rFonts w:hint="eastAsia"/>
          <w:lang w:val="en-US" w:eastAsia="zh-CN"/>
        </w:rPr>
        <w:t>,</w:t>
      </w:r>
      <w:r>
        <w:t xml:space="preserve"> Dong F</w:t>
      </w:r>
      <w:r>
        <w:rPr>
          <w:rFonts w:hint="eastAsia"/>
          <w:lang w:val="en-US" w:eastAsia="zh-CN"/>
        </w:rPr>
        <w:t>,</w:t>
      </w:r>
      <w:r>
        <w:t xml:space="preserve"> </w:t>
      </w:r>
      <w:r>
        <w:rPr>
          <w:rFonts w:hint="eastAsia"/>
        </w:rPr>
        <w:t>Wu Y</w:t>
      </w:r>
      <w:r>
        <w:rPr>
          <w:rFonts w:hint="eastAsia"/>
          <w:lang w:val="en-US" w:eastAsia="zh-CN"/>
        </w:rPr>
        <w:t>,</w:t>
      </w:r>
      <w:r>
        <w:rPr>
          <w:rFonts w:hint="eastAsia"/>
        </w:rPr>
        <w:t xml:space="preserve"> Zhang P</w:t>
      </w:r>
      <w:r>
        <w:rPr>
          <w:rFonts w:hint="eastAsia"/>
          <w:lang w:val="en-US" w:eastAsia="zh-CN"/>
        </w:rPr>
        <w:t>,</w:t>
      </w:r>
      <w:r>
        <w:rPr>
          <w:rFonts w:hint="eastAsia"/>
        </w:rPr>
        <w:t xml:space="preserve"> Yu J </w:t>
      </w:r>
      <w:r>
        <w:rPr>
          <w:rFonts w:hint="eastAsia"/>
          <w:lang w:val="en-US" w:eastAsia="zh-CN"/>
        </w:rPr>
        <w:t>(</w:t>
      </w:r>
      <w:r>
        <w:t>2011</w:t>
      </w:r>
      <w:r>
        <w:rPr>
          <w:rFonts w:hint="eastAsia"/>
          <w:lang w:val="en-US" w:eastAsia="zh-CN"/>
        </w:rPr>
        <w:t>)</w:t>
      </w:r>
      <w:r>
        <w:t xml:space="preserve"> Distribution of metals in urban dusts of Hefei and health risk assessment. Environmental Science 32</w:t>
      </w:r>
      <w:r>
        <w:rPr>
          <w:rFonts w:hint="eastAsia"/>
          <w:lang w:val="en-US" w:eastAsia="zh-CN"/>
        </w:rPr>
        <w:t>:</w:t>
      </w:r>
      <w:r>
        <w:t xml:space="preserve"> 2261-2268. (In Chinese)</w:t>
      </w:r>
    </w:p>
    <w:p>
      <w:pPr>
        <w:autoSpaceDE w:val="0"/>
        <w:spacing w:line="480" w:lineRule="auto"/>
        <w:ind w:left="420" w:hanging="420" w:hangingChars="200"/>
      </w:pPr>
      <w:r>
        <w:t>Manousakas M</w:t>
      </w:r>
      <w:r>
        <w:rPr>
          <w:rFonts w:hint="eastAsia"/>
          <w:lang w:val="en-US" w:eastAsia="zh-CN"/>
        </w:rPr>
        <w:t>,</w:t>
      </w:r>
      <w:r>
        <w:t xml:space="preserve"> Papaefthymiou H</w:t>
      </w:r>
      <w:r>
        <w:rPr>
          <w:rFonts w:hint="eastAsia"/>
          <w:lang w:val="en-US" w:eastAsia="zh-CN"/>
        </w:rPr>
        <w:t>,</w:t>
      </w:r>
      <w:r>
        <w:t xml:space="preserve"> Diapouli E</w:t>
      </w:r>
      <w:r>
        <w:rPr>
          <w:rFonts w:hint="eastAsia"/>
          <w:lang w:val="en-US" w:eastAsia="zh-CN"/>
        </w:rPr>
        <w:t>,</w:t>
      </w:r>
      <w:r>
        <w:t xml:space="preserve"> </w:t>
      </w:r>
      <w:r>
        <w:rPr>
          <w:rFonts w:hint="eastAsia"/>
        </w:rPr>
        <w:t>Migliori A</w:t>
      </w:r>
      <w:r>
        <w:rPr>
          <w:rFonts w:hint="eastAsia"/>
          <w:lang w:val="en-US" w:eastAsia="zh-CN"/>
        </w:rPr>
        <w:t>,</w:t>
      </w:r>
      <w:r>
        <w:rPr>
          <w:rFonts w:hint="eastAsia"/>
        </w:rPr>
        <w:t xml:space="preserve"> Karydas AG</w:t>
      </w:r>
      <w:r>
        <w:rPr>
          <w:rFonts w:hint="eastAsia"/>
          <w:lang w:val="en-US" w:eastAsia="zh-CN"/>
        </w:rPr>
        <w:t>,</w:t>
      </w:r>
      <w:r>
        <w:rPr>
          <w:rFonts w:hint="eastAsia"/>
        </w:rPr>
        <w:t xml:space="preserve"> Bogdanovic-Radovic I</w:t>
      </w:r>
      <w:r>
        <w:rPr>
          <w:rFonts w:hint="eastAsia"/>
          <w:lang w:val="en-US" w:eastAsia="zh-CN"/>
        </w:rPr>
        <w:t>,</w:t>
      </w:r>
      <w:r>
        <w:rPr>
          <w:rFonts w:hint="eastAsia"/>
        </w:rPr>
        <w:t xml:space="preserve"> Eleftheriadis K </w:t>
      </w:r>
      <w:r>
        <w:rPr>
          <w:rFonts w:hint="eastAsia"/>
          <w:lang w:val="en-US" w:eastAsia="zh-CN"/>
        </w:rPr>
        <w:t>(</w:t>
      </w:r>
      <w:r>
        <w:t>2017</w:t>
      </w:r>
      <w:r>
        <w:rPr>
          <w:rFonts w:hint="eastAsia"/>
          <w:lang w:val="en-US" w:eastAsia="zh-CN"/>
        </w:rPr>
        <w:t>)</w:t>
      </w:r>
      <w:r>
        <w:t xml:space="preserve"> Assessment of PM</w:t>
      </w:r>
      <w:r>
        <w:rPr>
          <w:vertAlign w:val="subscript"/>
        </w:rPr>
        <w:t>2.5</w:t>
      </w:r>
      <w:r>
        <w:t xml:space="preserve"> sources and their corresponding level of uncertainty in a coastal urban area using EPA PMF 5.0 enhanced diagnostics. Science of the Total Environment 574</w:t>
      </w:r>
      <w:r>
        <w:rPr>
          <w:rFonts w:hint="eastAsia"/>
          <w:lang w:val="en-US" w:eastAsia="zh-CN"/>
        </w:rPr>
        <w:t>:</w:t>
      </w:r>
      <w:r>
        <w:t xml:space="preserve"> 155-164.</w:t>
      </w:r>
    </w:p>
    <w:p>
      <w:pPr>
        <w:pStyle w:val="10"/>
        <w:autoSpaceDE w:val="0"/>
        <w:spacing w:before="0" w:beforeAutospacing="0" w:after="0" w:afterAutospacing="0" w:line="480" w:lineRule="auto"/>
        <w:ind w:left="420" w:hanging="420"/>
        <w:rPr>
          <w:sz w:val="21"/>
          <w:szCs w:val="21"/>
        </w:rPr>
      </w:pPr>
      <w:r>
        <w:rPr>
          <w:sz w:val="21"/>
          <w:szCs w:val="21"/>
        </w:rPr>
        <w:t>Mehr MR</w:t>
      </w:r>
      <w:r>
        <w:rPr>
          <w:rFonts w:hint="eastAsia"/>
          <w:sz w:val="21"/>
          <w:szCs w:val="21"/>
          <w:lang w:val="en-US" w:eastAsia="zh-CN"/>
        </w:rPr>
        <w:t>,</w:t>
      </w:r>
      <w:r>
        <w:rPr>
          <w:sz w:val="21"/>
          <w:szCs w:val="21"/>
        </w:rPr>
        <w:t xml:space="preserve"> Keshavarzi B</w:t>
      </w:r>
      <w:r>
        <w:rPr>
          <w:rFonts w:hint="eastAsia"/>
          <w:sz w:val="21"/>
          <w:szCs w:val="21"/>
          <w:lang w:val="en-US" w:eastAsia="zh-CN"/>
        </w:rPr>
        <w:t>,</w:t>
      </w:r>
      <w:r>
        <w:rPr>
          <w:sz w:val="21"/>
          <w:szCs w:val="21"/>
        </w:rPr>
        <w:t xml:space="preserve"> Moore F</w:t>
      </w:r>
      <w:r>
        <w:rPr>
          <w:rFonts w:hint="eastAsia"/>
          <w:sz w:val="21"/>
          <w:szCs w:val="21"/>
          <w:lang w:val="en-US" w:eastAsia="zh-CN"/>
        </w:rPr>
        <w:t>,</w:t>
      </w:r>
      <w:r>
        <w:rPr>
          <w:sz w:val="21"/>
          <w:szCs w:val="21"/>
        </w:rPr>
        <w:t xml:space="preserve"> </w:t>
      </w:r>
      <w:r>
        <w:rPr>
          <w:rFonts w:hint="eastAsia"/>
          <w:sz w:val="21"/>
          <w:szCs w:val="21"/>
        </w:rPr>
        <w:t>Sharifi R</w:t>
      </w:r>
      <w:r>
        <w:rPr>
          <w:rFonts w:hint="eastAsia"/>
          <w:sz w:val="21"/>
          <w:szCs w:val="21"/>
          <w:lang w:val="en-US" w:eastAsia="zh-CN"/>
        </w:rPr>
        <w:t>,</w:t>
      </w:r>
      <w:r>
        <w:rPr>
          <w:rFonts w:hint="eastAsia"/>
          <w:sz w:val="21"/>
          <w:szCs w:val="21"/>
        </w:rPr>
        <w:t xml:space="preserve"> Lahijanzadeh A</w:t>
      </w:r>
      <w:r>
        <w:rPr>
          <w:rFonts w:hint="eastAsia"/>
          <w:sz w:val="21"/>
          <w:szCs w:val="21"/>
          <w:lang w:val="en-US" w:eastAsia="zh-CN"/>
        </w:rPr>
        <w:t>,</w:t>
      </w:r>
      <w:r>
        <w:rPr>
          <w:rFonts w:hint="eastAsia"/>
          <w:sz w:val="21"/>
          <w:szCs w:val="21"/>
        </w:rPr>
        <w:t xml:space="preserve"> Kermanic M </w:t>
      </w:r>
      <w:r>
        <w:rPr>
          <w:rFonts w:hint="eastAsia"/>
          <w:sz w:val="21"/>
          <w:szCs w:val="21"/>
          <w:lang w:val="en-US" w:eastAsia="zh-CN"/>
        </w:rPr>
        <w:t>(</w:t>
      </w:r>
      <w:r>
        <w:rPr>
          <w:rFonts w:hint="eastAsia"/>
          <w:sz w:val="21"/>
          <w:szCs w:val="21"/>
        </w:rPr>
        <w:t>2017</w:t>
      </w:r>
      <w:r>
        <w:rPr>
          <w:rFonts w:hint="eastAsia"/>
          <w:sz w:val="21"/>
          <w:szCs w:val="21"/>
          <w:lang w:val="en-US" w:eastAsia="zh-CN"/>
        </w:rPr>
        <w:t>)</w:t>
      </w:r>
      <w:r>
        <w:rPr>
          <w:sz w:val="21"/>
          <w:szCs w:val="21"/>
        </w:rPr>
        <w:t xml:space="preserve"> Distribution, source identification and health risk assessment of soil heavy metals in urban areas of Isfahan province, Iran. Journal of African Earth Sciences 132: 16-26.</w:t>
      </w:r>
    </w:p>
    <w:p>
      <w:pPr>
        <w:autoSpaceDE w:val="0"/>
        <w:spacing w:line="480" w:lineRule="auto"/>
        <w:ind w:left="420" w:hanging="420" w:hangingChars="200"/>
      </w:pPr>
      <w:r>
        <w:t>Men C</w:t>
      </w:r>
      <w:r>
        <w:rPr>
          <w:rFonts w:hint="eastAsia"/>
          <w:lang w:val="en-US" w:eastAsia="zh-CN"/>
        </w:rPr>
        <w:t>,</w:t>
      </w:r>
      <w:r>
        <w:t xml:space="preserve"> Liu RM</w:t>
      </w:r>
      <w:r>
        <w:rPr>
          <w:rFonts w:hint="eastAsia"/>
          <w:lang w:val="en-US" w:eastAsia="zh-CN"/>
        </w:rPr>
        <w:t>,</w:t>
      </w:r>
      <w:r>
        <w:t xml:space="preserve"> Xu F</w:t>
      </w:r>
      <w:r>
        <w:rPr>
          <w:rFonts w:hint="eastAsia"/>
          <w:lang w:val="en-US" w:eastAsia="zh-CN"/>
        </w:rPr>
        <w:t>,</w:t>
      </w:r>
      <w:r>
        <w:t xml:space="preserve"> Wang Q</w:t>
      </w:r>
      <w:r>
        <w:rPr>
          <w:rFonts w:hint="eastAsia"/>
          <w:lang w:val="en-US" w:eastAsia="zh-CN"/>
        </w:rPr>
        <w:t>,</w:t>
      </w:r>
      <w:r>
        <w:t xml:space="preserve"> Guo LJ</w:t>
      </w:r>
      <w:r>
        <w:rPr>
          <w:rFonts w:hint="eastAsia"/>
          <w:lang w:val="en-US" w:eastAsia="zh-CN"/>
        </w:rPr>
        <w:t>,</w:t>
      </w:r>
      <w:r>
        <w:t xml:space="preserve"> Shen ZY</w:t>
      </w:r>
      <w:r>
        <w:rPr>
          <w:rFonts w:hint="eastAsia"/>
          <w:lang w:val="en-US" w:eastAsia="zh-CN"/>
        </w:rPr>
        <w:t xml:space="preserve"> (</w:t>
      </w:r>
      <w:r>
        <w:t>2018</w:t>
      </w:r>
      <w:r>
        <w:rPr>
          <w:rFonts w:hint="eastAsia"/>
          <w:lang w:val="en-US" w:eastAsia="zh-CN"/>
        </w:rPr>
        <w:t>)</w:t>
      </w:r>
      <w:r>
        <w:t xml:space="preserve"> Pollution characteristics, risk assessment, and source apportionment of heavy metals in road dust in Beijing, China. Science of the Total Environment 612</w:t>
      </w:r>
      <w:r>
        <w:rPr>
          <w:rFonts w:hint="eastAsia"/>
          <w:lang w:val="en-US" w:eastAsia="zh-CN"/>
        </w:rPr>
        <w:t>:</w:t>
      </w:r>
      <w:r>
        <w:t xml:space="preserve"> 138-147.</w:t>
      </w:r>
    </w:p>
    <w:p>
      <w:pPr>
        <w:pStyle w:val="10"/>
        <w:autoSpaceDE w:val="0"/>
        <w:spacing w:before="0" w:beforeAutospacing="0" w:after="0" w:afterAutospacing="0" w:line="480" w:lineRule="auto"/>
        <w:ind w:left="420" w:hanging="420"/>
        <w:rPr>
          <w:rFonts w:eastAsia="CharisSIL"/>
          <w:sz w:val="21"/>
          <w:szCs w:val="21"/>
        </w:rPr>
      </w:pPr>
      <w:r>
        <w:rPr>
          <w:rFonts w:eastAsia="CharisSIL"/>
          <w:sz w:val="21"/>
          <w:szCs w:val="21"/>
        </w:rPr>
        <w:t>Mohmand J</w:t>
      </w:r>
      <w:r>
        <w:rPr>
          <w:rFonts w:hint="eastAsia"/>
          <w:sz w:val="21"/>
          <w:szCs w:val="21"/>
          <w:lang w:val="en-US" w:eastAsia="zh-CN"/>
        </w:rPr>
        <w:t>,</w:t>
      </w:r>
      <w:r>
        <w:rPr>
          <w:rFonts w:eastAsia="CharisSIL"/>
          <w:sz w:val="21"/>
          <w:szCs w:val="21"/>
        </w:rPr>
        <w:t xml:space="preserve"> Eqani SAMAS, Fasola M, </w:t>
      </w:r>
      <w:r>
        <w:rPr>
          <w:sz w:val="21"/>
          <w:szCs w:val="21"/>
        </w:rPr>
        <w:t>Alamdar</w:t>
      </w:r>
      <w:r>
        <w:rPr>
          <w:rFonts w:hint="eastAsia"/>
          <w:sz w:val="21"/>
          <w:szCs w:val="21"/>
        </w:rPr>
        <w:t xml:space="preserve"> A</w:t>
      </w:r>
      <w:r>
        <w:rPr>
          <w:rFonts w:hint="eastAsia"/>
          <w:sz w:val="21"/>
          <w:szCs w:val="21"/>
          <w:lang w:val="en-US" w:eastAsia="zh-CN"/>
        </w:rPr>
        <w:t>,</w:t>
      </w:r>
      <w:r>
        <w:rPr>
          <w:rFonts w:hint="eastAsia"/>
          <w:sz w:val="21"/>
          <w:szCs w:val="21"/>
        </w:rPr>
        <w:t xml:space="preserve"> </w:t>
      </w:r>
      <w:r>
        <w:rPr>
          <w:sz w:val="21"/>
          <w:szCs w:val="21"/>
        </w:rPr>
        <w:t>Mustaf</w:t>
      </w:r>
      <w:r>
        <w:rPr>
          <w:rFonts w:hint="eastAsia"/>
          <w:sz w:val="21"/>
          <w:szCs w:val="21"/>
        </w:rPr>
        <w:t>a I</w:t>
      </w:r>
      <w:r>
        <w:rPr>
          <w:rFonts w:hint="eastAsia"/>
          <w:sz w:val="21"/>
          <w:szCs w:val="21"/>
          <w:lang w:val="en-US" w:eastAsia="zh-CN"/>
        </w:rPr>
        <w:t>,</w:t>
      </w:r>
      <w:r>
        <w:rPr>
          <w:rFonts w:hint="eastAsia"/>
          <w:sz w:val="21"/>
          <w:szCs w:val="21"/>
        </w:rPr>
        <w:t xml:space="preserve"> </w:t>
      </w:r>
      <w:r>
        <w:rPr>
          <w:sz w:val="21"/>
          <w:szCs w:val="21"/>
        </w:rPr>
        <w:t>Ali</w:t>
      </w:r>
      <w:r>
        <w:rPr>
          <w:rFonts w:hint="eastAsia"/>
          <w:sz w:val="21"/>
          <w:szCs w:val="21"/>
        </w:rPr>
        <w:t xml:space="preserve"> N</w:t>
      </w:r>
      <w:r>
        <w:rPr>
          <w:rFonts w:hint="eastAsia"/>
          <w:sz w:val="21"/>
          <w:szCs w:val="21"/>
          <w:lang w:val="en-US" w:eastAsia="zh-CN"/>
        </w:rPr>
        <w:t>,</w:t>
      </w:r>
      <w:r>
        <w:rPr>
          <w:rFonts w:hint="eastAsia"/>
          <w:sz w:val="21"/>
          <w:szCs w:val="21"/>
        </w:rPr>
        <w:t xml:space="preserve"> </w:t>
      </w:r>
      <w:r>
        <w:rPr>
          <w:sz w:val="21"/>
          <w:szCs w:val="21"/>
        </w:rPr>
        <w:t>Liu</w:t>
      </w:r>
      <w:r>
        <w:rPr>
          <w:rFonts w:hint="eastAsia"/>
          <w:sz w:val="21"/>
          <w:szCs w:val="21"/>
        </w:rPr>
        <w:t xml:space="preserve"> LP</w:t>
      </w:r>
      <w:r>
        <w:rPr>
          <w:rFonts w:hint="eastAsia"/>
          <w:sz w:val="21"/>
          <w:szCs w:val="21"/>
          <w:lang w:val="en-US" w:eastAsia="zh-CN"/>
        </w:rPr>
        <w:t>,</w:t>
      </w:r>
      <w:r>
        <w:rPr>
          <w:rFonts w:hint="eastAsia"/>
          <w:sz w:val="21"/>
          <w:szCs w:val="21"/>
        </w:rPr>
        <w:t xml:space="preserve"> </w:t>
      </w:r>
      <w:r>
        <w:rPr>
          <w:sz w:val="21"/>
          <w:szCs w:val="21"/>
        </w:rPr>
        <w:t>Peng</w:t>
      </w:r>
      <w:r>
        <w:rPr>
          <w:rFonts w:hint="eastAsia"/>
          <w:sz w:val="21"/>
          <w:szCs w:val="21"/>
        </w:rPr>
        <w:t xml:space="preserve"> SY</w:t>
      </w:r>
      <w:r>
        <w:rPr>
          <w:rFonts w:hint="eastAsia"/>
          <w:sz w:val="21"/>
          <w:szCs w:val="21"/>
          <w:lang w:val="en-US" w:eastAsia="zh-CN"/>
        </w:rPr>
        <w:t>,</w:t>
      </w:r>
      <w:r>
        <w:rPr>
          <w:rFonts w:hint="eastAsia"/>
          <w:sz w:val="21"/>
          <w:szCs w:val="21"/>
        </w:rPr>
        <w:t xml:space="preserve"> </w:t>
      </w:r>
      <w:r>
        <w:rPr>
          <w:sz w:val="21"/>
          <w:szCs w:val="21"/>
        </w:rPr>
        <w:t>Shen</w:t>
      </w:r>
      <w:r>
        <w:rPr>
          <w:rFonts w:hint="eastAsia"/>
          <w:sz w:val="21"/>
          <w:szCs w:val="21"/>
        </w:rPr>
        <w:t xml:space="preserve"> HQ </w:t>
      </w:r>
      <w:r>
        <w:rPr>
          <w:rFonts w:hint="eastAsia"/>
          <w:sz w:val="21"/>
          <w:szCs w:val="21"/>
          <w:lang w:val="en-US" w:eastAsia="zh-CN"/>
        </w:rPr>
        <w:t>(</w:t>
      </w:r>
      <w:r>
        <w:rPr>
          <w:rFonts w:hint="eastAsia"/>
          <w:sz w:val="21"/>
          <w:szCs w:val="21"/>
        </w:rPr>
        <w:t>2015</w:t>
      </w:r>
      <w:r>
        <w:rPr>
          <w:rFonts w:hint="eastAsia"/>
          <w:sz w:val="21"/>
          <w:szCs w:val="21"/>
          <w:lang w:val="en-US" w:eastAsia="zh-CN"/>
        </w:rPr>
        <w:t>)</w:t>
      </w:r>
      <w:r>
        <w:rPr>
          <w:rFonts w:eastAsia="CharisSIL"/>
          <w:sz w:val="21"/>
          <w:szCs w:val="21"/>
        </w:rPr>
        <w:t xml:space="preserve"> Human exposure to toxic metals via contaminated dust: bio-accumulation trends and their potential risk estimation. Chemosphere</w:t>
      </w:r>
      <w:r>
        <w:rPr>
          <w:sz w:val="21"/>
          <w:szCs w:val="21"/>
        </w:rPr>
        <w:t xml:space="preserve"> </w:t>
      </w:r>
      <w:r>
        <w:rPr>
          <w:rFonts w:eastAsia="CharisSIL"/>
          <w:sz w:val="21"/>
          <w:szCs w:val="21"/>
        </w:rPr>
        <w:t>132</w:t>
      </w:r>
      <w:r>
        <w:rPr>
          <w:sz w:val="21"/>
          <w:szCs w:val="21"/>
        </w:rPr>
        <w:t>:</w:t>
      </w:r>
      <w:r>
        <w:rPr>
          <w:rFonts w:eastAsia="CharisSIL"/>
          <w:sz w:val="21"/>
          <w:szCs w:val="21"/>
        </w:rPr>
        <w:t xml:space="preserve"> 142-151.</w:t>
      </w:r>
    </w:p>
    <w:p>
      <w:pPr>
        <w:autoSpaceDE w:val="0"/>
        <w:spacing w:line="480" w:lineRule="auto"/>
        <w:ind w:left="420" w:hanging="420" w:hangingChars="200"/>
      </w:pPr>
      <w:r>
        <w:t>Norris G</w:t>
      </w:r>
      <w:r>
        <w:rPr>
          <w:rFonts w:hint="eastAsia"/>
          <w:lang w:eastAsia="zh-CN"/>
        </w:rPr>
        <w:t>.</w:t>
      </w:r>
      <w:r>
        <w:t xml:space="preserve"> Duvall R </w:t>
      </w:r>
      <w:r>
        <w:rPr>
          <w:rFonts w:hint="eastAsia"/>
          <w:lang w:val="en-US" w:eastAsia="zh-CN"/>
        </w:rPr>
        <w:t>(</w:t>
      </w:r>
      <w:r>
        <w:t>2014</w:t>
      </w:r>
      <w:r>
        <w:rPr>
          <w:rFonts w:hint="eastAsia"/>
          <w:lang w:val="en-US" w:eastAsia="zh-CN"/>
        </w:rPr>
        <w:t>)</w:t>
      </w:r>
      <w:r>
        <w:t xml:space="preserve"> EPA Positive Matrix Factorization (PMF) 5.0 Fundamentals and User Guide (EPA/600/R-14/108). US EPA.</w:t>
      </w:r>
    </w:p>
    <w:p>
      <w:pPr>
        <w:pStyle w:val="10"/>
        <w:autoSpaceDE w:val="0"/>
        <w:spacing w:before="0" w:beforeAutospacing="0" w:after="0" w:afterAutospacing="0" w:line="480" w:lineRule="auto"/>
        <w:ind w:left="420" w:hanging="420"/>
        <w:rPr>
          <w:rFonts w:eastAsia="CharisSIL"/>
          <w:sz w:val="21"/>
          <w:szCs w:val="21"/>
        </w:rPr>
      </w:pPr>
      <w:r>
        <w:rPr>
          <w:rFonts w:eastAsia="CharisSIL"/>
          <w:sz w:val="21"/>
          <w:szCs w:val="21"/>
        </w:rPr>
        <w:t>Pan</w:t>
      </w:r>
      <w:r>
        <w:rPr>
          <w:sz w:val="21"/>
          <w:szCs w:val="21"/>
        </w:rPr>
        <w:t xml:space="preserve"> H</w:t>
      </w:r>
      <w:r>
        <w:rPr>
          <w:rFonts w:eastAsia="CharisSIL"/>
          <w:sz w:val="21"/>
          <w:szCs w:val="21"/>
        </w:rPr>
        <w:t>, Lu</w:t>
      </w:r>
      <w:r>
        <w:rPr>
          <w:sz w:val="21"/>
          <w:szCs w:val="21"/>
        </w:rPr>
        <w:t xml:space="preserve"> X</w:t>
      </w:r>
      <w:r>
        <w:rPr>
          <w:rFonts w:eastAsia="CharisSIL"/>
          <w:sz w:val="21"/>
          <w:szCs w:val="21"/>
        </w:rPr>
        <w:t>, Lei</w:t>
      </w:r>
      <w:r>
        <w:rPr>
          <w:sz w:val="21"/>
          <w:szCs w:val="21"/>
        </w:rPr>
        <w:t xml:space="preserve"> K</w:t>
      </w:r>
      <w:r>
        <w:rPr>
          <w:rFonts w:hint="eastAsia"/>
          <w:sz w:val="21"/>
          <w:szCs w:val="21"/>
        </w:rPr>
        <w:t xml:space="preserve"> </w:t>
      </w:r>
      <w:r>
        <w:rPr>
          <w:rFonts w:hint="eastAsia"/>
          <w:sz w:val="21"/>
          <w:szCs w:val="21"/>
          <w:lang w:val="en-US" w:eastAsia="zh-CN"/>
        </w:rPr>
        <w:t>(</w:t>
      </w:r>
      <w:r>
        <w:rPr>
          <w:rFonts w:hint="eastAsia"/>
          <w:sz w:val="21"/>
          <w:szCs w:val="21"/>
        </w:rPr>
        <w:t>2017</w:t>
      </w:r>
      <w:r>
        <w:rPr>
          <w:rFonts w:hint="eastAsia"/>
          <w:sz w:val="21"/>
          <w:szCs w:val="21"/>
          <w:lang w:val="en-US" w:eastAsia="zh-CN"/>
        </w:rPr>
        <w:t>)</w:t>
      </w:r>
      <w:r>
        <w:rPr>
          <w:rFonts w:eastAsia="CharisSIL"/>
          <w:sz w:val="21"/>
          <w:szCs w:val="21"/>
        </w:rPr>
        <w:t xml:space="preserve"> A comprehensive analysis of heavy metals in urban road dust of Xi'an, China: Contamination, source apportionment and spatial distribution</w:t>
      </w:r>
      <w:r>
        <w:rPr>
          <w:sz w:val="21"/>
          <w:szCs w:val="21"/>
        </w:rPr>
        <w:t>.</w:t>
      </w:r>
      <w:r>
        <w:rPr>
          <w:rFonts w:eastAsia="CharisSIL"/>
          <w:sz w:val="21"/>
          <w:szCs w:val="21"/>
        </w:rPr>
        <w:t xml:space="preserve"> Science of the Total Environment</w:t>
      </w:r>
      <w:r>
        <w:rPr>
          <w:sz w:val="21"/>
          <w:szCs w:val="21"/>
        </w:rPr>
        <w:t xml:space="preserve"> </w:t>
      </w:r>
      <w:r>
        <w:rPr>
          <w:rFonts w:eastAsia="CharisSIL"/>
          <w:sz w:val="21"/>
          <w:szCs w:val="21"/>
        </w:rPr>
        <w:t>609</w:t>
      </w:r>
      <w:r>
        <w:rPr>
          <w:sz w:val="21"/>
          <w:szCs w:val="21"/>
        </w:rPr>
        <w:t xml:space="preserve">: </w:t>
      </w:r>
      <w:r>
        <w:rPr>
          <w:rFonts w:eastAsia="CharisSIL"/>
          <w:sz w:val="21"/>
          <w:szCs w:val="21"/>
        </w:rPr>
        <w:t>1361-1369</w:t>
      </w:r>
      <w:r>
        <w:rPr>
          <w:sz w:val="21"/>
          <w:szCs w:val="21"/>
        </w:rPr>
        <w:t>.</w:t>
      </w:r>
    </w:p>
    <w:p>
      <w:pPr>
        <w:autoSpaceDE w:val="0"/>
        <w:spacing w:line="480" w:lineRule="auto"/>
        <w:ind w:left="420" w:hanging="420" w:hangingChars="200"/>
      </w:pPr>
      <w:r>
        <w:t>Shi G</w:t>
      </w:r>
      <w:r>
        <w:rPr>
          <w:rFonts w:hint="eastAsia"/>
          <w:lang w:val="en-US" w:eastAsia="zh-CN"/>
        </w:rPr>
        <w:t>,</w:t>
      </w:r>
      <w:r>
        <w:t xml:space="preserve"> Chen Z</w:t>
      </w:r>
      <w:r>
        <w:rPr>
          <w:rFonts w:hint="eastAsia"/>
          <w:lang w:val="en-US" w:eastAsia="zh-CN"/>
        </w:rPr>
        <w:t>,</w:t>
      </w:r>
      <w:r>
        <w:t xml:space="preserve"> Bi C</w:t>
      </w:r>
      <w:r>
        <w:rPr>
          <w:rFonts w:hint="eastAsia"/>
          <w:lang w:val="en-US" w:eastAsia="zh-CN"/>
        </w:rPr>
        <w:t>,</w:t>
      </w:r>
      <w:r>
        <w:t xml:space="preserve"> </w:t>
      </w:r>
      <w:r>
        <w:rPr>
          <w:rFonts w:hint="eastAsia"/>
        </w:rPr>
        <w:t>Wang L</w:t>
      </w:r>
      <w:r>
        <w:rPr>
          <w:rFonts w:hint="eastAsia"/>
          <w:lang w:val="en-US" w:eastAsia="zh-CN"/>
        </w:rPr>
        <w:t>,</w:t>
      </w:r>
      <w:r>
        <w:rPr>
          <w:rFonts w:hint="eastAsia"/>
        </w:rPr>
        <w:t xml:space="preserve"> Teng J</w:t>
      </w:r>
      <w:r>
        <w:rPr>
          <w:rFonts w:hint="eastAsia"/>
          <w:lang w:val="en-US" w:eastAsia="zh-CN"/>
        </w:rPr>
        <w:t>,</w:t>
      </w:r>
      <w:r>
        <w:rPr>
          <w:rFonts w:hint="eastAsia"/>
        </w:rPr>
        <w:t xml:space="preserve"> Li Y</w:t>
      </w:r>
      <w:r>
        <w:rPr>
          <w:rFonts w:hint="eastAsia"/>
          <w:lang w:val="en-US" w:eastAsia="zh-CN"/>
        </w:rPr>
        <w:t>,</w:t>
      </w:r>
      <w:r>
        <w:rPr>
          <w:rFonts w:hint="eastAsia"/>
        </w:rPr>
        <w:t xml:space="preserve"> Xu S</w:t>
      </w:r>
      <w:r>
        <w:t xml:space="preserve"> </w:t>
      </w:r>
      <w:r>
        <w:rPr>
          <w:rFonts w:hint="eastAsia"/>
          <w:lang w:val="en-US" w:eastAsia="zh-CN"/>
        </w:rPr>
        <w:t>(</w:t>
      </w:r>
      <w:r>
        <w:t>2011</w:t>
      </w:r>
      <w:r>
        <w:rPr>
          <w:rFonts w:hint="eastAsia"/>
          <w:lang w:val="en-US" w:eastAsia="zh-CN"/>
        </w:rPr>
        <w:t>)</w:t>
      </w:r>
      <w:r>
        <w:t xml:space="preserve"> A comparative study of health risk of potentially toxic metals in urban and suburban road dust in the most populated city of China. Atmospheric Environment 45</w:t>
      </w:r>
      <w:r>
        <w:rPr>
          <w:rFonts w:hint="eastAsia"/>
          <w:lang w:val="en-US" w:eastAsia="zh-CN"/>
        </w:rPr>
        <w:t>:</w:t>
      </w:r>
      <w:r>
        <w:t xml:space="preserve"> 764-771.</w:t>
      </w:r>
    </w:p>
    <w:p>
      <w:pPr>
        <w:pStyle w:val="10"/>
        <w:autoSpaceDE w:val="0"/>
        <w:spacing w:before="0" w:beforeAutospacing="0" w:after="0" w:afterAutospacing="0" w:line="480" w:lineRule="auto"/>
        <w:ind w:left="420" w:hanging="420"/>
        <w:rPr>
          <w:sz w:val="21"/>
          <w:szCs w:val="21"/>
        </w:rPr>
      </w:pPr>
      <w:r>
        <w:rPr>
          <w:sz w:val="21"/>
          <w:szCs w:val="21"/>
        </w:rPr>
        <w:t>Suryawanshi PV</w:t>
      </w:r>
      <w:r>
        <w:rPr>
          <w:rFonts w:hint="eastAsia"/>
          <w:sz w:val="21"/>
          <w:szCs w:val="21"/>
          <w:lang w:val="en-US" w:eastAsia="zh-CN"/>
        </w:rPr>
        <w:t>,</w:t>
      </w:r>
      <w:r>
        <w:rPr>
          <w:sz w:val="21"/>
          <w:szCs w:val="21"/>
        </w:rPr>
        <w:t xml:space="preserve"> Rajaram</w:t>
      </w:r>
      <w:r>
        <w:rPr>
          <w:rFonts w:hint="eastAsia"/>
          <w:sz w:val="21"/>
          <w:szCs w:val="21"/>
          <w:lang w:val="en-US" w:eastAsia="zh-CN"/>
        </w:rPr>
        <w:t xml:space="preserve"> </w:t>
      </w:r>
      <w:r>
        <w:rPr>
          <w:sz w:val="21"/>
          <w:szCs w:val="21"/>
        </w:rPr>
        <w:t>BS</w:t>
      </w:r>
      <w:r>
        <w:rPr>
          <w:rFonts w:hint="eastAsia"/>
          <w:sz w:val="21"/>
          <w:szCs w:val="21"/>
          <w:lang w:val="en-US" w:eastAsia="zh-CN"/>
        </w:rPr>
        <w:t>,</w:t>
      </w:r>
      <w:r>
        <w:rPr>
          <w:sz w:val="21"/>
          <w:szCs w:val="21"/>
        </w:rPr>
        <w:t xml:space="preserve"> Bjanarkar AD</w:t>
      </w:r>
      <w:r>
        <w:rPr>
          <w:rFonts w:hint="eastAsia"/>
          <w:sz w:val="21"/>
          <w:szCs w:val="21"/>
          <w:lang w:val="en-US" w:eastAsia="zh-CN"/>
        </w:rPr>
        <w:t>,</w:t>
      </w:r>
      <w:r>
        <w:rPr>
          <w:sz w:val="21"/>
          <w:szCs w:val="21"/>
        </w:rPr>
        <w:t xml:space="preserve"> </w:t>
      </w:r>
      <w:r>
        <w:rPr>
          <w:rFonts w:hint="eastAsia"/>
          <w:sz w:val="21"/>
          <w:szCs w:val="21"/>
        </w:rPr>
        <w:t xml:space="preserve">Rao CVC </w:t>
      </w:r>
      <w:r>
        <w:rPr>
          <w:rFonts w:hint="eastAsia"/>
          <w:sz w:val="21"/>
          <w:szCs w:val="21"/>
          <w:lang w:val="en-US" w:eastAsia="zh-CN"/>
        </w:rPr>
        <w:t>(</w:t>
      </w:r>
      <w:r>
        <w:rPr>
          <w:rFonts w:hint="eastAsia"/>
          <w:sz w:val="21"/>
          <w:szCs w:val="21"/>
        </w:rPr>
        <w:t>2016</w:t>
      </w:r>
      <w:r>
        <w:rPr>
          <w:rFonts w:hint="eastAsia"/>
          <w:sz w:val="21"/>
          <w:szCs w:val="21"/>
          <w:lang w:val="en-US" w:eastAsia="zh-CN"/>
        </w:rPr>
        <w:t>)</w:t>
      </w:r>
      <w:r>
        <w:rPr>
          <w:sz w:val="21"/>
          <w:szCs w:val="21"/>
        </w:rPr>
        <w:t xml:space="preserve"> Determining heavy metal contamination of road dust in Delhi, India. Atmósfera 29: 221-234.</w:t>
      </w:r>
    </w:p>
    <w:p>
      <w:pPr>
        <w:pStyle w:val="10"/>
        <w:autoSpaceDE w:val="0"/>
        <w:spacing w:before="0" w:beforeAutospacing="0" w:after="0" w:afterAutospacing="0" w:line="480" w:lineRule="auto"/>
        <w:ind w:left="420" w:hanging="420"/>
        <w:rPr>
          <w:rFonts w:eastAsia="CharisSIL"/>
          <w:sz w:val="21"/>
          <w:szCs w:val="21"/>
          <w:highlight w:val="yellow"/>
        </w:rPr>
      </w:pPr>
      <w:r>
        <w:rPr>
          <w:rFonts w:eastAsia="CharisSIL"/>
          <w:sz w:val="21"/>
          <w:szCs w:val="21"/>
        </w:rPr>
        <w:t>Tang</w:t>
      </w:r>
      <w:r>
        <w:rPr>
          <w:sz w:val="21"/>
          <w:szCs w:val="21"/>
        </w:rPr>
        <w:t xml:space="preserve"> Z</w:t>
      </w:r>
      <w:r>
        <w:rPr>
          <w:rFonts w:hint="eastAsia"/>
          <w:sz w:val="21"/>
          <w:szCs w:val="21"/>
          <w:lang w:val="en-US" w:eastAsia="zh-CN"/>
        </w:rPr>
        <w:t>,</w:t>
      </w:r>
      <w:r>
        <w:rPr>
          <w:rFonts w:eastAsia="CharisSIL"/>
          <w:sz w:val="21"/>
          <w:szCs w:val="21"/>
        </w:rPr>
        <w:t xml:space="preserve"> Chai</w:t>
      </w:r>
      <w:r>
        <w:rPr>
          <w:sz w:val="21"/>
          <w:szCs w:val="21"/>
        </w:rPr>
        <w:t xml:space="preserve"> M</w:t>
      </w:r>
      <w:r>
        <w:rPr>
          <w:rFonts w:hint="eastAsia"/>
          <w:sz w:val="21"/>
          <w:szCs w:val="21"/>
          <w:lang w:val="en-US" w:eastAsia="zh-CN"/>
        </w:rPr>
        <w:t>,</w:t>
      </w:r>
      <w:r>
        <w:rPr>
          <w:rFonts w:eastAsia="CharisSIL"/>
          <w:sz w:val="21"/>
          <w:szCs w:val="21"/>
        </w:rPr>
        <w:t xml:space="preserve"> Cheng</w:t>
      </w:r>
      <w:r>
        <w:rPr>
          <w:sz w:val="21"/>
          <w:szCs w:val="21"/>
        </w:rPr>
        <w:t xml:space="preserve"> J</w:t>
      </w:r>
      <w:r>
        <w:rPr>
          <w:rFonts w:hint="eastAsia"/>
          <w:sz w:val="21"/>
          <w:szCs w:val="21"/>
          <w:lang w:val="en-US" w:eastAsia="zh-CN"/>
        </w:rPr>
        <w:t>,</w:t>
      </w:r>
      <w:r>
        <w:rPr>
          <w:rFonts w:eastAsia="CharisSIL"/>
          <w:sz w:val="21"/>
          <w:szCs w:val="21"/>
        </w:rPr>
        <w:t xml:space="preserve"> </w:t>
      </w:r>
      <w:r>
        <w:rPr>
          <w:rFonts w:hint="eastAsia"/>
          <w:sz w:val="21"/>
          <w:szCs w:val="21"/>
        </w:rPr>
        <w:t>Jin J</w:t>
      </w:r>
      <w:r>
        <w:rPr>
          <w:rFonts w:hint="eastAsia"/>
          <w:sz w:val="21"/>
          <w:szCs w:val="21"/>
          <w:lang w:val="en-US" w:eastAsia="zh-CN"/>
        </w:rPr>
        <w:t>,</w:t>
      </w:r>
      <w:r>
        <w:rPr>
          <w:rFonts w:hint="eastAsia"/>
          <w:sz w:val="21"/>
          <w:szCs w:val="21"/>
        </w:rPr>
        <w:t xml:space="preserve"> Yang Y</w:t>
      </w:r>
      <w:r>
        <w:rPr>
          <w:rFonts w:hint="eastAsia"/>
          <w:sz w:val="21"/>
          <w:szCs w:val="21"/>
          <w:lang w:val="en-US" w:eastAsia="zh-CN"/>
        </w:rPr>
        <w:t>,</w:t>
      </w:r>
      <w:r>
        <w:rPr>
          <w:rFonts w:hint="eastAsia"/>
          <w:sz w:val="21"/>
          <w:szCs w:val="21"/>
        </w:rPr>
        <w:t xml:space="preserve"> Nie Z</w:t>
      </w:r>
      <w:r>
        <w:rPr>
          <w:rFonts w:hint="eastAsia"/>
          <w:sz w:val="21"/>
          <w:szCs w:val="21"/>
          <w:lang w:val="en-US" w:eastAsia="zh-CN"/>
        </w:rPr>
        <w:t>,</w:t>
      </w:r>
      <w:r>
        <w:rPr>
          <w:rFonts w:hint="eastAsia"/>
          <w:sz w:val="21"/>
          <w:szCs w:val="21"/>
        </w:rPr>
        <w:t xml:space="preserve"> Huang Q</w:t>
      </w:r>
      <w:r>
        <w:rPr>
          <w:rFonts w:hint="eastAsia"/>
          <w:sz w:val="21"/>
          <w:szCs w:val="21"/>
          <w:lang w:val="en-US" w:eastAsia="zh-CN"/>
        </w:rPr>
        <w:t>,</w:t>
      </w:r>
      <w:r>
        <w:rPr>
          <w:rFonts w:hint="eastAsia"/>
          <w:sz w:val="21"/>
          <w:szCs w:val="21"/>
        </w:rPr>
        <w:t xml:space="preserve"> Li Y </w:t>
      </w:r>
      <w:r>
        <w:rPr>
          <w:rFonts w:hint="eastAsia"/>
          <w:sz w:val="21"/>
          <w:szCs w:val="21"/>
          <w:lang w:val="en-US" w:eastAsia="zh-CN"/>
        </w:rPr>
        <w:t>(</w:t>
      </w:r>
      <w:r>
        <w:rPr>
          <w:rFonts w:hint="eastAsia"/>
          <w:sz w:val="21"/>
          <w:szCs w:val="21"/>
        </w:rPr>
        <w:t>2017</w:t>
      </w:r>
      <w:r>
        <w:rPr>
          <w:rFonts w:hint="eastAsia"/>
          <w:sz w:val="21"/>
          <w:szCs w:val="21"/>
          <w:lang w:val="en-US" w:eastAsia="zh-CN"/>
        </w:rPr>
        <w:t>)</w:t>
      </w:r>
      <w:r>
        <w:rPr>
          <w:rFonts w:eastAsia="CharisSIL"/>
          <w:sz w:val="21"/>
          <w:szCs w:val="21"/>
        </w:rPr>
        <w:t xml:space="preserve"> Contamination and health risks of heavy metals in street dust from a coalmining city in eastern China. Ecotoxicology and Environmental Safety 138</w:t>
      </w:r>
      <w:r>
        <w:rPr>
          <w:sz w:val="21"/>
          <w:szCs w:val="21"/>
        </w:rPr>
        <w:t>:</w:t>
      </w:r>
      <w:r>
        <w:rPr>
          <w:rFonts w:eastAsia="CharisSIL"/>
          <w:sz w:val="21"/>
          <w:szCs w:val="21"/>
        </w:rPr>
        <w:t xml:space="preserve"> 83-91.</w:t>
      </w:r>
    </w:p>
    <w:p>
      <w:pPr>
        <w:autoSpaceDE w:val="0"/>
        <w:spacing w:line="480" w:lineRule="auto"/>
        <w:ind w:left="420" w:hanging="420" w:hangingChars="200"/>
      </w:pPr>
      <w:r>
        <w:t>US EPA (Unit</w:t>
      </w:r>
      <w:r>
        <w:rPr>
          <w:rFonts w:hint="eastAsia"/>
        </w:rPr>
        <w:t>ed</w:t>
      </w:r>
      <w:r>
        <w:t xml:space="preserve"> State Environmental Protection Agency), 2011. Exposure Factors Handbook. 2011 Edition. National Center for Environmental Assessment. Washington, DC. Office of Research and Development 20460. (EPA/600/R-09/052F)</w:t>
      </w:r>
    </w:p>
    <w:p>
      <w:pPr>
        <w:autoSpaceDE w:val="0"/>
        <w:spacing w:line="480" w:lineRule="auto"/>
        <w:ind w:left="420" w:hanging="420" w:hangingChars="200"/>
        <w:rPr>
          <w:bCs/>
        </w:rPr>
      </w:pPr>
      <w:r>
        <w:rPr>
          <w:bCs/>
        </w:rPr>
        <w:t>US EPA (United States Environmental Protection Agency), 2001. Supplemental Guidance for Developing Soil Screening Level for Superfund Sites. OSWER 9355, 4-24. Office of Solid Waste and Emergency Response; U.S. Environmental Protection Agency, Washington, DC, USA.</w:t>
      </w:r>
    </w:p>
    <w:p>
      <w:pPr>
        <w:autoSpaceDE w:val="0"/>
        <w:spacing w:line="480" w:lineRule="auto"/>
        <w:ind w:left="420" w:hanging="420" w:hangingChars="200"/>
        <w:rPr>
          <w:highlight w:val="yellow"/>
        </w:rPr>
      </w:pPr>
      <w:r>
        <w:rPr>
          <w:bCs/>
        </w:rPr>
        <w:t>US EPA (United States Environmental Protection Agency), 2019. Regional Screening Levels (RSLs), Generic Tables.</w:t>
      </w:r>
    </w:p>
    <w:p>
      <w:pPr>
        <w:pStyle w:val="10"/>
        <w:autoSpaceDE w:val="0"/>
        <w:spacing w:before="0" w:beforeAutospacing="0" w:after="0" w:afterAutospacing="0" w:line="480" w:lineRule="auto"/>
        <w:ind w:left="420" w:hanging="420"/>
        <w:rPr>
          <w:sz w:val="21"/>
          <w:szCs w:val="21"/>
        </w:rPr>
      </w:pPr>
      <w:r>
        <w:rPr>
          <w:sz w:val="21"/>
          <w:szCs w:val="21"/>
        </w:rPr>
        <w:t>Valotto G</w:t>
      </w:r>
      <w:r>
        <w:rPr>
          <w:rFonts w:hint="eastAsia"/>
          <w:sz w:val="21"/>
          <w:szCs w:val="21"/>
          <w:lang w:val="en-US" w:eastAsia="zh-CN"/>
        </w:rPr>
        <w:t>,</w:t>
      </w:r>
      <w:r>
        <w:rPr>
          <w:sz w:val="21"/>
          <w:szCs w:val="21"/>
        </w:rPr>
        <w:t xml:space="preserve"> Rampazzo G</w:t>
      </w:r>
      <w:r>
        <w:rPr>
          <w:rFonts w:hint="eastAsia"/>
          <w:sz w:val="21"/>
          <w:szCs w:val="21"/>
          <w:lang w:val="en-US" w:eastAsia="zh-CN"/>
        </w:rPr>
        <w:t>,</w:t>
      </w:r>
      <w:r>
        <w:rPr>
          <w:sz w:val="21"/>
          <w:szCs w:val="21"/>
        </w:rPr>
        <w:t xml:space="preserve"> Visin F</w:t>
      </w:r>
      <w:r>
        <w:rPr>
          <w:rFonts w:hint="eastAsia"/>
          <w:sz w:val="21"/>
          <w:szCs w:val="21"/>
          <w:lang w:val="en-US" w:eastAsia="zh-CN"/>
        </w:rPr>
        <w:t>,</w:t>
      </w:r>
      <w:r>
        <w:rPr>
          <w:sz w:val="21"/>
          <w:szCs w:val="21"/>
        </w:rPr>
        <w:t xml:space="preserve"> Gonella F</w:t>
      </w:r>
      <w:r>
        <w:rPr>
          <w:rFonts w:hint="eastAsia"/>
          <w:sz w:val="21"/>
          <w:szCs w:val="21"/>
          <w:lang w:val="en-US" w:eastAsia="zh-CN"/>
        </w:rPr>
        <w:t>,</w:t>
      </w:r>
      <w:r>
        <w:rPr>
          <w:sz w:val="21"/>
          <w:szCs w:val="21"/>
        </w:rPr>
        <w:t xml:space="preserve"> Cattaruzza E</w:t>
      </w:r>
      <w:r>
        <w:rPr>
          <w:rFonts w:hint="eastAsia"/>
          <w:sz w:val="21"/>
          <w:szCs w:val="21"/>
          <w:lang w:val="en-US" w:eastAsia="zh-CN"/>
        </w:rPr>
        <w:t>,</w:t>
      </w:r>
      <w:r>
        <w:rPr>
          <w:sz w:val="21"/>
          <w:szCs w:val="21"/>
        </w:rPr>
        <w:t xml:space="preserve"> Glisenti A</w:t>
      </w:r>
      <w:r>
        <w:rPr>
          <w:rFonts w:hint="eastAsia"/>
          <w:sz w:val="21"/>
          <w:szCs w:val="21"/>
          <w:lang w:val="en-US" w:eastAsia="zh-CN"/>
        </w:rPr>
        <w:t>,</w:t>
      </w:r>
      <w:r>
        <w:rPr>
          <w:sz w:val="21"/>
          <w:szCs w:val="21"/>
        </w:rPr>
        <w:t xml:space="preserve"> Formenton G</w:t>
      </w:r>
      <w:r>
        <w:rPr>
          <w:rFonts w:hint="eastAsia"/>
          <w:sz w:val="21"/>
          <w:szCs w:val="21"/>
          <w:lang w:val="en-US" w:eastAsia="zh-CN"/>
        </w:rPr>
        <w:t>,</w:t>
      </w:r>
      <w:r>
        <w:rPr>
          <w:sz w:val="21"/>
          <w:szCs w:val="21"/>
        </w:rPr>
        <w:t xml:space="preserve"> Tieppo P </w:t>
      </w:r>
      <w:r>
        <w:rPr>
          <w:rFonts w:hint="eastAsia"/>
          <w:sz w:val="21"/>
          <w:szCs w:val="21"/>
          <w:lang w:val="en-US" w:eastAsia="zh-CN"/>
        </w:rPr>
        <w:t>(</w:t>
      </w:r>
      <w:r>
        <w:rPr>
          <w:sz w:val="21"/>
          <w:szCs w:val="21"/>
        </w:rPr>
        <w:t>2015</w:t>
      </w:r>
      <w:r>
        <w:rPr>
          <w:rFonts w:hint="eastAsia"/>
          <w:sz w:val="21"/>
          <w:szCs w:val="21"/>
          <w:lang w:val="en-US" w:eastAsia="zh-CN"/>
        </w:rPr>
        <w:t>)</w:t>
      </w:r>
      <w:r>
        <w:rPr>
          <w:sz w:val="21"/>
          <w:szCs w:val="21"/>
        </w:rPr>
        <w:t xml:space="preserve"> Environmental and traffic-related parameters affecting road dust composition: A multi-technique approach applied to Venice area (Italy). Atmospheric Environment 122: 596-608.</w:t>
      </w:r>
    </w:p>
    <w:p>
      <w:pPr>
        <w:spacing w:line="480" w:lineRule="auto"/>
        <w:ind w:left="420" w:hanging="420" w:hangingChars="200"/>
      </w:pPr>
      <w:r>
        <w:t>Wang LJ</w:t>
      </w:r>
      <w:r>
        <w:rPr>
          <w:rFonts w:hint="eastAsia"/>
          <w:lang w:val="en-US" w:eastAsia="zh-CN"/>
        </w:rPr>
        <w:t>,</w:t>
      </w:r>
      <w:r>
        <w:t xml:space="preserve"> Lu XW</w:t>
      </w:r>
      <w:r>
        <w:rPr>
          <w:rFonts w:hint="eastAsia"/>
          <w:lang w:val="en-US" w:eastAsia="zh-CN"/>
        </w:rPr>
        <w:t>,</w:t>
      </w:r>
      <w:r>
        <w:t xml:space="preserve"> Li LY</w:t>
      </w:r>
      <w:r>
        <w:rPr>
          <w:rFonts w:hint="eastAsia"/>
          <w:lang w:val="en-US" w:eastAsia="zh-CN"/>
        </w:rPr>
        <w:t>,</w:t>
      </w:r>
      <w:r>
        <w:t xml:space="preserve"> Ren XH</w:t>
      </w:r>
      <w:r>
        <w:rPr>
          <w:rFonts w:hint="eastAsia"/>
          <w:lang w:val="en-US" w:eastAsia="zh-CN"/>
        </w:rPr>
        <w:t xml:space="preserve">, </w:t>
      </w:r>
      <w:r>
        <w:t>Luo DC</w:t>
      </w:r>
      <w:r>
        <w:rPr>
          <w:rFonts w:hint="eastAsia"/>
          <w:lang w:val="en-US" w:eastAsia="zh-CN"/>
        </w:rPr>
        <w:t>,</w:t>
      </w:r>
      <w:r>
        <w:t xml:space="preserve"> Chen JH </w:t>
      </w:r>
      <w:r>
        <w:rPr>
          <w:rFonts w:hint="eastAsia"/>
          <w:lang w:val="en-US" w:eastAsia="zh-CN"/>
        </w:rPr>
        <w:t>(</w:t>
      </w:r>
      <w:r>
        <w:t>2015</w:t>
      </w:r>
      <w:r>
        <w:rPr>
          <w:rFonts w:hint="eastAsia"/>
          <w:lang w:val="en-US" w:eastAsia="zh-CN"/>
        </w:rPr>
        <w:t>)</w:t>
      </w:r>
      <w:r>
        <w:t xml:space="preserve"> Content, speciation and pollution assessment of Cu, Pb and Zn in soil around the lead–zinc smelting plant of Baoji, NW China. Environmental Earth Sciences 73</w:t>
      </w:r>
      <w:r>
        <w:rPr>
          <w:rFonts w:hint="eastAsia"/>
          <w:lang w:val="en-US" w:eastAsia="zh-CN"/>
        </w:rPr>
        <w:t>:</w:t>
      </w:r>
      <w:r>
        <w:t xml:space="preserve"> 5281</w:t>
      </w:r>
      <w:r>
        <w:rPr>
          <w:bCs/>
        </w:rPr>
        <w:t>–</w:t>
      </w:r>
      <w:r>
        <w:t>5288.</w:t>
      </w:r>
    </w:p>
    <w:p>
      <w:pPr>
        <w:pStyle w:val="10"/>
        <w:autoSpaceDE w:val="0"/>
        <w:spacing w:before="0" w:beforeAutospacing="0" w:after="0" w:afterAutospacing="0" w:line="480" w:lineRule="auto"/>
        <w:ind w:left="420" w:hanging="420"/>
        <w:rPr>
          <w:sz w:val="21"/>
          <w:szCs w:val="21"/>
        </w:rPr>
      </w:pPr>
      <w:r>
        <w:rPr>
          <w:sz w:val="21"/>
          <w:szCs w:val="21"/>
        </w:rPr>
        <w:t>Wang LJ</w:t>
      </w:r>
      <w:r>
        <w:rPr>
          <w:rFonts w:hint="eastAsia"/>
          <w:sz w:val="21"/>
          <w:szCs w:val="21"/>
          <w:lang w:val="en-US" w:eastAsia="zh-CN"/>
        </w:rPr>
        <w:t>,</w:t>
      </w:r>
      <w:r>
        <w:rPr>
          <w:sz w:val="21"/>
          <w:szCs w:val="21"/>
        </w:rPr>
        <w:t xml:space="preserve"> Tao WD</w:t>
      </w:r>
      <w:r>
        <w:rPr>
          <w:rFonts w:hint="eastAsia"/>
          <w:sz w:val="21"/>
          <w:szCs w:val="21"/>
          <w:lang w:val="en-US" w:eastAsia="zh-CN"/>
        </w:rPr>
        <w:t>,</w:t>
      </w:r>
      <w:r>
        <w:rPr>
          <w:sz w:val="21"/>
          <w:szCs w:val="21"/>
        </w:rPr>
        <w:t xml:space="preserve"> Smardon RC</w:t>
      </w:r>
      <w:r>
        <w:rPr>
          <w:rFonts w:hint="eastAsia"/>
          <w:sz w:val="21"/>
          <w:szCs w:val="21"/>
          <w:lang w:val="en-US" w:eastAsia="zh-CN"/>
        </w:rPr>
        <w:t>,</w:t>
      </w:r>
      <w:r>
        <w:rPr>
          <w:sz w:val="21"/>
          <w:szCs w:val="21"/>
        </w:rPr>
        <w:t xml:space="preserve"> Xu X</w:t>
      </w:r>
      <w:r>
        <w:rPr>
          <w:rFonts w:hint="eastAsia"/>
          <w:sz w:val="21"/>
          <w:szCs w:val="21"/>
          <w:lang w:val="en-US" w:eastAsia="zh-CN"/>
        </w:rPr>
        <w:t>,</w:t>
      </w:r>
      <w:r>
        <w:rPr>
          <w:sz w:val="21"/>
          <w:szCs w:val="21"/>
        </w:rPr>
        <w:t xml:space="preserve"> Lu XW </w:t>
      </w:r>
      <w:r>
        <w:rPr>
          <w:rFonts w:hint="eastAsia"/>
          <w:sz w:val="21"/>
          <w:szCs w:val="21"/>
          <w:lang w:val="en-US" w:eastAsia="zh-CN"/>
        </w:rPr>
        <w:t>(</w:t>
      </w:r>
      <w:r>
        <w:rPr>
          <w:sz w:val="21"/>
          <w:szCs w:val="21"/>
        </w:rPr>
        <w:t>2018</w:t>
      </w:r>
      <w:r>
        <w:rPr>
          <w:rFonts w:hint="eastAsia"/>
          <w:sz w:val="21"/>
          <w:szCs w:val="21"/>
          <w:lang w:val="en-US" w:eastAsia="zh-CN"/>
        </w:rPr>
        <w:t>)</w:t>
      </w:r>
      <w:r>
        <w:rPr>
          <w:sz w:val="21"/>
          <w:szCs w:val="21"/>
        </w:rPr>
        <w:t xml:space="preserve"> Speciation, sources and risk assessment of heavy metals in suburban vegetable garden soil of Xianyang City, Northwest China. Frontiers of Earth Science</w:t>
      </w:r>
      <w:r>
        <w:rPr>
          <w:rFonts w:hint="eastAsia"/>
          <w:sz w:val="21"/>
          <w:szCs w:val="21"/>
        </w:rPr>
        <w:t xml:space="preserve"> </w:t>
      </w:r>
      <w:r>
        <w:rPr>
          <w:sz w:val="21"/>
          <w:szCs w:val="21"/>
        </w:rPr>
        <w:t>12</w:t>
      </w:r>
      <w:r>
        <w:rPr>
          <w:rFonts w:hint="eastAsia"/>
          <w:sz w:val="21"/>
          <w:szCs w:val="21"/>
          <w:lang w:val="en-US" w:eastAsia="zh-CN"/>
        </w:rPr>
        <w:t>:</w:t>
      </w:r>
      <w:r>
        <w:rPr>
          <w:sz w:val="21"/>
          <w:szCs w:val="21"/>
        </w:rPr>
        <w:t xml:space="preserve"> 397–407.</w:t>
      </w:r>
    </w:p>
    <w:p>
      <w:pPr>
        <w:pStyle w:val="10"/>
        <w:autoSpaceDE w:val="0"/>
        <w:spacing w:before="0" w:beforeAutospacing="0" w:after="0" w:afterAutospacing="0" w:line="480" w:lineRule="auto"/>
        <w:ind w:left="420" w:hanging="420"/>
        <w:rPr>
          <w:rFonts w:eastAsia="CharisSIL"/>
          <w:sz w:val="21"/>
          <w:szCs w:val="21"/>
        </w:rPr>
      </w:pPr>
      <w:r>
        <w:rPr>
          <w:rFonts w:eastAsia="CharisSIL"/>
          <w:sz w:val="21"/>
          <w:szCs w:val="21"/>
        </w:rPr>
        <w:t>Yu B</w:t>
      </w:r>
      <w:r>
        <w:rPr>
          <w:rFonts w:hint="eastAsia"/>
          <w:sz w:val="21"/>
          <w:szCs w:val="21"/>
          <w:lang w:val="en-US" w:eastAsia="zh-CN"/>
        </w:rPr>
        <w:t>,</w:t>
      </w:r>
      <w:r>
        <w:rPr>
          <w:rFonts w:eastAsia="CharisSIL"/>
          <w:sz w:val="21"/>
          <w:szCs w:val="21"/>
        </w:rPr>
        <w:t xml:space="preserve"> Wang Y</w:t>
      </w:r>
      <w:r>
        <w:rPr>
          <w:rFonts w:hint="eastAsia"/>
          <w:sz w:val="21"/>
          <w:szCs w:val="21"/>
          <w:lang w:val="en-US" w:eastAsia="zh-CN"/>
        </w:rPr>
        <w:t>,</w:t>
      </w:r>
      <w:r>
        <w:rPr>
          <w:rFonts w:eastAsia="CharisSIL"/>
          <w:sz w:val="21"/>
          <w:szCs w:val="21"/>
        </w:rPr>
        <w:t xml:space="preserve"> Zhou Q</w:t>
      </w:r>
      <w:r>
        <w:rPr>
          <w:rFonts w:hint="eastAsia"/>
          <w:sz w:val="21"/>
          <w:szCs w:val="21"/>
        </w:rPr>
        <w:t xml:space="preserve"> </w:t>
      </w:r>
      <w:r>
        <w:rPr>
          <w:rFonts w:hint="eastAsia"/>
          <w:sz w:val="21"/>
          <w:szCs w:val="21"/>
          <w:lang w:val="en-US" w:eastAsia="zh-CN"/>
        </w:rPr>
        <w:t>(</w:t>
      </w:r>
      <w:r>
        <w:rPr>
          <w:rFonts w:hint="eastAsia"/>
          <w:sz w:val="21"/>
          <w:szCs w:val="21"/>
        </w:rPr>
        <w:t>2014</w:t>
      </w:r>
      <w:r>
        <w:rPr>
          <w:rFonts w:hint="eastAsia"/>
          <w:sz w:val="21"/>
          <w:szCs w:val="21"/>
          <w:lang w:val="en-US" w:eastAsia="zh-CN"/>
        </w:rPr>
        <w:t>)</w:t>
      </w:r>
      <w:r>
        <w:rPr>
          <w:rFonts w:eastAsia="CharisSIL"/>
          <w:sz w:val="21"/>
          <w:szCs w:val="21"/>
        </w:rPr>
        <w:t xml:space="preserve"> Human health risk assessment based on toxicity characteristic leaching procedure and simple bioaccessibility extraction test of toxic metals in urban street dust of Tianjin, China. PL</w:t>
      </w:r>
      <w:r>
        <w:rPr>
          <w:sz w:val="21"/>
          <w:szCs w:val="21"/>
        </w:rPr>
        <w:t>O</w:t>
      </w:r>
      <w:r>
        <w:rPr>
          <w:rFonts w:eastAsia="CharisSIL"/>
          <w:sz w:val="21"/>
          <w:szCs w:val="21"/>
        </w:rPr>
        <w:t>S One 9</w:t>
      </w:r>
      <w:r>
        <w:rPr>
          <w:sz w:val="21"/>
          <w:szCs w:val="21"/>
        </w:rPr>
        <w:t>:</w:t>
      </w:r>
      <w:r>
        <w:rPr>
          <w:rFonts w:eastAsia="CharisSIL"/>
          <w:sz w:val="21"/>
          <w:szCs w:val="21"/>
        </w:rPr>
        <w:t xml:space="preserve"> e92459.</w:t>
      </w:r>
    </w:p>
    <w:p>
      <w:pPr>
        <w:pStyle w:val="10"/>
        <w:autoSpaceDE w:val="0"/>
        <w:spacing w:before="0" w:beforeAutospacing="0" w:after="0" w:afterAutospacing="0" w:line="480" w:lineRule="auto"/>
        <w:ind w:left="420" w:hanging="420"/>
        <w:rPr>
          <w:sz w:val="21"/>
          <w:szCs w:val="21"/>
        </w:rPr>
      </w:pPr>
      <w:r>
        <w:rPr>
          <w:sz w:val="21"/>
          <w:szCs w:val="21"/>
        </w:rPr>
        <w:t>Zhang M</w:t>
      </w:r>
      <w:r>
        <w:rPr>
          <w:rFonts w:hint="eastAsia"/>
          <w:sz w:val="21"/>
          <w:szCs w:val="21"/>
          <w:lang w:val="en-US" w:eastAsia="zh-CN"/>
        </w:rPr>
        <w:t>,</w:t>
      </w:r>
      <w:r>
        <w:rPr>
          <w:sz w:val="21"/>
          <w:szCs w:val="21"/>
        </w:rPr>
        <w:t xml:space="preserve"> Wang</w:t>
      </w:r>
      <w:r>
        <w:rPr>
          <w:rFonts w:hint="eastAsia"/>
          <w:sz w:val="21"/>
          <w:szCs w:val="21"/>
        </w:rPr>
        <w:t>,</w:t>
      </w:r>
      <w:r>
        <w:rPr>
          <w:sz w:val="21"/>
          <w:szCs w:val="21"/>
        </w:rPr>
        <w:t xml:space="preserve"> H</w:t>
      </w:r>
      <w:r>
        <w:rPr>
          <w:rFonts w:hint="eastAsia"/>
          <w:sz w:val="21"/>
          <w:szCs w:val="21"/>
        </w:rPr>
        <w:t xml:space="preserve"> </w:t>
      </w:r>
      <w:r>
        <w:rPr>
          <w:rFonts w:hint="eastAsia"/>
          <w:sz w:val="21"/>
          <w:szCs w:val="21"/>
          <w:lang w:val="en-US" w:eastAsia="zh-CN"/>
        </w:rPr>
        <w:t>(</w:t>
      </w:r>
      <w:r>
        <w:rPr>
          <w:rFonts w:hint="eastAsia"/>
          <w:sz w:val="21"/>
          <w:szCs w:val="21"/>
        </w:rPr>
        <w:t>2009</w:t>
      </w:r>
      <w:r>
        <w:rPr>
          <w:rFonts w:hint="eastAsia"/>
          <w:sz w:val="21"/>
          <w:szCs w:val="21"/>
          <w:lang w:val="en-US" w:eastAsia="zh-CN"/>
        </w:rPr>
        <w:t>)</w:t>
      </w:r>
      <w:r>
        <w:rPr>
          <w:sz w:val="21"/>
          <w:szCs w:val="21"/>
        </w:rPr>
        <w:t xml:space="preserve"> Concentrations and chemical forms of potentially toxic metals in road-deposited sediments from different zones of Hangzhou, China. Journal of Environmental Science 21: 625-631.</w:t>
      </w:r>
    </w:p>
    <w:p>
      <w:pPr>
        <w:pStyle w:val="10"/>
        <w:autoSpaceDE w:val="0"/>
        <w:spacing w:before="0" w:beforeAutospacing="0" w:after="0" w:afterAutospacing="0" w:line="480" w:lineRule="auto"/>
        <w:ind w:left="420" w:hanging="420"/>
        <w:rPr>
          <w:sz w:val="21"/>
          <w:szCs w:val="21"/>
          <w:highlight w:val="yellow"/>
        </w:rPr>
      </w:pPr>
      <w:r>
        <w:rPr>
          <w:sz w:val="21"/>
          <w:szCs w:val="21"/>
        </w:rPr>
        <w:t>Zhao L</w:t>
      </w:r>
      <w:r>
        <w:rPr>
          <w:rFonts w:hint="eastAsia"/>
          <w:sz w:val="21"/>
          <w:szCs w:val="21"/>
          <w:lang w:val="en-US" w:eastAsia="zh-CN"/>
        </w:rPr>
        <w:t>,</w:t>
      </w:r>
      <w:r>
        <w:rPr>
          <w:sz w:val="21"/>
          <w:szCs w:val="21"/>
        </w:rPr>
        <w:t xml:space="preserve"> Hu G</w:t>
      </w:r>
      <w:r>
        <w:rPr>
          <w:rFonts w:hint="eastAsia"/>
          <w:sz w:val="21"/>
          <w:szCs w:val="21"/>
          <w:lang w:val="en-US" w:eastAsia="zh-CN"/>
        </w:rPr>
        <w:t>,</w:t>
      </w:r>
      <w:r>
        <w:rPr>
          <w:sz w:val="21"/>
          <w:szCs w:val="21"/>
        </w:rPr>
        <w:t xml:space="preserve"> Yan Y</w:t>
      </w:r>
      <w:r>
        <w:rPr>
          <w:rFonts w:hint="eastAsia"/>
          <w:sz w:val="21"/>
          <w:szCs w:val="21"/>
          <w:lang w:val="en-US" w:eastAsia="zh-CN"/>
        </w:rPr>
        <w:t>,</w:t>
      </w:r>
      <w:r>
        <w:rPr>
          <w:sz w:val="21"/>
          <w:szCs w:val="21"/>
        </w:rPr>
        <w:t xml:space="preserve"> </w:t>
      </w:r>
      <w:r>
        <w:rPr>
          <w:rFonts w:hint="eastAsia"/>
          <w:sz w:val="21"/>
          <w:szCs w:val="21"/>
        </w:rPr>
        <w:t>Yu R</w:t>
      </w:r>
      <w:r>
        <w:rPr>
          <w:rFonts w:hint="eastAsia"/>
          <w:sz w:val="21"/>
          <w:szCs w:val="21"/>
          <w:lang w:val="en-US" w:eastAsia="zh-CN"/>
        </w:rPr>
        <w:t>,</w:t>
      </w:r>
      <w:r>
        <w:rPr>
          <w:rFonts w:hint="eastAsia"/>
          <w:sz w:val="21"/>
          <w:szCs w:val="21"/>
        </w:rPr>
        <w:t xml:space="preserve"> Cui J</w:t>
      </w:r>
      <w:r>
        <w:rPr>
          <w:rFonts w:hint="eastAsia"/>
          <w:sz w:val="21"/>
          <w:szCs w:val="21"/>
          <w:lang w:val="en-US" w:eastAsia="zh-CN"/>
        </w:rPr>
        <w:t>,</w:t>
      </w:r>
      <w:r>
        <w:rPr>
          <w:rFonts w:hint="eastAsia"/>
          <w:sz w:val="21"/>
          <w:szCs w:val="21"/>
        </w:rPr>
        <w:t xml:space="preserve"> Wang X</w:t>
      </w:r>
      <w:r>
        <w:rPr>
          <w:rFonts w:hint="eastAsia"/>
          <w:sz w:val="21"/>
          <w:szCs w:val="21"/>
          <w:lang w:val="en-US" w:eastAsia="zh-CN"/>
        </w:rPr>
        <w:t>,</w:t>
      </w:r>
      <w:r>
        <w:rPr>
          <w:rFonts w:hint="eastAsia"/>
          <w:sz w:val="21"/>
          <w:szCs w:val="21"/>
        </w:rPr>
        <w:t xml:space="preserve"> Yan Y</w:t>
      </w:r>
      <w:r>
        <w:rPr>
          <w:sz w:val="21"/>
          <w:szCs w:val="21"/>
        </w:rPr>
        <w:t xml:space="preserve"> </w:t>
      </w:r>
      <w:r>
        <w:rPr>
          <w:rFonts w:hint="eastAsia"/>
          <w:sz w:val="21"/>
          <w:szCs w:val="21"/>
          <w:lang w:val="en-US" w:eastAsia="zh-CN"/>
        </w:rPr>
        <w:t>(</w:t>
      </w:r>
      <w:r>
        <w:rPr>
          <w:sz w:val="21"/>
          <w:szCs w:val="21"/>
        </w:rPr>
        <w:t>2019</w:t>
      </w:r>
      <w:r>
        <w:rPr>
          <w:rFonts w:hint="eastAsia"/>
          <w:sz w:val="21"/>
          <w:szCs w:val="21"/>
          <w:lang w:val="en-US" w:eastAsia="zh-CN"/>
        </w:rPr>
        <w:t>)</w:t>
      </w:r>
      <w:r>
        <w:rPr>
          <w:sz w:val="21"/>
          <w:szCs w:val="21"/>
        </w:rPr>
        <w:t xml:space="preserve"> Source apportionment of heavy metals in urban road dust in a continental city of eastern China: Using Pb and Sr isotopes combined with multivariate statistical analysis. </w:t>
      </w:r>
      <w:r>
        <w:rPr>
          <w:rFonts w:eastAsia="CharisSIL"/>
          <w:sz w:val="21"/>
          <w:szCs w:val="21"/>
        </w:rPr>
        <w:t>Atmospheric Environment</w:t>
      </w:r>
      <w:r>
        <w:rPr>
          <w:sz w:val="21"/>
          <w:szCs w:val="21"/>
        </w:rPr>
        <w:t xml:space="preserve"> 2</w:t>
      </w:r>
      <w:r>
        <w:rPr>
          <w:rFonts w:eastAsia="CharisSIL"/>
          <w:sz w:val="21"/>
          <w:szCs w:val="21"/>
        </w:rPr>
        <w:t>01</w:t>
      </w:r>
      <w:r>
        <w:rPr>
          <w:sz w:val="21"/>
          <w:szCs w:val="21"/>
        </w:rPr>
        <w:t>:</w:t>
      </w:r>
      <w:r>
        <w:rPr>
          <w:rFonts w:eastAsia="CharisSIL"/>
          <w:sz w:val="21"/>
          <w:szCs w:val="21"/>
        </w:rPr>
        <w:t xml:space="preserve"> 201-211</w:t>
      </w:r>
      <w:r>
        <w:rPr>
          <w:sz w:val="21"/>
          <w:szCs w:val="21"/>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Source Sans Pro">
    <w:altName w:val="Times New Roman"/>
    <w:panose1 w:val="00000000000000000000"/>
    <w:charset w:val="00"/>
    <w:family w:val="swiss"/>
    <w:pitch w:val="default"/>
    <w:sig w:usb0="00000000" w:usb1="00000000" w:usb2="00000000" w:usb3="00000000" w:csb0="0000019F" w:csb1="00000000"/>
  </w:font>
  <w:font w:name="CharisSIL">
    <w:altName w:val="Calibri"/>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9406878"/>
    </w:sdtPr>
    <w:sdtContent>
      <w:p>
        <w:pPr>
          <w:pStyle w:val="2"/>
          <w:tabs>
            <w:tab w:val="center" w:pos="4153"/>
            <w:tab w:val="right" w:pos="8306"/>
          </w:tabs>
          <w:jc w:val="center"/>
        </w:pPr>
        <w:r>
          <w:fldChar w:fldCharType="begin"/>
        </w:r>
        <w:r>
          <w:instrText xml:space="preserve">PAGE   \* MERGEFORMAT</w:instrText>
        </w:r>
        <w:r>
          <w:fldChar w:fldCharType="separate"/>
        </w:r>
        <w:r>
          <w:rPr>
            <w:lang w:val="zh-CN"/>
          </w:rPr>
          <w:t>8</w:t>
        </w:r>
        <w:r>
          <w:fldChar w:fldCharType="end"/>
        </w:r>
      </w:p>
    </w:sdtContent>
  </w:sdt>
  <w:p>
    <w:pPr>
      <w:pStyle w:val="2"/>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1344731"/>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2A8"/>
    <w:rsid w:val="000762A8"/>
    <w:rsid w:val="001D5D8A"/>
    <w:rsid w:val="003D254A"/>
    <w:rsid w:val="0040282B"/>
    <w:rsid w:val="004B4F06"/>
    <w:rsid w:val="00530F50"/>
    <w:rsid w:val="006952C5"/>
    <w:rsid w:val="007B29D9"/>
    <w:rsid w:val="00864F00"/>
    <w:rsid w:val="00894055"/>
    <w:rsid w:val="00B16D4D"/>
    <w:rsid w:val="00B77A4A"/>
    <w:rsid w:val="00BC507C"/>
    <w:rsid w:val="00CA03BB"/>
    <w:rsid w:val="00D10CDC"/>
    <w:rsid w:val="00D632B9"/>
    <w:rsid w:val="00EC7117"/>
    <w:rsid w:val="4B64584D"/>
    <w:rsid w:val="63A26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11"/>
    <w:unhideWhenUsed/>
    <w:qFormat/>
    <w:uiPriority w:val="99"/>
    <w:pPr>
      <w:snapToGrid w:val="0"/>
      <w:jc w:val="left"/>
    </w:pPr>
    <w:rPr>
      <w:sz w:val="18"/>
      <w:szCs w:val="18"/>
    </w:rPr>
  </w:style>
  <w:style w:type="paragraph" w:styleId="3">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FollowedHyperlink"/>
    <w:basedOn w:val="4"/>
    <w:unhideWhenUsed/>
    <w:uiPriority w:val="99"/>
    <w:rPr>
      <w:color w:val="800080"/>
      <w:u w:val="single"/>
    </w:rPr>
  </w:style>
  <w:style w:type="character" w:styleId="6">
    <w:name w:val="Hyperlink"/>
    <w:basedOn w:val="4"/>
    <w:unhideWhenUsed/>
    <w:qFormat/>
    <w:uiPriority w:val="99"/>
    <w:rPr>
      <w:color w:val="0000FF"/>
      <w:u w:val="single"/>
    </w:rPr>
  </w:style>
  <w:style w:type="paragraph" w:customStyle="1" w:styleId="8">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9">
    <w:name w:val="图标题"/>
    <w:basedOn w:val="1"/>
    <w:qFormat/>
    <w:uiPriority w:val="0"/>
    <w:pPr>
      <w:spacing w:beforeLines="10" w:afterLines="10" w:line="360" w:lineRule="exact"/>
      <w:jc w:val="center"/>
    </w:pPr>
  </w:style>
  <w:style w:type="paragraph" w:customStyle="1" w:styleId="10">
    <w:name w:val="参考文献"/>
    <w:basedOn w:val="1"/>
    <w:qFormat/>
    <w:uiPriority w:val="0"/>
    <w:pPr>
      <w:spacing w:before="100" w:beforeAutospacing="1" w:after="100" w:afterAutospacing="1" w:line="400" w:lineRule="exact"/>
      <w:ind w:left="200" w:hanging="200" w:hangingChars="200"/>
    </w:pPr>
    <w:rPr>
      <w:sz w:val="24"/>
      <w:szCs w:val="24"/>
    </w:rPr>
  </w:style>
  <w:style w:type="character" w:customStyle="1" w:styleId="11">
    <w:name w:val="页脚 字符"/>
    <w:basedOn w:val="4"/>
    <w:link w:val="2"/>
    <w:qFormat/>
    <w:uiPriority w:val="99"/>
    <w:rPr>
      <w:rFonts w:ascii="Times New Roman" w:hAnsi="Times New Roman" w:eastAsia="宋体" w:cs="Times New Roman"/>
      <w:sz w:val="18"/>
      <w:szCs w:val="18"/>
    </w:rPr>
  </w:style>
  <w:style w:type="paragraph" w:customStyle="1" w:styleId="12">
    <w:name w:val="表标题"/>
    <w:basedOn w:val="9"/>
    <w:qFormat/>
    <w:uiPriority w:val="0"/>
    <w:pPr>
      <w:keepNext/>
      <w:keepLines/>
    </w:pPr>
  </w:style>
  <w:style w:type="character" w:customStyle="1" w:styleId="13">
    <w:name w:val="页眉 字符"/>
    <w:basedOn w:val="4"/>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17.jpe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3036</Words>
  <Characters>17306</Characters>
  <Lines>144</Lines>
  <Paragraphs>40</Paragraphs>
  <TotalTime>12</TotalTime>
  <ScaleCrop>false</ScaleCrop>
  <LinksUpToDate>false</LinksUpToDate>
  <CharactersWithSpaces>20302</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2021-05-24T09:19:00Z</dcterms:created>
  <dc:creator>T</dc:creator>
  <cp:lastModifiedBy>Administrator</cp:lastModifiedBy>
  <dcterms:modified xsi:type="dcterms:W3CDTF">2021-10-24T07:23:28Z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