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AEFA5" w14:textId="77777777" w:rsidR="002C6014" w:rsidRPr="002C6014" w:rsidRDefault="002C6014" w:rsidP="002C6014">
      <w:pPr>
        <w:rPr>
          <w:rFonts w:ascii="Calibri" w:hAnsi="Calibri" w:cs="Calibri"/>
          <w:lang w:val="en-US"/>
        </w:rPr>
      </w:pPr>
      <w:r w:rsidRPr="002C6014">
        <w:rPr>
          <w:rFonts w:ascii="Calibri" w:hAnsi="Calibri" w:cs="Calibri"/>
          <w:b/>
          <w:bCs/>
          <w:lang w:val="en-US"/>
        </w:rPr>
        <w:t>Title of the paper</w:t>
      </w:r>
      <w:r w:rsidRPr="002C6014">
        <w:rPr>
          <w:rFonts w:ascii="Calibri" w:hAnsi="Calibri" w:cs="Calibri"/>
          <w:lang w:val="en-US"/>
        </w:rPr>
        <w:t>: A low-cost iodine phantom for spectral CT quality control: multicentre evaluation of iodine quantification</w:t>
      </w:r>
    </w:p>
    <w:p w14:paraId="497855B2" w14:textId="77777777" w:rsidR="002C6014" w:rsidRPr="002C6014" w:rsidRDefault="002C6014" w:rsidP="002C6014">
      <w:pPr>
        <w:rPr>
          <w:rFonts w:ascii="Calibri" w:hAnsi="Calibri" w:cs="Calibri"/>
          <w:lang w:val="en-US"/>
        </w:rPr>
      </w:pPr>
      <w:r w:rsidRPr="002C6014">
        <w:rPr>
          <w:rFonts w:ascii="Calibri" w:hAnsi="Calibri" w:cs="Calibri"/>
          <w:b/>
          <w:bCs/>
          <w:lang w:val="en-US"/>
        </w:rPr>
        <w:t>Type of manuscript:</w:t>
      </w:r>
      <w:r w:rsidRPr="002C6014">
        <w:rPr>
          <w:rFonts w:ascii="Calibri" w:hAnsi="Calibri" w:cs="Calibri"/>
          <w:lang w:val="en-US"/>
        </w:rPr>
        <w:t xml:space="preserve"> Research Article</w:t>
      </w:r>
    </w:p>
    <w:p w14:paraId="287C75D1" w14:textId="77777777" w:rsidR="002C6014" w:rsidRPr="002C6014" w:rsidRDefault="002C6014" w:rsidP="002C6014">
      <w:pPr>
        <w:rPr>
          <w:rFonts w:ascii="Calibri" w:hAnsi="Calibri" w:cs="Calibri"/>
          <w:b/>
          <w:bCs/>
          <w:lang w:val="en-US"/>
        </w:rPr>
      </w:pPr>
      <w:r w:rsidRPr="002C6014">
        <w:rPr>
          <w:rFonts w:ascii="Calibri" w:hAnsi="Calibri" w:cs="Calibri"/>
          <w:b/>
          <w:bCs/>
          <w:lang w:val="en-US"/>
        </w:rPr>
        <w:t>Authors:</w:t>
      </w:r>
    </w:p>
    <w:p w14:paraId="49C098D5" w14:textId="77777777" w:rsidR="002C6014" w:rsidRPr="002C6014" w:rsidRDefault="002C6014" w:rsidP="002C6014">
      <w:pPr>
        <w:spacing w:after="0" w:line="360" w:lineRule="auto"/>
        <w:rPr>
          <w:rFonts w:asciiTheme="majorHAnsi" w:hAnsiTheme="majorHAnsi" w:cstheme="majorBidi"/>
          <w:lang w:val="es-CO"/>
        </w:rPr>
      </w:pPr>
      <w:r w:rsidRPr="002C6014">
        <w:rPr>
          <w:rFonts w:asciiTheme="majorHAnsi" w:hAnsiTheme="majorHAnsi" w:cstheme="majorBidi"/>
          <w:b/>
          <w:bCs/>
          <w:lang w:val="es-CO"/>
        </w:rPr>
        <w:t>Nathaly Barbosa, MSc</w:t>
      </w:r>
      <w:r w:rsidRPr="002C6014">
        <w:rPr>
          <w:rFonts w:asciiTheme="majorHAnsi" w:hAnsiTheme="majorHAnsi" w:cstheme="majorBidi"/>
          <w:lang w:val="es-CO"/>
        </w:rPr>
        <w:br/>
        <w:t>ORCID ID: 0000-0003-1594-1631</w:t>
      </w:r>
      <w:r w:rsidRPr="002C6014">
        <w:rPr>
          <w:rFonts w:asciiTheme="majorHAnsi" w:hAnsiTheme="majorHAnsi" w:cstheme="majorBidi"/>
          <w:lang w:val="es-CO"/>
        </w:rPr>
        <w:br/>
        <w:t>Diagnostic Imaging and Nuclear Medicine Department, Centro de Tratamiento e Investigación sobre Cáncer Luis Carlos Sarmiento Angulo (CTIC), Bogotá, 110131, Colombia.</w:t>
      </w:r>
    </w:p>
    <w:p w14:paraId="7CB40F46" w14:textId="77777777" w:rsidR="002C6014" w:rsidRPr="00857755" w:rsidRDefault="002C6014" w:rsidP="002C6014">
      <w:pPr>
        <w:spacing w:after="0" w:line="360" w:lineRule="auto"/>
        <w:rPr>
          <w:rFonts w:asciiTheme="majorHAnsi" w:hAnsiTheme="majorHAnsi" w:cstheme="majorBidi"/>
          <w:lang w:val="en-US"/>
        </w:rPr>
      </w:pPr>
      <w:r w:rsidRPr="00857755">
        <w:rPr>
          <w:rFonts w:asciiTheme="majorHAnsi" w:hAnsiTheme="majorHAnsi" w:cstheme="majorBidi"/>
          <w:b/>
          <w:bCs/>
          <w:lang w:val="en-US"/>
        </w:rPr>
        <w:t>Z</w:t>
      </w:r>
      <w:r>
        <w:rPr>
          <w:rFonts w:asciiTheme="majorHAnsi" w:hAnsiTheme="majorHAnsi" w:cstheme="majorBidi"/>
          <w:b/>
          <w:bCs/>
          <w:lang w:val="en-US"/>
        </w:rPr>
        <w:t>oe</w:t>
      </w:r>
      <w:r w:rsidRPr="00857755">
        <w:rPr>
          <w:rFonts w:asciiTheme="majorHAnsi" w:hAnsiTheme="majorHAnsi" w:cstheme="majorBidi"/>
          <w:b/>
          <w:bCs/>
          <w:lang w:val="en-US"/>
        </w:rPr>
        <w:t xml:space="preserve"> Brady, PhD</w:t>
      </w:r>
      <w:r w:rsidRPr="00857755">
        <w:rPr>
          <w:rFonts w:asciiTheme="majorHAnsi" w:hAnsiTheme="majorHAnsi" w:cstheme="majorBidi"/>
          <w:lang w:val="en-US"/>
        </w:rPr>
        <w:br/>
        <w:t>ORCID ID: 0000-0001-9991-757X</w:t>
      </w:r>
      <w:r w:rsidRPr="00857755">
        <w:rPr>
          <w:rFonts w:asciiTheme="majorHAnsi" w:hAnsiTheme="majorHAnsi" w:cstheme="majorBidi"/>
          <w:lang w:val="en-US"/>
        </w:rPr>
        <w:br/>
        <w:t>Department of Radiology and Nuclear Medicine, Bayside Health, Melbourne, VIC 3004, Australia.</w:t>
      </w:r>
      <w:r w:rsidRPr="00857755">
        <w:rPr>
          <w:rFonts w:asciiTheme="majorHAnsi" w:hAnsiTheme="majorHAnsi" w:cstheme="majorBidi"/>
          <w:lang w:val="en-US"/>
        </w:rPr>
        <w:br/>
        <w:t>Department of Neurosciences, Central Clinical School, Monash University, Melbourne, VIC 3004, Australia.</w:t>
      </w:r>
      <w:r w:rsidRPr="00857755">
        <w:rPr>
          <w:rFonts w:asciiTheme="majorHAnsi" w:hAnsiTheme="majorHAnsi" w:cstheme="majorBidi"/>
          <w:lang w:val="en-US"/>
        </w:rPr>
        <w:br/>
        <w:t>Centre for Epidemiology and Biostatistics, School of Population and Global Health, University of Melbourne, Melbourne, VIC 3010, Australia.</w:t>
      </w:r>
    </w:p>
    <w:p w14:paraId="22BADFDA" w14:textId="77777777" w:rsidR="002C6014" w:rsidRPr="00857755" w:rsidRDefault="002C6014" w:rsidP="002C6014">
      <w:pPr>
        <w:spacing w:after="0" w:line="360" w:lineRule="auto"/>
        <w:rPr>
          <w:rFonts w:asciiTheme="majorHAnsi" w:hAnsiTheme="majorHAnsi" w:cstheme="majorBidi"/>
          <w:lang w:val="en-US"/>
        </w:rPr>
      </w:pPr>
      <w:r w:rsidRPr="2B3FDFF4">
        <w:rPr>
          <w:rFonts w:asciiTheme="majorHAnsi" w:hAnsiTheme="majorHAnsi" w:cstheme="majorBidi"/>
          <w:b/>
          <w:lang w:val="en-US"/>
        </w:rPr>
        <w:t>Virginia</w:t>
      </w:r>
      <w:r w:rsidRPr="00857755">
        <w:rPr>
          <w:rFonts w:asciiTheme="majorHAnsi" w:hAnsiTheme="majorHAnsi" w:cstheme="majorBidi"/>
          <w:b/>
          <w:bCs/>
          <w:lang w:val="en-US"/>
        </w:rPr>
        <w:t xml:space="preserve"> Tsapaki, PhD</w:t>
      </w:r>
      <w:r w:rsidRPr="00857755">
        <w:rPr>
          <w:rFonts w:asciiTheme="majorHAnsi" w:hAnsiTheme="majorHAnsi" w:cstheme="majorBidi"/>
          <w:lang w:val="en-US"/>
        </w:rPr>
        <w:br/>
        <w:t>ORCID ID: 0000-0003-0275-4650</w:t>
      </w:r>
      <w:r w:rsidRPr="00857755">
        <w:rPr>
          <w:rFonts w:asciiTheme="majorHAnsi" w:hAnsiTheme="majorHAnsi" w:cstheme="majorBidi"/>
          <w:lang w:val="en-US"/>
        </w:rPr>
        <w:br/>
        <w:t>Dosimetry and Medical Radiation Physics Section, Human Health Division, Department of Nuclear Science and Applications, International Atomic Energy Agency, Vienna, 1400, Austria.</w:t>
      </w:r>
    </w:p>
    <w:p w14:paraId="762A6590" w14:textId="77777777" w:rsidR="002C6014" w:rsidRPr="002C6014" w:rsidRDefault="002C6014" w:rsidP="002C6014">
      <w:pPr>
        <w:spacing w:after="0" w:line="360" w:lineRule="auto"/>
        <w:rPr>
          <w:rFonts w:asciiTheme="majorHAnsi" w:hAnsiTheme="majorHAnsi" w:cstheme="majorBidi"/>
          <w:lang w:val="es-CO"/>
        </w:rPr>
      </w:pPr>
      <w:r w:rsidRPr="002C6014">
        <w:rPr>
          <w:rFonts w:asciiTheme="majorHAnsi" w:hAnsiTheme="majorHAnsi" w:cstheme="majorBidi"/>
          <w:b/>
          <w:bCs/>
          <w:lang w:val="es-CO"/>
        </w:rPr>
        <w:t>Juan Pablo Osorio, MSc</w:t>
      </w:r>
      <w:r w:rsidRPr="002C6014">
        <w:rPr>
          <w:rFonts w:asciiTheme="majorHAnsi" w:hAnsiTheme="majorHAnsi" w:cstheme="majorBidi"/>
          <w:lang w:val="es-CO"/>
        </w:rPr>
        <w:br/>
        <w:t>ORCID ID: 0009-0004-9981-625X</w:t>
      </w:r>
      <w:r w:rsidRPr="002C6014">
        <w:rPr>
          <w:rFonts w:asciiTheme="majorHAnsi" w:hAnsiTheme="majorHAnsi" w:cstheme="majorBidi"/>
          <w:lang w:val="es-CO"/>
        </w:rPr>
        <w:br/>
        <w:t>Pharmacy Department, Centro de Tratamiento e Investigación sobre Cáncer Luis Carlos Sarmiento Angulo (CTIC), Bogotá, 110131, Colombia.</w:t>
      </w:r>
    </w:p>
    <w:p w14:paraId="53874E6E" w14:textId="77777777" w:rsidR="002C6014" w:rsidRPr="0084269C" w:rsidRDefault="002C6014" w:rsidP="002C6014">
      <w:pPr>
        <w:spacing w:after="0" w:line="360" w:lineRule="auto"/>
        <w:rPr>
          <w:rFonts w:asciiTheme="majorHAnsi" w:hAnsiTheme="majorHAnsi" w:cstheme="majorBidi"/>
          <w:b/>
          <w:bCs/>
          <w:lang w:val="en-US"/>
        </w:rPr>
      </w:pPr>
      <w:r w:rsidRPr="2B3FDFF4">
        <w:rPr>
          <w:rFonts w:asciiTheme="majorHAnsi" w:hAnsiTheme="majorHAnsi" w:cstheme="majorBidi"/>
          <w:b/>
          <w:lang w:val="en-US"/>
        </w:rPr>
        <w:t>Lehvun</w:t>
      </w:r>
      <w:r>
        <w:rPr>
          <w:rFonts w:asciiTheme="majorHAnsi" w:hAnsiTheme="majorHAnsi" w:cstheme="majorBidi"/>
          <w:b/>
          <w:lang w:val="en-US"/>
        </w:rPr>
        <w:t xml:space="preserve"> Ly</w:t>
      </w:r>
      <w:r w:rsidRPr="00857755">
        <w:rPr>
          <w:rFonts w:asciiTheme="majorHAnsi" w:hAnsiTheme="majorHAnsi" w:cstheme="majorBidi"/>
          <w:b/>
          <w:bCs/>
          <w:lang w:val="en-US"/>
        </w:rPr>
        <w:t xml:space="preserve">, </w:t>
      </w:r>
      <w:r w:rsidRPr="0084269C">
        <w:rPr>
          <w:rFonts w:asciiTheme="majorHAnsi" w:hAnsiTheme="majorHAnsi" w:cstheme="majorBidi"/>
          <w:b/>
          <w:bCs/>
          <w:lang w:val="en-US"/>
        </w:rPr>
        <w:t>BRadMedImag(Hons)</w:t>
      </w:r>
      <w:r w:rsidRPr="00857755">
        <w:rPr>
          <w:rFonts w:asciiTheme="majorHAnsi" w:hAnsiTheme="majorHAnsi" w:cstheme="majorBidi"/>
          <w:lang w:val="en-US"/>
        </w:rPr>
        <w:br/>
        <w:t>ORCID ID: 0009-0008-1616-9819</w:t>
      </w:r>
      <w:r w:rsidRPr="00857755">
        <w:rPr>
          <w:rFonts w:asciiTheme="majorHAnsi" w:hAnsiTheme="majorHAnsi" w:cstheme="majorBidi"/>
          <w:lang w:val="en-US"/>
        </w:rPr>
        <w:br/>
        <w:t>Department of Radiology, Bayside Health, Melbourne, VIC 3004, Australia.</w:t>
      </w:r>
    </w:p>
    <w:p w14:paraId="08D8BB64" w14:textId="77777777" w:rsidR="002C6014" w:rsidRPr="00857755" w:rsidRDefault="002C6014" w:rsidP="002C6014">
      <w:pPr>
        <w:spacing w:after="0" w:line="360" w:lineRule="auto"/>
        <w:rPr>
          <w:rFonts w:asciiTheme="majorHAnsi" w:hAnsiTheme="majorHAnsi" w:cstheme="majorBidi"/>
          <w:lang w:val="en-US"/>
        </w:rPr>
      </w:pPr>
      <w:r w:rsidRPr="17F12E9F">
        <w:rPr>
          <w:rFonts w:asciiTheme="majorHAnsi" w:hAnsiTheme="majorHAnsi" w:cstheme="majorBidi"/>
          <w:b/>
          <w:lang w:val="en-US"/>
        </w:rPr>
        <w:t>Natasa</w:t>
      </w:r>
      <w:r w:rsidRPr="00857755">
        <w:rPr>
          <w:rFonts w:asciiTheme="majorHAnsi" w:hAnsiTheme="majorHAnsi" w:cstheme="majorBidi"/>
          <w:b/>
          <w:bCs/>
          <w:lang w:val="en-US"/>
        </w:rPr>
        <w:t xml:space="preserve"> Brasik, PhD</w:t>
      </w:r>
      <w:r w:rsidRPr="00857755">
        <w:rPr>
          <w:rFonts w:asciiTheme="majorHAnsi" w:hAnsiTheme="majorHAnsi" w:cstheme="majorBidi"/>
          <w:lang w:val="en-US"/>
        </w:rPr>
        <w:br/>
        <w:t>ORCID ID: 0009-0002-4292-7798</w:t>
      </w:r>
      <w:r w:rsidRPr="00857755">
        <w:rPr>
          <w:rFonts w:asciiTheme="majorHAnsi" w:hAnsiTheme="majorHAnsi" w:cstheme="majorBidi"/>
          <w:lang w:val="en-US"/>
        </w:rPr>
        <w:br/>
        <w:t>Medical Physics Department, University Hospital Vienna (AKH Wien), Vienna, 1090, Austria.</w:t>
      </w:r>
    </w:p>
    <w:p w14:paraId="7D998E3E" w14:textId="77777777" w:rsidR="002C6014" w:rsidRPr="00857755" w:rsidRDefault="002C6014" w:rsidP="002C6014">
      <w:pPr>
        <w:spacing w:after="0" w:line="360" w:lineRule="auto"/>
        <w:rPr>
          <w:rFonts w:asciiTheme="majorHAnsi" w:hAnsiTheme="majorHAnsi" w:cstheme="majorBidi"/>
          <w:lang w:val="en-US"/>
        </w:rPr>
      </w:pPr>
      <w:r w:rsidRPr="00857755">
        <w:rPr>
          <w:rFonts w:asciiTheme="majorHAnsi" w:hAnsiTheme="majorHAnsi" w:cstheme="majorBidi"/>
          <w:b/>
          <w:bCs/>
          <w:lang w:val="en-US"/>
        </w:rPr>
        <w:t>M</w:t>
      </w:r>
      <w:r>
        <w:rPr>
          <w:rFonts w:asciiTheme="majorHAnsi" w:hAnsiTheme="majorHAnsi" w:cstheme="majorBidi"/>
          <w:b/>
          <w:bCs/>
          <w:lang w:val="en-US"/>
        </w:rPr>
        <w:t xml:space="preserve">arc </w:t>
      </w:r>
      <w:r w:rsidRPr="00857755">
        <w:rPr>
          <w:rFonts w:asciiTheme="majorHAnsi" w:hAnsiTheme="majorHAnsi" w:cstheme="majorBidi"/>
          <w:b/>
          <w:bCs/>
          <w:lang w:val="en-US"/>
        </w:rPr>
        <w:t>Kachelrieß, PhD</w:t>
      </w:r>
      <w:r w:rsidRPr="00857755">
        <w:rPr>
          <w:rFonts w:asciiTheme="majorHAnsi" w:hAnsiTheme="majorHAnsi" w:cstheme="majorBidi"/>
          <w:lang w:val="en-US"/>
        </w:rPr>
        <w:br/>
        <w:t>ORCID ID: 0000-0001-9351-4761</w:t>
      </w:r>
      <w:r w:rsidRPr="00857755">
        <w:rPr>
          <w:rFonts w:asciiTheme="majorHAnsi" w:hAnsiTheme="majorHAnsi" w:cstheme="majorBidi"/>
          <w:lang w:val="en-US"/>
        </w:rPr>
        <w:br/>
        <w:t>Division of X-Ray Imaging and CT, German Cancer Research Center (DKFZ), Heidelberg, 69120, Germany.</w:t>
      </w:r>
      <w:r w:rsidRPr="00857755">
        <w:rPr>
          <w:rFonts w:asciiTheme="majorHAnsi" w:hAnsiTheme="majorHAnsi" w:cstheme="majorBidi"/>
          <w:lang w:val="en-US"/>
        </w:rPr>
        <w:br/>
        <w:t>Medical Faculty Heidelberg, Heidelberg University, Heidelberg, 69120, Germany.</w:t>
      </w:r>
    </w:p>
    <w:p w14:paraId="06F2D318" w14:textId="77777777" w:rsidR="002C6014" w:rsidRPr="00857755" w:rsidRDefault="002C6014" w:rsidP="002C6014">
      <w:pPr>
        <w:spacing w:after="0" w:line="360" w:lineRule="auto"/>
        <w:rPr>
          <w:rFonts w:asciiTheme="majorHAnsi" w:hAnsiTheme="majorHAnsi" w:cstheme="majorBidi"/>
          <w:lang w:val="en-US"/>
        </w:rPr>
      </w:pPr>
      <w:r w:rsidRPr="2B3FDFF4">
        <w:rPr>
          <w:rFonts w:asciiTheme="majorHAnsi" w:hAnsiTheme="majorHAnsi" w:cstheme="majorBidi"/>
          <w:b/>
          <w:lang w:val="en-US"/>
        </w:rPr>
        <w:lastRenderedPageBreak/>
        <w:t>Mahadevappa</w:t>
      </w:r>
      <w:r w:rsidRPr="00857755">
        <w:rPr>
          <w:rFonts w:asciiTheme="majorHAnsi" w:hAnsiTheme="majorHAnsi" w:cstheme="majorBidi"/>
          <w:b/>
          <w:bCs/>
          <w:lang w:val="en-US"/>
        </w:rPr>
        <w:t xml:space="preserve"> Mahesh, PhD</w:t>
      </w:r>
      <w:r w:rsidRPr="00857755">
        <w:rPr>
          <w:rFonts w:asciiTheme="majorHAnsi" w:hAnsiTheme="majorHAnsi" w:cstheme="majorBidi"/>
          <w:lang w:val="en-US"/>
        </w:rPr>
        <w:br/>
        <w:t>ORCID ID: 0000-0002-9370-3973</w:t>
      </w:r>
      <w:r w:rsidRPr="00857755">
        <w:rPr>
          <w:rFonts w:asciiTheme="majorHAnsi" w:hAnsiTheme="majorHAnsi" w:cstheme="majorBidi"/>
          <w:lang w:val="en-US"/>
        </w:rPr>
        <w:br/>
        <w:t>The Russell H. Morgan Department of Radiology and Radiological Science, Johns Hopkins University School of Medicine, Baltimore, MD 21287, USA.</w:t>
      </w:r>
    </w:p>
    <w:p w14:paraId="2C98E8DB" w14:textId="77777777" w:rsidR="002C6014" w:rsidRPr="00857755" w:rsidRDefault="002C6014" w:rsidP="002C6014">
      <w:pPr>
        <w:spacing w:after="0" w:line="360" w:lineRule="auto"/>
        <w:rPr>
          <w:rFonts w:asciiTheme="majorHAnsi" w:hAnsiTheme="majorHAnsi" w:cstheme="majorBidi"/>
          <w:lang w:val="en-US"/>
        </w:rPr>
      </w:pPr>
      <w:r w:rsidRPr="00857755">
        <w:rPr>
          <w:rFonts w:asciiTheme="majorHAnsi" w:hAnsiTheme="majorHAnsi" w:cstheme="majorBidi"/>
          <w:b/>
          <w:bCs/>
          <w:lang w:val="en-US"/>
        </w:rPr>
        <w:t>B</w:t>
      </w:r>
      <w:r>
        <w:rPr>
          <w:rFonts w:asciiTheme="majorHAnsi" w:hAnsiTheme="majorHAnsi" w:cstheme="majorBidi"/>
          <w:b/>
          <w:bCs/>
          <w:lang w:val="en-US"/>
        </w:rPr>
        <w:t>ronwin</w:t>
      </w:r>
      <w:r w:rsidRPr="00857755">
        <w:rPr>
          <w:rFonts w:asciiTheme="majorHAnsi" w:hAnsiTheme="majorHAnsi" w:cstheme="majorBidi"/>
          <w:b/>
          <w:bCs/>
          <w:lang w:val="en-US"/>
        </w:rPr>
        <w:t xml:space="preserve"> Van-Wyk, PhD</w:t>
      </w:r>
      <w:r w:rsidRPr="00857755">
        <w:rPr>
          <w:rFonts w:asciiTheme="majorHAnsi" w:hAnsiTheme="majorHAnsi" w:cstheme="majorBidi"/>
          <w:lang w:val="en-US"/>
        </w:rPr>
        <w:br/>
        <w:t>ORCID ID: 0000-0002-6627-603X</w:t>
      </w:r>
      <w:r w:rsidRPr="00857755">
        <w:rPr>
          <w:rFonts w:asciiTheme="majorHAnsi" w:hAnsiTheme="majorHAnsi" w:cstheme="majorBidi"/>
          <w:lang w:val="en-US"/>
        </w:rPr>
        <w:br/>
        <w:t>Department of Medical Physics, Dr George Mukhari Academic Hospital, Ga-Rankuwa, 0208, South Africa.</w:t>
      </w:r>
    </w:p>
    <w:p w14:paraId="0129E8B0" w14:textId="77777777" w:rsidR="002C6014" w:rsidRPr="00857755" w:rsidRDefault="002C6014" w:rsidP="002C6014">
      <w:pPr>
        <w:spacing w:after="0" w:line="360" w:lineRule="auto"/>
        <w:rPr>
          <w:rFonts w:asciiTheme="majorHAnsi" w:hAnsiTheme="majorHAnsi" w:cstheme="majorBidi"/>
          <w:lang w:val="en-US"/>
        </w:rPr>
      </w:pPr>
      <w:r w:rsidRPr="00857755">
        <w:rPr>
          <w:rFonts w:asciiTheme="majorHAnsi" w:hAnsiTheme="majorHAnsi" w:cstheme="majorBidi"/>
          <w:b/>
          <w:bCs/>
          <w:lang w:val="en-US"/>
        </w:rPr>
        <w:t>M</w:t>
      </w:r>
      <w:r>
        <w:rPr>
          <w:rFonts w:asciiTheme="majorHAnsi" w:hAnsiTheme="majorHAnsi" w:cstheme="majorBidi"/>
          <w:b/>
          <w:bCs/>
          <w:lang w:val="en-US"/>
        </w:rPr>
        <w:t>auro</w:t>
      </w:r>
      <w:r w:rsidRPr="00857755">
        <w:rPr>
          <w:rFonts w:asciiTheme="majorHAnsi" w:hAnsiTheme="majorHAnsi" w:cstheme="majorBidi"/>
          <w:b/>
          <w:bCs/>
          <w:lang w:val="en-US"/>
        </w:rPr>
        <w:t xml:space="preserve"> Carrara, PhD</w:t>
      </w:r>
      <w:r w:rsidRPr="00857755">
        <w:rPr>
          <w:rFonts w:asciiTheme="majorHAnsi" w:hAnsiTheme="majorHAnsi" w:cstheme="majorBidi"/>
          <w:lang w:val="en-US"/>
        </w:rPr>
        <w:br/>
        <w:t>ORCID ID: 0000-0002-2193-2814</w:t>
      </w:r>
      <w:r w:rsidRPr="00857755">
        <w:rPr>
          <w:rFonts w:asciiTheme="majorHAnsi" w:hAnsiTheme="majorHAnsi" w:cstheme="majorBidi"/>
          <w:lang w:val="en-US"/>
        </w:rPr>
        <w:br/>
        <w:t>Dosimetry and Medical Radiation Physics Section, Human Health Division, Department of Nuclear Science and Applications, International Atomic Energy Agency, Vienna, 1400, Austria.</w:t>
      </w:r>
    </w:p>
    <w:p w14:paraId="3FD05438" w14:textId="77777777" w:rsidR="002C6014" w:rsidRPr="00857755" w:rsidRDefault="002C6014" w:rsidP="002C6014">
      <w:pPr>
        <w:spacing w:after="0" w:line="360" w:lineRule="auto"/>
        <w:jc w:val="both"/>
        <w:rPr>
          <w:rFonts w:asciiTheme="majorHAnsi" w:hAnsiTheme="majorHAnsi" w:cstheme="majorBidi"/>
          <w:lang w:val="en-US"/>
        </w:rPr>
      </w:pPr>
    </w:p>
    <w:p w14:paraId="363BCF99" w14:textId="77777777" w:rsidR="002C6014" w:rsidRPr="002C6014" w:rsidRDefault="002C6014" w:rsidP="002C6014">
      <w:pPr>
        <w:rPr>
          <w:b/>
          <w:bCs/>
          <w:lang w:val="es-CO"/>
        </w:rPr>
      </w:pPr>
      <w:r w:rsidRPr="002C6014">
        <w:rPr>
          <w:b/>
          <w:bCs/>
          <w:lang w:val="es-CO"/>
        </w:rPr>
        <w:t>Corresponding author</w:t>
      </w:r>
    </w:p>
    <w:p w14:paraId="2F97EB10" w14:textId="77777777" w:rsidR="002C6014" w:rsidRPr="002C6014" w:rsidRDefault="002C6014" w:rsidP="002C6014">
      <w:pPr>
        <w:spacing w:after="0" w:line="360" w:lineRule="auto"/>
        <w:jc w:val="both"/>
        <w:rPr>
          <w:rFonts w:asciiTheme="majorHAnsi" w:hAnsiTheme="majorHAnsi" w:cstheme="majorBidi"/>
          <w:b/>
          <w:bCs/>
          <w:lang w:val="es-CO"/>
        </w:rPr>
      </w:pPr>
      <w:r w:rsidRPr="002C6014">
        <w:rPr>
          <w:rFonts w:asciiTheme="majorHAnsi" w:hAnsiTheme="majorHAnsi" w:cstheme="majorBidi"/>
          <w:b/>
          <w:bCs/>
          <w:lang w:val="es-CO"/>
        </w:rPr>
        <w:t xml:space="preserve">N Barbosa: </w:t>
      </w:r>
    </w:p>
    <w:p w14:paraId="72218D6A" w14:textId="77777777" w:rsidR="002C6014" w:rsidRPr="002C6014" w:rsidRDefault="002C6014" w:rsidP="002C6014">
      <w:pPr>
        <w:spacing w:after="0" w:line="360" w:lineRule="auto"/>
        <w:jc w:val="both"/>
        <w:rPr>
          <w:rFonts w:asciiTheme="majorHAnsi" w:hAnsiTheme="majorHAnsi" w:cstheme="majorBidi"/>
          <w:lang w:val="es-CO"/>
        </w:rPr>
      </w:pPr>
      <w:r w:rsidRPr="002C6014">
        <w:rPr>
          <w:rFonts w:asciiTheme="majorHAnsi" w:hAnsiTheme="majorHAnsi" w:cstheme="majorBidi"/>
          <w:lang w:val="es-CO"/>
        </w:rPr>
        <w:t xml:space="preserve">Imaging and Nuclear Medicine Department, Centro de Tratamiento e Investigación sobre Cáncer Luis Carlos Sarmiento Angulo (CTIC), Cra. 14 #169-49, Bogotá, DC; </w:t>
      </w:r>
      <w:r w:rsidRPr="002C6014">
        <w:rPr>
          <w:lang w:val="es-CO"/>
        </w:rPr>
        <w:t xml:space="preserve">zip code </w:t>
      </w:r>
      <w:r w:rsidRPr="002C6014">
        <w:rPr>
          <w:rFonts w:asciiTheme="majorHAnsi" w:hAnsiTheme="majorHAnsi" w:cstheme="majorBidi"/>
          <w:lang w:val="es-CO"/>
        </w:rPr>
        <w:t>11013; Colombia.</w:t>
      </w:r>
    </w:p>
    <w:p w14:paraId="0C3B1C17" w14:textId="77777777" w:rsidR="002C6014" w:rsidRPr="00DD28A6" w:rsidRDefault="002C6014" w:rsidP="002C6014">
      <w:pPr>
        <w:spacing w:after="0" w:line="360" w:lineRule="auto"/>
        <w:jc w:val="both"/>
        <w:rPr>
          <w:rFonts w:asciiTheme="majorHAnsi" w:hAnsiTheme="majorHAnsi" w:cstheme="majorBidi"/>
          <w:lang w:val="en-US"/>
        </w:rPr>
      </w:pPr>
      <w:hyperlink r:id="rId9" w:history="1">
        <w:r>
          <w:rPr>
            <w:rStyle w:val="Hipervnculo"/>
            <w:rFonts w:asciiTheme="majorHAnsi" w:hAnsiTheme="majorHAnsi" w:cstheme="majorBidi"/>
            <w:lang w:val="en-US"/>
          </w:rPr>
          <w:t>nathalybarbosa@gmail.com</w:t>
        </w:r>
      </w:hyperlink>
    </w:p>
    <w:p w14:paraId="6F963D6B" w14:textId="77777777" w:rsidR="00556803" w:rsidRDefault="00556803" w:rsidP="00556803">
      <w:pPr>
        <w:spacing w:after="0" w:line="360" w:lineRule="auto"/>
        <w:jc w:val="both"/>
        <w:rPr>
          <w:rFonts w:asciiTheme="majorHAnsi" w:hAnsiTheme="majorHAnsi" w:cstheme="majorBidi"/>
          <w:lang w:val="en-US"/>
        </w:rPr>
      </w:pPr>
    </w:p>
    <w:p w14:paraId="64A35A92" w14:textId="63D2DA85" w:rsidR="00556803" w:rsidRPr="00556803" w:rsidRDefault="00556803" w:rsidP="00556803">
      <w:pPr>
        <w:pBdr>
          <w:top w:val="single" w:sz="6" w:space="1" w:color="auto"/>
          <w:bottom w:val="single" w:sz="6" w:space="1" w:color="auto"/>
        </w:pBdr>
        <w:spacing w:after="0" w:line="360" w:lineRule="auto"/>
        <w:jc w:val="center"/>
        <w:rPr>
          <w:rFonts w:asciiTheme="majorHAnsi" w:hAnsiTheme="majorHAnsi" w:cstheme="majorBidi"/>
          <w:lang w:val="en-US"/>
        </w:rPr>
      </w:pPr>
      <w:r w:rsidRPr="00556803">
        <w:rPr>
          <w:rFonts w:asciiTheme="majorHAnsi" w:hAnsiTheme="majorHAnsi" w:cstheme="majorBidi"/>
          <w:lang w:val="en-US"/>
        </w:rPr>
        <w:t>Supplementary Material</w:t>
      </w:r>
    </w:p>
    <w:p w14:paraId="004968FE" w14:textId="77777777" w:rsidR="00117247" w:rsidRDefault="00117247" w:rsidP="00D11A22">
      <w:pPr>
        <w:jc w:val="both"/>
        <w:rPr>
          <w:rFonts w:asciiTheme="majorHAnsi" w:hAnsiTheme="majorHAnsi" w:cstheme="majorHAnsi"/>
          <w:b/>
          <w:bCs/>
          <w:lang w:val="en-US"/>
        </w:rPr>
      </w:pPr>
      <w:r w:rsidRPr="00E905FE">
        <w:rPr>
          <w:rFonts w:asciiTheme="majorHAnsi" w:hAnsiTheme="majorHAnsi" w:cstheme="majorHAnsi"/>
          <w:b/>
          <w:bCs/>
          <w:lang w:val="en-US"/>
        </w:rPr>
        <w:t>Step-by-step construction and preparation protocol for a locally constructed iodine phantom for spectral CT quality control</w:t>
      </w:r>
    </w:p>
    <w:p w14:paraId="1B4D8B74" w14:textId="77777777" w:rsidR="00117247" w:rsidRPr="00A07916" w:rsidRDefault="00117247" w:rsidP="00D11A22">
      <w:pPr>
        <w:jc w:val="both"/>
        <w:rPr>
          <w:rFonts w:asciiTheme="majorHAnsi" w:hAnsiTheme="majorHAnsi" w:cstheme="majorHAnsi"/>
          <w:b/>
          <w:bCs/>
          <w:lang w:val="en-US"/>
        </w:rPr>
      </w:pPr>
      <w:r w:rsidRPr="61072ACE">
        <w:rPr>
          <w:rFonts w:asciiTheme="majorHAnsi" w:hAnsiTheme="majorHAnsi" w:cstheme="majorBidi"/>
          <w:b/>
          <w:bCs/>
          <w:lang w:val="en-US"/>
        </w:rPr>
        <w:t>S1. Purpose</w:t>
      </w:r>
    </w:p>
    <w:p w14:paraId="08EB96F2" w14:textId="77777777" w:rsidR="00117247" w:rsidRPr="00A07916" w:rsidRDefault="00117247" w:rsidP="00D11A22">
      <w:pPr>
        <w:jc w:val="both"/>
      </w:pPr>
      <w:r w:rsidRPr="61072ACE">
        <w:rPr>
          <w:rFonts w:asciiTheme="majorHAnsi" w:hAnsiTheme="majorHAnsi" w:cstheme="majorBidi"/>
        </w:rPr>
        <w:t>This supplementary material provides a step-by-step protocol for preparing iodine solutions and assembling a locally constructed multi-bottle iodine phantom for spectral-CT iodine quantification. The protocol is intended as a practical guide that can be reproduced using commonly available clinical materials, while allowing adaptation to local bottle size, vial type, and scanner-specific spectral CT protocols.</w:t>
      </w:r>
    </w:p>
    <w:p w14:paraId="510A6D72" w14:textId="77777777" w:rsidR="00117247" w:rsidRPr="00A07916" w:rsidRDefault="00117247" w:rsidP="61072ACE">
      <w:pPr>
        <w:jc w:val="both"/>
        <w:rPr>
          <w:rFonts w:asciiTheme="majorHAnsi" w:hAnsiTheme="majorHAnsi" w:cstheme="majorBidi"/>
          <w:lang w:val="en-US"/>
        </w:rPr>
      </w:pPr>
      <w:r w:rsidRPr="61072ACE">
        <w:rPr>
          <w:rFonts w:asciiTheme="majorHAnsi" w:hAnsiTheme="majorHAnsi" w:cstheme="majorBidi"/>
        </w:rPr>
        <w:t>Although the example below uses iodinated contrast medium containing 300 mg I/mL of iodine and 14 mL vials, the same dilution approach can be adapted to other contrast medium concentrations, vial sizes, and locally available containers by recalculating the required stock and dilution volume.</w:t>
      </w:r>
    </w:p>
    <w:p w14:paraId="18159CB6" w14:textId="77777777" w:rsidR="00117247" w:rsidRPr="00A07916" w:rsidRDefault="00117247" w:rsidP="00D11A22">
      <w:pPr>
        <w:rPr>
          <w:rFonts w:asciiTheme="majorHAnsi" w:hAnsiTheme="majorHAnsi" w:cstheme="majorHAnsi"/>
          <w:b/>
          <w:bCs/>
          <w:lang w:val="en-US"/>
        </w:rPr>
      </w:pPr>
      <w:r w:rsidRPr="00A07916">
        <w:rPr>
          <w:rFonts w:asciiTheme="majorHAnsi" w:hAnsiTheme="majorHAnsi" w:cstheme="majorHAnsi"/>
          <w:b/>
          <w:bCs/>
          <w:lang w:val="en-US"/>
        </w:rPr>
        <w:t>S2. Materials</w:t>
      </w:r>
    </w:p>
    <w:p w14:paraId="1029B3FB" w14:textId="77777777" w:rsidR="00117247" w:rsidRPr="00E905FE" w:rsidRDefault="00117247" w:rsidP="00D11A22">
      <w:pPr>
        <w:rPr>
          <w:rFonts w:asciiTheme="majorHAnsi" w:hAnsiTheme="majorHAnsi" w:cstheme="majorHAnsi"/>
          <w:lang w:val="en-US"/>
        </w:rPr>
      </w:pPr>
      <w:r w:rsidRPr="00E905FE">
        <w:rPr>
          <w:rFonts w:asciiTheme="majorHAnsi" w:hAnsiTheme="majorHAnsi" w:cstheme="majorHAnsi"/>
          <w:lang w:val="en-US"/>
        </w:rPr>
        <w:t>The following materials are required:</w:t>
      </w:r>
    </w:p>
    <w:p w14:paraId="2AEA7110" w14:textId="77777777" w:rsidR="00117247" w:rsidRPr="00E905FE" w:rsidRDefault="00117247" w:rsidP="00D11A22">
      <w:pPr>
        <w:pStyle w:val="Prrafodelista"/>
        <w:numPr>
          <w:ilvl w:val="0"/>
          <w:numId w:val="26"/>
        </w:numPr>
        <w:rPr>
          <w:rFonts w:asciiTheme="majorHAnsi" w:hAnsiTheme="majorHAnsi" w:cstheme="majorHAnsi"/>
          <w:lang w:val="en-US"/>
        </w:rPr>
      </w:pPr>
      <w:r w:rsidRPr="00E905FE">
        <w:rPr>
          <w:rFonts w:asciiTheme="majorHAnsi" w:hAnsiTheme="majorHAnsi" w:cstheme="majorHAnsi"/>
          <w:lang w:val="en-US"/>
        </w:rPr>
        <w:t>Iodinated contrast medium containing 300 mg of I/mL of iodine.</w:t>
      </w:r>
    </w:p>
    <w:p w14:paraId="7F003439" w14:textId="77777777" w:rsidR="00117247" w:rsidRPr="00E905FE" w:rsidRDefault="00117247" w:rsidP="00D11A22">
      <w:pPr>
        <w:pStyle w:val="Prrafodelista"/>
        <w:numPr>
          <w:ilvl w:val="0"/>
          <w:numId w:val="26"/>
        </w:numPr>
        <w:rPr>
          <w:rFonts w:asciiTheme="majorHAnsi" w:hAnsiTheme="majorHAnsi" w:cstheme="majorHAnsi"/>
          <w:lang w:val="en-US"/>
        </w:rPr>
      </w:pPr>
      <w:r w:rsidRPr="00E905FE">
        <w:rPr>
          <w:rFonts w:asciiTheme="majorHAnsi" w:hAnsiTheme="majorHAnsi" w:cstheme="majorHAnsi"/>
          <w:lang w:val="en-US"/>
        </w:rPr>
        <w:t>Sterile water for injection or an equivalent dilution medium.</w:t>
      </w:r>
    </w:p>
    <w:p w14:paraId="45E05E80" w14:textId="77777777" w:rsidR="00117247" w:rsidRPr="00E905FE" w:rsidRDefault="00117247" w:rsidP="00D11A22">
      <w:pPr>
        <w:pStyle w:val="Prrafodelista"/>
        <w:numPr>
          <w:ilvl w:val="0"/>
          <w:numId w:val="26"/>
        </w:numPr>
        <w:rPr>
          <w:rFonts w:asciiTheme="majorHAnsi" w:hAnsiTheme="majorHAnsi" w:cstheme="majorHAnsi"/>
          <w:lang w:val="en-US"/>
        </w:rPr>
      </w:pPr>
      <w:r w:rsidRPr="00E905FE">
        <w:rPr>
          <w:rFonts w:asciiTheme="majorHAnsi" w:hAnsiTheme="majorHAnsi" w:cstheme="majorHAnsi"/>
          <w:lang w:val="en-US"/>
        </w:rPr>
        <w:lastRenderedPageBreak/>
        <w:t>Syringes:</w:t>
      </w:r>
    </w:p>
    <w:p w14:paraId="4B962EA3" w14:textId="77777777" w:rsidR="00117247" w:rsidRPr="00E905FE" w:rsidRDefault="00117247" w:rsidP="001A29D3">
      <w:pPr>
        <w:pStyle w:val="Prrafodelista"/>
        <w:numPr>
          <w:ilvl w:val="1"/>
          <w:numId w:val="26"/>
        </w:numPr>
        <w:rPr>
          <w:rFonts w:asciiTheme="majorHAnsi" w:hAnsiTheme="majorHAnsi" w:cstheme="majorBidi"/>
          <w:lang w:val="en-US"/>
        </w:rPr>
      </w:pPr>
      <w:r w:rsidRPr="61072ACE">
        <w:rPr>
          <w:rFonts w:asciiTheme="majorHAnsi" w:hAnsiTheme="majorHAnsi" w:cstheme="majorBidi"/>
          <w:lang w:val="en-US"/>
        </w:rPr>
        <w:t>3 mL syringe, preferably with ±0.05 mL accuracy.</w:t>
      </w:r>
    </w:p>
    <w:p w14:paraId="5B8810C2" w14:textId="77777777" w:rsidR="00117247" w:rsidRPr="00E905FE" w:rsidRDefault="00117247" w:rsidP="001A29D3">
      <w:pPr>
        <w:pStyle w:val="Prrafodelista"/>
        <w:numPr>
          <w:ilvl w:val="1"/>
          <w:numId w:val="26"/>
        </w:numPr>
        <w:rPr>
          <w:rFonts w:asciiTheme="majorHAnsi" w:hAnsiTheme="majorHAnsi" w:cstheme="majorBidi"/>
          <w:lang w:val="en-US"/>
        </w:rPr>
      </w:pPr>
      <w:r w:rsidRPr="61072ACE">
        <w:rPr>
          <w:rFonts w:asciiTheme="majorHAnsi" w:hAnsiTheme="majorHAnsi" w:cstheme="majorBidi"/>
          <w:lang w:val="en-US"/>
        </w:rPr>
        <w:t>10 mL syringe, preferably with ±0.2 mL accuracy.</w:t>
      </w:r>
    </w:p>
    <w:p w14:paraId="0DF7D1C0" w14:textId="77777777" w:rsidR="00117247" w:rsidRPr="00E905FE" w:rsidRDefault="00117247" w:rsidP="001A29D3">
      <w:pPr>
        <w:pStyle w:val="Prrafodelista"/>
        <w:numPr>
          <w:ilvl w:val="1"/>
          <w:numId w:val="26"/>
        </w:numPr>
        <w:rPr>
          <w:rFonts w:asciiTheme="majorHAnsi" w:hAnsiTheme="majorHAnsi" w:cstheme="majorBidi"/>
          <w:lang w:val="en-US"/>
        </w:rPr>
      </w:pPr>
      <w:r w:rsidRPr="61072ACE">
        <w:rPr>
          <w:rFonts w:asciiTheme="majorHAnsi" w:hAnsiTheme="majorHAnsi" w:cstheme="majorBidi"/>
          <w:lang w:val="en-US"/>
        </w:rPr>
        <w:t>20 mL syringe, preferably with ±0.2 mL accuracy.</w:t>
      </w:r>
    </w:p>
    <w:p w14:paraId="77365C1B" w14:textId="77777777" w:rsidR="00117247" w:rsidRPr="00E905FE" w:rsidRDefault="00117247" w:rsidP="00D11A22">
      <w:pPr>
        <w:pStyle w:val="Prrafodelista"/>
        <w:numPr>
          <w:ilvl w:val="0"/>
          <w:numId w:val="26"/>
        </w:numPr>
        <w:rPr>
          <w:rFonts w:asciiTheme="majorHAnsi" w:hAnsiTheme="majorHAnsi" w:cstheme="majorHAnsi"/>
          <w:lang w:val="en-US"/>
        </w:rPr>
      </w:pPr>
      <w:r>
        <w:rPr>
          <w:rFonts w:asciiTheme="majorHAnsi" w:hAnsiTheme="majorHAnsi" w:cstheme="majorHAnsi"/>
          <w:lang w:val="en-US"/>
        </w:rPr>
        <w:t>High</w:t>
      </w:r>
      <w:r w:rsidRPr="00E905FE">
        <w:rPr>
          <w:rFonts w:asciiTheme="majorHAnsi" w:hAnsiTheme="majorHAnsi" w:cstheme="majorHAnsi"/>
          <w:lang w:val="en-US"/>
        </w:rPr>
        <w:t>-gauge needles to minimise air bubble formation.</w:t>
      </w:r>
    </w:p>
    <w:p w14:paraId="7B788233" w14:textId="77777777" w:rsidR="00117247" w:rsidRPr="00E905FE" w:rsidRDefault="00117247" w:rsidP="61072ACE">
      <w:pPr>
        <w:pStyle w:val="Prrafodelista"/>
        <w:numPr>
          <w:ilvl w:val="0"/>
          <w:numId w:val="26"/>
        </w:numPr>
        <w:rPr>
          <w:rFonts w:asciiTheme="majorHAnsi" w:hAnsiTheme="majorHAnsi" w:cstheme="majorBidi"/>
          <w:lang w:val="en-US"/>
        </w:rPr>
      </w:pPr>
      <w:r w:rsidRPr="61072ACE">
        <w:rPr>
          <w:rFonts w:asciiTheme="majorHAnsi" w:hAnsiTheme="majorHAnsi" w:cstheme="majorBidi"/>
          <w:lang w:val="en-US"/>
        </w:rPr>
        <w:t>Four or more small plastic tubes or vials, approximately 10-15 mL nominal capacity, filled to a final volume of 1 mL less than the total volume.</w:t>
      </w:r>
    </w:p>
    <w:p w14:paraId="5927CB3F" w14:textId="77777777" w:rsidR="00117247" w:rsidRPr="00E905FE" w:rsidRDefault="00117247" w:rsidP="00D11A22">
      <w:pPr>
        <w:pStyle w:val="Prrafodelista"/>
        <w:numPr>
          <w:ilvl w:val="0"/>
          <w:numId w:val="26"/>
        </w:numPr>
        <w:rPr>
          <w:rFonts w:asciiTheme="majorHAnsi" w:hAnsiTheme="majorHAnsi" w:cstheme="majorHAnsi"/>
          <w:lang w:val="en-US"/>
        </w:rPr>
      </w:pPr>
      <w:r w:rsidRPr="00E905FE">
        <w:rPr>
          <w:rFonts w:asciiTheme="majorHAnsi" w:hAnsiTheme="majorHAnsi" w:cstheme="majorHAnsi"/>
          <w:lang w:val="en-US"/>
        </w:rPr>
        <w:t>10–12 identical plastic water bottles, approximately 300–500 mL each.</w:t>
      </w:r>
    </w:p>
    <w:p w14:paraId="66AD1F4E" w14:textId="77777777" w:rsidR="00117247" w:rsidRPr="00E905FE" w:rsidRDefault="00117247" w:rsidP="61072ACE">
      <w:pPr>
        <w:pStyle w:val="Prrafodelista"/>
        <w:numPr>
          <w:ilvl w:val="0"/>
          <w:numId w:val="26"/>
        </w:numPr>
        <w:rPr>
          <w:rFonts w:asciiTheme="majorHAnsi" w:hAnsiTheme="majorHAnsi" w:cstheme="majorBidi"/>
          <w:lang w:val="en-US"/>
        </w:rPr>
      </w:pPr>
      <w:r w:rsidRPr="61072ACE">
        <w:rPr>
          <w:rFonts w:asciiTheme="majorHAnsi" w:hAnsiTheme="majorHAnsi" w:cstheme="majorBidi"/>
          <w:lang w:val="en-US"/>
        </w:rPr>
        <w:t>Cyanoacrylate adhesive or an equivalent fixation method, if needed, to secure iodine vials to bottle caps or bottle openings (e.g. plastics to plastic adhesive or glue).</w:t>
      </w:r>
    </w:p>
    <w:p w14:paraId="1A96D100" w14:textId="77777777" w:rsidR="00117247" w:rsidRPr="00A07916" w:rsidRDefault="00117247" w:rsidP="00D11A22">
      <w:pPr>
        <w:rPr>
          <w:rFonts w:asciiTheme="majorHAnsi" w:hAnsiTheme="majorHAnsi" w:cstheme="majorHAnsi"/>
          <w:b/>
          <w:bCs/>
          <w:lang w:val="en-US"/>
        </w:rPr>
      </w:pPr>
      <w:r w:rsidRPr="00A07916">
        <w:rPr>
          <w:rFonts w:asciiTheme="majorHAnsi" w:hAnsiTheme="majorHAnsi" w:cstheme="majorHAnsi"/>
          <w:b/>
          <w:bCs/>
          <w:lang w:val="en-US"/>
        </w:rPr>
        <w:t>S3. Preparation of the parent stock solution</w:t>
      </w:r>
    </w:p>
    <w:p w14:paraId="26DCA26D" w14:textId="77777777" w:rsidR="00117247" w:rsidRPr="00E905FE" w:rsidRDefault="00117247" w:rsidP="00D11A22">
      <w:pPr>
        <w:rPr>
          <w:rFonts w:asciiTheme="majorHAnsi" w:hAnsiTheme="majorHAnsi" w:cstheme="majorHAnsi"/>
          <w:lang w:val="en-US"/>
        </w:rPr>
      </w:pPr>
      <w:r w:rsidRPr="00E905FE">
        <w:rPr>
          <w:rFonts w:asciiTheme="majorHAnsi" w:hAnsiTheme="majorHAnsi" w:cstheme="majorHAnsi"/>
          <w:lang w:val="en-US"/>
        </w:rPr>
        <w:t>A 30 mg I/mL parent stock solution is prepared from iodinated contrast medium containing 300 mg I/mL iodine.</w:t>
      </w:r>
    </w:p>
    <w:p w14:paraId="794FF6A0"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Withdraw 2 mL of iodinated contrast medium containing 300 mg I/mL iodine using a 3 mL syringe.</w:t>
      </w:r>
    </w:p>
    <w:p w14:paraId="0BB55FD3"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Transfer the 2 mL of contrast medium into a 20 mL syringe or equivalent container.</w:t>
      </w:r>
    </w:p>
    <w:p w14:paraId="4829D354"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Move the plunger several times to ensure complete transfer of the contrast medium.</w:t>
      </w:r>
    </w:p>
    <w:p w14:paraId="079D27C5"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Add sterile water to a final total volume of 20 mL.</w:t>
      </w:r>
    </w:p>
    <w:p w14:paraId="330B5369"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Mix gently by rolling or slow inversion. Do not shake vigorously, as this may introduce bubbles or foams.</w:t>
      </w:r>
    </w:p>
    <w:p w14:paraId="548BA861"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If a syringe is used as the stock container, leave a small air bubble to allow gentle re-mixing before subsequent use.</w:t>
      </w:r>
    </w:p>
    <w:p w14:paraId="0CC764C9" w14:textId="77777777" w:rsidR="00117247" w:rsidRPr="00E905FE" w:rsidRDefault="00117247" w:rsidP="00D11A22">
      <w:pPr>
        <w:pStyle w:val="Prrafodelista"/>
        <w:numPr>
          <w:ilvl w:val="0"/>
          <w:numId w:val="28"/>
        </w:numPr>
        <w:jc w:val="both"/>
        <w:rPr>
          <w:rFonts w:asciiTheme="majorHAnsi" w:hAnsiTheme="majorHAnsi" w:cstheme="majorHAnsi"/>
          <w:lang w:val="en-US"/>
        </w:rPr>
      </w:pPr>
      <w:r w:rsidRPr="00E905FE">
        <w:rPr>
          <w:rFonts w:asciiTheme="majorHAnsi" w:hAnsiTheme="majorHAnsi" w:cstheme="majorHAnsi"/>
          <w:lang w:val="en-US"/>
        </w:rPr>
        <w:t>Label the syringe or container with: “Stock 30 mg I/mL,” preparation date, operator initials, and contrast medium batch.</w:t>
      </w:r>
    </w:p>
    <w:p w14:paraId="58723ACD" w14:textId="77777777" w:rsidR="00117247" w:rsidRPr="00E905FE" w:rsidRDefault="00117247" w:rsidP="00D11A22">
      <w:pPr>
        <w:rPr>
          <w:rFonts w:asciiTheme="majorHAnsi" w:hAnsiTheme="majorHAnsi" w:cstheme="majorHAnsi"/>
          <w:lang w:val="en-US"/>
        </w:rPr>
      </w:pPr>
      <w:r w:rsidRPr="00E905FE">
        <w:rPr>
          <w:rFonts w:asciiTheme="majorHAnsi" w:hAnsiTheme="majorHAnsi" w:cstheme="majorHAnsi"/>
          <w:lang w:val="en-US"/>
        </w:rPr>
        <w:t>This produces a nominal 30 mg I/mL parent stock solution.</w:t>
      </w:r>
    </w:p>
    <w:p w14:paraId="3146A4C3" w14:textId="77777777" w:rsidR="00117247" w:rsidRPr="00A07916" w:rsidRDefault="00117247" w:rsidP="61072ACE">
      <w:pPr>
        <w:ind w:left="720" w:hanging="720"/>
        <w:rPr>
          <w:rFonts w:asciiTheme="majorHAnsi" w:hAnsiTheme="majorHAnsi" w:cstheme="majorBidi"/>
          <w:b/>
          <w:bCs/>
          <w:lang w:val="en-US"/>
        </w:rPr>
      </w:pPr>
      <w:r w:rsidRPr="61072ACE">
        <w:rPr>
          <w:rFonts w:asciiTheme="majorHAnsi" w:hAnsiTheme="majorHAnsi" w:cstheme="majorBidi"/>
          <w:b/>
          <w:bCs/>
          <w:lang w:val="en-US"/>
        </w:rPr>
        <w:t xml:space="preserve">S4. </w:t>
      </w:r>
      <w:r w:rsidRPr="61072ACE">
        <w:rPr>
          <w:rFonts w:asciiTheme="majorHAnsi" w:hAnsiTheme="majorHAnsi" w:cstheme="majorBidi"/>
          <w:b/>
          <w:bCs/>
        </w:rPr>
        <w:t>Preparation of iodine working solutions</w:t>
      </w:r>
    </w:p>
    <w:p w14:paraId="7E2BA1F4" w14:textId="77777777" w:rsidR="00117247" w:rsidRDefault="00117247" w:rsidP="00D11A22">
      <w:pPr>
        <w:rPr>
          <w:rFonts w:asciiTheme="majorHAnsi" w:hAnsiTheme="majorHAnsi" w:cstheme="majorHAnsi"/>
          <w:lang w:val="en-US"/>
        </w:rPr>
      </w:pPr>
      <w:r w:rsidRPr="00E905FE">
        <w:rPr>
          <w:rFonts w:asciiTheme="majorHAnsi" w:hAnsiTheme="majorHAnsi" w:cstheme="majorHAnsi"/>
          <w:lang w:val="en-US"/>
        </w:rPr>
        <w:t>The required stock volume is calculated as:</w:t>
      </w:r>
    </w:p>
    <w:p w14:paraId="6AF11B07" w14:textId="77777777" w:rsidR="00117247" w:rsidRPr="00A07916" w:rsidRDefault="00000000" w:rsidP="00D11A22">
      <w:pPr>
        <w:rPr>
          <w:rFonts w:asciiTheme="majorHAnsi" w:hAnsiTheme="majorHAnsi" w:cstheme="majorHAnsi"/>
          <w:lang w:val="es-CO"/>
        </w:rPr>
      </w:pPr>
      <m:oMathPara>
        <m:oMath>
          <m:sSub>
            <m:sSubPr>
              <m:ctrlPr>
                <w:rPr>
                  <w:rFonts w:ascii="Cambria Math" w:hAnsi="Cambria Math" w:cstheme="majorHAnsi"/>
                  <w:lang w:val="es-CO"/>
                </w:rPr>
              </m:ctrlPr>
            </m:sSubPr>
            <m:e>
              <m:r>
                <w:rPr>
                  <w:rFonts w:ascii="Cambria Math" w:hAnsi="Cambria Math" w:cstheme="majorHAnsi"/>
                  <w:lang w:val="es-CO"/>
                </w:rPr>
                <m:t>V</m:t>
              </m:r>
            </m:e>
            <m:sub>
              <m:r>
                <w:rPr>
                  <w:rFonts w:ascii="Cambria Math" w:hAnsi="Cambria Math" w:cstheme="majorHAnsi"/>
                  <w:lang w:val="es-CO"/>
                </w:rPr>
                <m:t>s</m:t>
              </m:r>
            </m:sub>
          </m:sSub>
          <m:r>
            <w:rPr>
              <w:rFonts w:ascii="Cambria Math" w:hAnsi="Cambria Math" w:cstheme="majorHAnsi"/>
              <w:lang w:val="es-CO"/>
            </w:rPr>
            <m:t>=</m:t>
          </m:r>
          <m:f>
            <m:fPr>
              <m:ctrlPr>
                <w:rPr>
                  <w:rFonts w:ascii="Cambria Math" w:hAnsi="Cambria Math" w:cstheme="majorHAnsi"/>
                  <w:lang w:val="es-CO"/>
                </w:rPr>
              </m:ctrlPr>
            </m:fPr>
            <m:num>
              <m:sSub>
                <m:sSubPr>
                  <m:ctrlPr>
                    <w:rPr>
                      <w:rFonts w:ascii="Cambria Math" w:hAnsi="Cambria Math" w:cstheme="majorHAnsi"/>
                      <w:lang w:val="es-CO"/>
                    </w:rPr>
                  </m:ctrlPr>
                </m:sSubPr>
                <m:e>
                  <m:r>
                    <w:rPr>
                      <w:rFonts w:ascii="Cambria Math" w:hAnsi="Cambria Math" w:cstheme="majorHAnsi"/>
                      <w:lang w:val="es-CO"/>
                    </w:rPr>
                    <m:t>C</m:t>
                  </m:r>
                </m:e>
                <m:sub>
                  <m:r>
                    <w:rPr>
                      <w:rFonts w:ascii="Cambria Math" w:hAnsi="Cambria Math" w:cstheme="majorHAnsi"/>
                      <w:lang w:val="es-CO"/>
                    </w:rPr>
                    <m:t>T</m:t>
                  </m:r>
                </m:sub>
              </m:sSub>
              <m:r>
                <w:rPr>
                  <w:rFonts w:ascii="Cambria Math" w:hAnsi="Cambria Math" w:cstheme="majorHAnsi"/>
                  <w:lang w:val="es-CO"/>
                </w:rPr>
                <m:t>×</m:t>
              </m:r>
              <m:sSub>
                <m:sSubPr>
                  <m:ctrlPr>
                    <w:rPr>
                      <w:rFonts w:ascii="Cambria Math" w:hAnsi="Cambria Math" w:cstheme="majorHAnsi"/>
                      <w:lang w:val="es-CO"/>
                    </w:rPr>
                  </m:ctrlPr>
                </m:sSubPr>
                <m:e>
                  <m:r>
                    <w:rPr>
                      <w:rFonts w:ascii="Cambria Math" w:hAnsi="Cambria Math" w:cstheme="majorHAnsi"/>
                      <w:lang w:val="es-CO"/>
                    </w:rPr>
                    <m:t>V</m:t>
                  </m:r>
                </m:e>
                <m:sub>
                  <m:r>
                    <w:rPr>
                      <w:rFonts w:ascii="Cambria Math" w:hAnsi="Cambria Math" w:cstheme="majorHAnsi"/>
                      <w:lang w:val="es-CO"/>
                    </w:rPr>
                    <m:t>T</m:t>
                  </m:r>
                </m:sub>
              </m:sSub>
            </m:num>
            <m:den>
              <m:sSub>
                <m:sSubPr>
                  <m:ctrlPr>
                    <w:rPr>
                      <w:rFonts w:ascii="Cambria Math" w:hAnsi="Cambria Math" w:cstheme="majorHAnsi"/>
                      <w:lang w:val="es-CO"/>
                    </w:rPr>
                  </m:ctrlPr>
                </m:sSubPr>
                <m:e>
                  <m:r>
                    <w:rPr>
                      <w:rFonts w:ascii="Cambria Math" w:hAnsi="Cambria Math" w:cstheme="majorHAnsi"/>
                      <w:lang w:val="es-CO"/>
                    </w:rPr>
                    <m:t>C</m:t>
                  </m:r>
                </m:e>
                <m:sub>
                  <m:r>
                    <w:rPr>
                      <w:rFonts w:ascii="Cambria Math" w:hAnsi="Cambria Math" w:cstheme="majorHAnsi"/>
                      <w:lang w:val="es-CO"/>
                    </w:rPr>
                    <m:t>s</m:t>
                  </m:r>
                </m:sub>
              </m:sSub>
            </m:den>
          </m:f>
          <m:r>
            <m:rPr>
              <m:sty m:val="p"/>
            </m:rPr>
            <w:rPr>
              <w:rFonts w:ascii="Cambria Math" w:hAnsi="Cambria Math" w:cstheme="majorHAnsi"/>
              <w:lang w:val="es-CO"/>
            </w:rPr>
            <w:br/>
          </m:r>
        </m:oMath>
      </m:oMathPara>
    </w:p>
    <w:p w14:paraId="3EA6D274" w14:textId="77777777" w:rsidR="00117247" w:rsidRDefault="00117247" w:rsidP="00C44D91">
      <w:pPr>
        <w:jc w:val="both"/>
        <w:rPr>
          <w:rFonts w:asciiTheme="majorHAnsi" w:hAnsiTheme="majorHAnsi" w:cstheme="majorHAnsi"/>
          <w:lang w:val="en-US"/>
        </w:rPr>
      </w:pPr>
      <w:r w:rsidRPr="00A07916">
        <w:rPr>
          <w:rFonts w:asciiTheme="majorHAnsi" w:hAnsiTheme="majorHAnsi" w:cstheme="majorHAnsi"/>
          <w:lang w:val="en-US"/>
        </w:rPr>
        <w:t xml:space="preserve">where </w:t>
      </w:r>
      <m:oMath>
        <m:sSub>
          <m:sSubPr>
            <m:ctrlPr>
              <w:rPr>
                <w:rFonts w:ascii="Cambria Math" w:hAnsi="Cambria Math" w:cstheme="majorHAnsi"/>
                <w:lang w:val="es-CO"/>
              </w:rPr>
            </m:ctrlPr>
          </m:sSubPr>
          <m:e>
            <m:r>
              <w:rPr>
                <w:rFonts w:ascii="Cambria Math" w:hAnsi="Cambria Math" w:cstheme="majorHAnsi"/>
                <w:lang w:val="es-CO"/>
              </w:rPr>
              <m:t>V</m:t>
            </m:r>
          </m:e>
          <m:sub>
            <m:r>
              <w:rPr>
                <w:rFonts w:ascii="Cambria Math" w:hAnsi="Cambria Math" w:cstheme="majorHAnsi"/>
                <w:lang w:val="es-CO"/>
              </w:rPr>
              <m:t>s</m:t>
            </m:r>
          </m:sub>
        </m:sSub>
      </m:oMath>
      <w:r w:rsidRPr="00E905FE">
        <w:rPr>
          <w:rFonts w:asciiTheme="majorHAnsi" w:hAnsiTheme="majorHAnsi" w:cstheme="majorHAnsi"/>
          <w:lang w:val="en-US"/>
        </w:rPr>
        <w:t xml:space="preserve"> </w:t>
      </w:r>
      <w:r w:rsidRPr="00A07916">
        <w:rPr>
          <w:rFonts w:asciiTheme="majorHAnsi" w:hAnsiTheme="majorHAnsi" w:cstheme="majorHAnsi"/>
          <w:lang w:val="en-US"/>
        </w:rPr>
        <w:t xml:space="preserve">is the required volume of parent stock solution, </w:t>
      </w:r>
      <m:oMath>
        <m:sSub>
          <m:sSubPr>
            <m:ctrlPr>
              <w:rPr>
                <w:rFonts w:ascii="Cambria Math" w:hAnsi="Cambria Math" w:cstheme="majorHAnsi"/>
                <w:lang w:val="es-CO"/>
              </w:rPr>
            </m:ctrlPr>
          </m:sSubPr>
          <m:e>
            <m:r>
              <w:rPr>
                <w:rFonts w:ascii="Cambria Math" w:hAnsi="Cambria Math" w:cstheme="majorHAnsi"/>
                <w:lang w:val="es-CO"/>
              </w:rPr>
              <m:t>C</m:t>
            </m:r>
          </m:e>
          <m:sub>
            <m:r>
              <w:rPr>
                <w:rFonts w:ascii="Cambria Math" w:hAnsi="Cambria Math" w:cstheme="majorHAnsi"/>
                <w:lang w:val="es-CO"/>
              </w:rPr>
              <m:t>T</m:t>
            </m:r>
          </m:sub>
        </m:sSub>
      </m:oMath>
      <w:r w:rsidRPr="00E905FE">
        <w:rPr>
          <w:rFonts w:asciiTheme="majorHAnsi" w:hAnsiTheme="majorHAnsi" w:cstheme="majorHAnsi"/>
          <w:lang w:val="en-US"/>
        </w:rPr>
        <w:t xml:space="preserve"> </w:t>
      </w:r>
      <w:r w:rsidRPr="00A07916">
        <w:rPr>
          <w:rFonts w:asciiTheme="majorHAnsi" w:hAnsiTheme="majorHAnsi" w:cstheme="majorHAnsi"/>
          <w:lang w:val="en-US"/>
        </w:rPr>
        <w:t xml:space="preserve">is the </w:t>
      </w:r>
      <w:r>
        <w:rPr>
          <w:rFonts w:asciiTheme="majorHAnsi" w:hAnsiTheme="majorHAnsi" w:cstheme="majorHAnsi"/>
          <w:lang w:val="en-US"/>
        </w:rPr>
        <w:t>nominal iodine concentration</w:t>
      </w:r>
      <w:r w:rsidRPr="00A07916">
        <w:rPr>
          <w:rFonts w:asciiTheme="majorHAnsi" w:hAnsiTheme="majorHAnsi" w:cstheme="majorHAnsi"/>
          <w:lang w:val="en-US"/>
        </w:rPr>
        <w:t xml:space="preserve">, </w:t>
      </w:r>
      <m:oMath>
        <m:sSub>
          <m:sSubPr>
            <m:ctrlPr>
              <w:rPr>
                <w:rFonts w:ascii="Cambria Math" w:hAnsi="Cambria Math" w:cstheme="majorHAnsi"/>
                <w:lang w:val="es-CO"/>
              </w:rPr>
            </m:ctrlPr>
          </m:sSubPr>
          <m:e>
            <m:r>
              <w:rPr>
                <w:rFonts w:ascii="Cambria Math" w:hAnsi="Cambria Math" w:cstheme="majorHAnsi"/>
                <w:lang w:val="es-CO"/>
              </w:rPr>
              <m:t>V</m:t>
            </m:r>
          </m:e>
          <m:sub>
            <m:r>
              <w:rPr>
                <w:rFonts w:ascii="Cambria Math" w:hAnsi="Cambria Math" w:cstheme="majorHAnsi"/>
                <w:lang w:val="es-CO"/>
              </w:rPr>
              <m:t>T</m:t>
            </m:r>
          </m:sub>
        </m:sSub>
      </m:oMath>
      <w:r w:rsidRPr="00E905FE">
        <w:rPr>
          <w:rFonts w:asciiTheme="majorHAnsi" w:hAnsiTheme="majorHAnsi" w:cstheme="majorHAnsi"/>
          <w:lang w:val="en-US"/>
        </w:rPr>
        <w:t xml:space="preserve"> </w:t>
      </w:r>
      <w:r w:rsidRPr="00A07916">
        <w:rPr>
          <w:rFonts w:asciiTheme="majorHAnsi" w:hAnsiTheme="majorHAnsi" w:cstheme="majorHAnsi"/>
          <w:lang w:val="en-US"/>
        </w:rPr>
        <w:t xml:space="preserve">is the final volume of the iodine insert, and </w:t>
      </w:r>
      <m:oMath>
        <m:sSub>
          <m:sSubPr>
            <m:ctrlPr>
              <w:rPr>
                <w:rFonts w:ascii="Cambria Math" w:hAnsi="Cambria Math" w:cstheme="majorHAnsi"/>
                <w:lang w:val="es-CO"/>
              </w:rPr>
            </m:ctrlPr>
          </m:sSubPr>
          <m:e>
            <m:r>
              <w:rPr>
                <w:rFonts w:ascii="Cambria Math" w:hAnsi="Cambria Math" w:cstheme="majorHAnsi"/>
                <w:lang w:val="es-CO"/>
              </w:rPr>
              <m:t>C</m:t>
            </m:r>
          </m:e>
          <m:sub>
            <m:r>
              <w:rPr>
                <w:rFonts w:ascii="Cambria Math" w:hAnsi="Cambria Math" w:cstheme="majorHAnsi"/>
                <w:lang w:val="es-CO"/>
              </w:rPr>
              <m:t>s</m:t>
            </m:r>
          </m:sub>
        </m:sSub>
      </m:oMath>
      <w:r w:rsidRPr="00E905FE">
        <w:rPr>
          <w:rFonts w:asciiTheme="majorHAnsi" w:hAnsiTheme="majorHAnsi" w:cstheme="majorHAnsi"/>
          <w:lang w:val="en-US"/>
        </w:rPr>
        <w:t xml:space="preserve"> </w:t>
      </w:r>
      <w:r w:rsidRPr="00A07916">
        <w:rPr>
          <w:rFonts w:asciiTheme="majorHAnsi" w:hAnsiTheme="majorHAnsi" w:cstheme="majorHAnsi"/>
          <w:lang w:val="en-US"/>
        </w:rPr>
        <w:t>is the parent stock concentration.</w:t>
      </w:r>
      <w:r>
        <w:rPr>
          <w:rFonts w:asciiTheme="majorHAnsi" w:hAnsiTheme="majorHAnsi" w:cstheme="majorHAnsi"/>
          <w:lang w:val="en-US"/>
        </w:rPr>
        <w:t xml:space="preserve"> </w:t>
      </w:r>
      <w:r w:rsidRPr="00C44D91">
        <w:rPr>
          <w:rFonts w:asciiTheme="majorHAnsi" w:hAnsiTheme="majorHAnsi" w:cstheme="majorHAnsi"/>
        </w:rPr>
        <w:t xml:space="preserve">This equation allows the protocol to be adapted to different iodinated contrast media, parent stock concentrations, and final vial volumes. Centres using a contrast medium with an iodine concentration other than 300 mg I/mL, or vials with a different final volume, should recalculate </w:t>
      </w:r>
      <m:oMath>
        <m:sSub>
          <m:sSubPr>
            <m:ctrlPr>
              <w:rPr>
                <w:rFonts w:ascii="Cambria Math" w:hAnsi="Cambria Math" w:cstheme="majorHAnsi"/>
              </w:rPr>
            </m:ctrlPr>
          </m:sSubPr>
          <m:e>
            <m:r>
              <w:rPr>
                <w:rFonts w:ascii="Cambria Math" w:hAnsi="Cambria Math" w:cstheme="majorHAnsi"/>
              </w:rPr>
              <m:t>V</m:t>
            </m:r>
          </m:e>
          <m:sub>
            <m:r>
              <w:rPr>
                <w:rFonts w:ascii="Cambria Math" w:hAnsi="Cambria Math" w:cstheme="majorHAnsi"/>
              </w:rPr>
              <m:t>s</m:t>
            </m:r>
          </m:sub>
        </m:sSub>
      </m:oMath>
      <w:r w:rsidRPr="00C44D91">
        <w:rPr>
          <w:rFonts w:asciiTheme="majorHAnsi" w:hAnsiTheme="majorHAnsi" w:cstheme="majorHAnsi"/>
        </w:rPr>
        <w:t xml:space="preserve">using their selected </w:t>
      </w:r>
      <m:oMath>
        <m:sSub>
          <m:sSubPr>
            <m:ctrlPr>
              <w:rPr>
                <w:rFonts w:ascii="Cambria Math" w:hAnsi="Cambria Math" w:cstheme="majorHAnsi"/>
              </w:rPr>
            </m:ctrlPr>
          </m:sSubPr>
          <m:e>
            <m:r>
              <w:rPr>
                <w:rFonts w:ascii="Cambria Math" w:hAnsi="Cambria Math" w:cstheme="majorHAnsi"/>
              </w:rPr>
              <m:t>C</m:t>
            </m:r>
          </m:e>
          <m:sub>
            <m:r>
              <w:rPr>
                <w:rFonts w:ascii="Cambria Math" w:hAnsi="Cambria Math" w:cstheme="majorHAnsi"/>
              </w:rPr>
              <m:t>s</m:t>
            </m:r>
          </m:sub>
        </m:sSub>
      </m:oMath>
      <w:r w:rsidRPr="00C44D91">
        <w:rPr>
          <w:rFonts w:asciiTheme="majorHAnsi" w:hAnsiTheme="majorHAnsi" w:cstheme="majorHAnsi"/>
        </w:rPr>
        <w:t xml:space="preserve">, </w:t>
      </w:r>
      <m:oMath>
        <m:sSub>
          <m:sSubPr>
            <m:ctrlPr>
              <w:rPr>
                <w:rFonts w:ascii="Cambria Math" w:hAnsi="Cambria Math" w:cstheme="majorHAnsi"/>
              </w:rPr>
            </m:ctrlPr>
          </m:sSubPr>
          <m:e>
            <m:r>
              <w:rPr>
                <w:rFonts w:ascii="Cambria Math" w:hAnsi="Cambria Math" w:cstheme="majorHAnsi"/>
              </w:rPr>
              <m:t>C</m:t>
            </m:r>
          </m:e>
          <m:sub>
            <m:r>
              <w:rPr>
                <w:rFonts w:ascii="Cambria Math" w:hAnsi="Cambria Math" w:cstheme="majorHAnsi"/>
              </w:rPr>
              <m:t>T</m:t>
            </m:r>
          </m:sub>
        </m:sSub>
      </m:oMath>
      <w:r w:rsidRPr="00C44D91">
        <w:rPr>
          <w:rFonts w:asciiTheme="majorHAnsi" w:hAnsiTheme="majorHAnsi" w:cstheme="majorHAnsi"/>
        </w:rPr>
        <w:t xml:space="preserve">and </w:t>
      </w:r>
      <m:oMath>
        <m:sSub>
          <m:sSubPr>
            <m:ctrlPr>
              <w:rPr>
                <w:rFonts w:ascii="Cambria Math" w:hAnsi="Cambria Math" w:cstheme="majorHAnsi"/>
              </w:rPr>
            </m:ctrlPr>
          </m:sSubPr>
          <m:e>
            <m:r>
              <w:rPr>
                <w:rFonts w:ascii="Cambria Math" w:hAnsi="Cambria Math" w:cstheme="majorHAnsi"/>
              </w:rPr>
              <m:t>V</m:t>
            </m:r>
          </m:e>
          <m:sub>
            <m:r>
              <w:rPr>
                <w:rFonts w:ascii="Cambria Math" w:hAnsi="Cambria Math" w:cstheme="majorHAnsi"/>
              </w:rPr>
              <m:t>T</m:t>
            </m:r>
          </m:sub>
        </m:sSub>
      </m:oMath>
      <w:r w:rsidRPr="00C44D91">
        <w:rPr>
          <w:rFonts w:asciiTheme="majorHAnsi" w:hAnsiTheme="majorHAnsi" w:cstheme="majorHAnsi"/>
        </w:rPr>
        <w:t>.</w:t>
      </w:r>
    </w:p>
    <w:p w14:paraId="20E4902C" w14:textId="77777777" w:rsidR="00117247" w:rsidRDefault="00117247" w:rsidP="61072ACE">
      <w:pPr>
        <w:rPr>
          <w:rFonts w:asciiTheme="majorHAnsi" w:hAnsiTheme="majorHAnsi" w:cstheme="majorBidi"/>
          <w:lang w:val="en-US"/>
        </w:rPr>
      </w:pPr>
      <w:r w:rsidRPr="61072ACE">
        <w:rPr>
          <w:rFonts w:asciiTheme="majorHAnsi" w:hAnsiTheme="majorHAnsi" w:cstheme="majorBidi"/>
          <w:i/>
          <w:iCs/>
          <w:lang w:val="en-US"/>
        </w:rPr>
        <w:t xml:space="preserve">Method 1 (using </w:t>
      </w:r>
      <w:r w:rsidRPr="00FB61DE">
        <w:rPr>
          <w:rFonts w:asciiTheme="majorHAnsi" w:hAnsiTheme="majorHAnsi" w:cstheme="majorBidi"/>
          <w:i/>
          <w:iCs/>
        </w:rPr>
        <w:t>predefined volumes of parent stock solution)</w:t>
      </w:r>
    </w:p>
    <w:p w14:paraId="7B7BAE44" w14:textId="77777777" w:rsidR="00117247" w:rsidRDefault="00117247" w:rsidP="61072ACE">
      <w:pPr>
        <w:rPr>
          <w:rFonts w:asciiTheme="majorHAnsi" w:hAnsiTheme="majorHAnsi" w:cstheme="majorBidi"/>
          <w:lang w:val="en-US"/>
        </w:rPr>
      </w:pPr>
      <w:r w:rsidRPr="61072ACE">
        <w:rPr>
          <w:rFonts w:asciiTheme="majorHAnsi" w:hAnsiTheme="majorHAnsi" w:cstheme="majorBidi"/>
          <w:lang w:val="en-US"/>
        </w:rPr>
        <w:t>Four iodine working solutions are prepared from the 30 mg I/mL parent stock solution. Each 15 mL volume iodine vial is filled to a final volume of 14 mL.</w:t>
      </w:r>
    </w:p>
    <w:p w14:paraId="52D94F14" w14:textId="77777777" w:rsidR="00117247" w:rsidRPr="00E905FE" w:rsidRDefault="00000000" w:rsidP="00D11A22">
      <w:pPr>
        <w:numPr>
          <w:ilvl w:val="0"/>
          <w:numId w:val="27"/>
        </w:numPr>
        <w:rPr>
          <w:rFonts w:asciiTheme="majorHAnsi" w:hAnsiTheme="majorHAnsi" w:cstheme="majorHAnsi"/>
          <w:lang w:val="es-CO"/>
        </w:rPr>
      </w:pPr>
      <m:oMath>
        <m:sSub>
          <m:sSubPr>
            <m:ctrlPr>
              <w:rPr>
                <w:rFonts w:ascii="Cambria Math" w:hAnsi="Cambria Math" w:cstheme="majorHAnsi"/>
                <w:lang w:val="es-CO"/>
              </w:rPr>
            </m:ctrlPr>
          </m:sSubPr>
          <m:e>
            <m:r>
              <w:rPr>
                <w:rFonts w:ascii="Cambria Math" w:hAnsi="Cambria Math" w:cstheme="majorHAnsi"/>
                <w:lang w:val="es-CO"/>
              </w:rPr>
              <m:t>C</m:t>
            </m:r>
          </m:e>
          <m:sub>
            <m:r>
              <w:rPr>
                <w:rFonts w:ascii="Cambria Math" w:hAnsi="Cambria Math" w:cstheme="majorHAnsi"/>
                <w:lang w:val="es-CO"/>
              </w:rPr>
              <m:t>s</m:t>
            </m:r>
          </m:sub>
        </m:sSub>
      </m:oMath>
      <w:r w:rsidR="00117247">
        <w:rPr>
          <w:rFonts w:asciiTheme="majorHAnsi" w:hAnsiTheme="majorHAnsi" w:cstheme="majorHAnsi"/>
          <w:lang w:val="es-CO"/>
        </w:rPr>
        <w:t xml:space="preserve"> </w:t>
      </w:r>
      <w:r w:rsidR="00117247" w:rsidRPr="00E905FE">
        <w:rPr>
          <w:rFonts w:asciiTheme="majorHAnsi" w:hAnsiTheme="majorHAnsi" w:cstheme="majorHAnsi"/>
          <w:lang w:val="es-CO"/>
        </w:rPr>
        <w:t>= 30 mg I/mL.</w:t>
      </w:r>
    </w:p>
    <w:p w14:paraId="75BB8D27" w14:textId="77777777" w:rsidR="00117247" w:rsidRPr="00E905FE" w:rsidRDefault="00000000" w:rsidP="00D11A22">
      <w:pPr>
        <w:numPr>
          <w:ilvl w:val="0"/>
          <w:numId w:val="27"/>
        </w:numPr>
        <w:rPr>
          <w:rFonts w:asciiTheme="majorHAnsi" w:hAnsiTheme="majorHAnsi" w:cstheme="majorHAnsi"/>
          <w:lang w:val="es-CO"/>
        </w:rPr>
      </w:pPr>
      <m:oMath>
        <m:sSub>
          <m:sSubPr>
            <m:ctrlPr>
              <w:rPr>
                <w:rFonts w:ascii="Cambria Math" w:hAnsi="Cambria Math" w:cstheme="majorHAnsi"/>
                <w:lang w:val="es-CO"/>
              </w:rPr>
            </m:ctrlPr>
          </m:sSubPr>
          <m:e>
            <m:r>
              <w:rPr>
                <w:rFonts w:ascii="Cambria Math" w:hAnsi="Cambria Math" w:cstheme="majorHAnsi"/>
                <w:lang w:val="es-CO"/>
              </w:rPr>
              <m:t>V</m:t>
            </m:r>
          </m:e>
          <m:sub>
            <m:r>
              <w:rPr>
                <w:rFonts w:ascii="Cambria Math" w:hAnsi="Cambria Math" w:cstheme="majorHAnsi"/>
                <w:lang w:val="es-CO"/>
              </w:rPr>
              <m:t>T</m:t>
            </m:r>
          </m:sub>
        </m:sSub>
      </m:oMath>
      <w:r w:rsidR="00117247" w:rsidRPr="00E905FE">
        <w:rPr>
          <w:rFonts w:asciiTheme="majorHAnsi" w:hAnsiTheme="majorHAnsi" w:cstheme="majorHAnsi"/>
          <w:lang w:val="es-CO"/>
        </w:rPr>
        <w:t xml:space="preserve"> = 14 mL.</w:t>
      </w:r>
    </w:p>
    <w:p w14:paraId="3722F7AC" w14:textId="77777777" w:rsidR="00117247" w:rsidRPr="00E905FE" w:rsidRDefault="00117247" w:rsidP="00D11A22">
      <w:pPr>
        <w:pStyle w:val="Ttulo4"/>
        <w:jc w:val="center"/>
        <w:rPr>
          <w:lang w:val="en-US"/>
        </w:rPr>
      </w:pPr>
      <w:r>
        <w:t>Table S1. Preparation of iodine working solutions from a 30 mg I/mL parent stock solution (Method 1)</w:t>
      </w:r>
    </w:p>
    <w:tbl>
      <w:tblPr>
        <w:tblStyle w:val="Tablaconcuadrcula"/>
        <w:tblW w:w="0" w:type="auto"/>
        <w:tblLook w:val="04A0" w:firstRow="1" w:lastRow="0" w:firstColumn="1" w:lastColumn="0" w:noHBand="0" w:noVBand="1"/>
      </w:tblPr>
      <w:tblGrid>
        <w:gridCol w:w="1065"/>
        <w:gridCol w:w="3202"/>
        <w:gridCol w:w="2061"/>
        <w:gridCol w:w="2087"/>
        <w:gridCol w:w="1547"/>
      </w:tblGrid>
      <w:tr w:rsidR="00117247" w:rsidRPr="00E905FE" w14:paraId="5DEA758B" w14:textId="77777777">
        <w:tc>
          <w:tcPr>
            <w:tcW w:w="0" w:type="auto"/>
            <w:hideMark/>
          </w:tcPr>
          <w:p w14:paraId="5384478B" w14:textId="77777777" w:rsidR="00117247" w:rsidRPr="00E905FE" w:rsidRDefault="00117247">
            <w:pPr>
              <w:jc w:val="center"/>
              <w:rPr>
                <w:rFonts w:ascii="Calibri" w:hAnsi="Calibri" w:cs="Calibri"/>
                <w:b/>
                <w:bCs/>
              </w:rPr>
            </w:pPr>
            <w:r w:rsidRPr="00E905FE">
              <w:rPr>
                <w:rFonts w:ascii="Calibri" w:hAnsi="Calibri" w:cs="Calibri"/>
                <w:b/>
                <w:bCs/>
              </w:rPr>
              <w:t>Iodine vial</w:t>
            </w:r>
          </w:p>
        </w:tc>
        <w:tc>
          <w:tcPr>
            <w:tcW w:w="0" w:type="auto"/>
            <w:hideMark/>
          </w:tcPr>
          <w:p w14:paraId="14B972F8" w14:textId="77777777" w:rsidR="00117247" w:rsidRPr="00E905FE" w:rsidRDefault="00117247">
            <w:pPr>
              <w:jc w:val="center"/>
              <w:rPr>
                <w:rFonts w:ascii="Calibri" w:hAnsi="Calibri" w:cs="Calibri"/>
                <w:b/>
                <w:bCs/>
              </w:rPr>
            </w:pPr>
            <w:r w:rsidRPr="00E905FE">
              <w:rPr>
                <w:rFonts w:ascii="Calibri" w:hAnsi="Calibri" w:cs="Calibri"/>
                <w:b/>
                <w:bCs/>
              </w:rPr>
              <w:t>Nominal iodine concentration, mg I/mL</w:t>
            </w:r>
          </w:p>
        </w:tc>
        <w:tc>
          <w:tcPr>
            <w:tcW w:w="0" w:type="auto"/>
            <w:hideMark/>
          </w:tcPr>
          <w:p w14:paraId="297C54E9" w14:textId="77777777" w:rsidR="00117247" w:rsidRPr="00E905FE" w:rsidRDefault="00117247">
            <w:pPr>
              <w:jc w:val="center"/>
              <w:rPr>
                <w:rFonts w:ascii="Calibri" w:hAnsi="Calibri" w:cs="Calibri"/>
                <w:b/>
                <w:bCs/>
              </w:rPr>
            </w:pPr>
            <w:r w:rsidRPr="00E905FE">
              <w:rPr>
                <w:rFonts w:ascii="Calibri" w:hAnsi="Calibri" w:cs="Calibri"/>
                <w:b/>
                <w:bCs/>
              </w:rPr>
              <w:t>Parent stock volume, mL</w:t>
            </w:r>
          </w:p>
        </w:tc>
        <w:tc>
          <w:tcPr>
            <w:tcW w:w="0" w:type="auto"/>
            <w:hideMark/>
          </w:tcPr>
          <w:p w14:paraId="21D226B1" w14:textId="77777777" w:rsidR="00117247" w:rsidRPr="00E905FE" w:rsidRDefault="00117247">
            <w:pPr>
              <w:jc w:val="center"/>
              <w:rPr>
                <w:rFonts w:ascii="Calibri" w:hAnsi="Calibri" w:cs="Calibri"/>
                <w:b/>
                <w:bCs/>
              </w:rPr>
            </w:pPr>
            <w:r w:rsidRPr="00E905FE">
              <w:rPr>
                <w:rFonts w:ascii="Calibri" w:hAnsi="Calibri" w:cs="Calibri"/>
                <w:b/>
                <w:bCs/>
              </w:rPr>
              <w:t>Sterile water volume, mL</w:t>
            </w:r>
          </w:p>
        </w:tc>
        <w:tc>
          <w:tcPr>
            <w:tcW w:w="0" w:type="auto"/>
            <w:hideMark/>
          </w:tcPr>
          <w:p w14:paraId="1623290C" w14:textId="77777777" w:rsidR="00117247" w:rsidRPr="00E905FE" w:rsidRDefault="00117247">
            <w:pPr>
              <w:jc w:val="center"/>
              <w:rPr>
                <w:rFonts w:ascii="Calibri" w:hAnsi="Calibri" w:cs="Calibri"/>
                <w:b/>
                <w:bCs/>
              </w:rPr>
            </w:pPr>
            <w:r w:rsidRPr="00E905FE">
              <w:rPr>
                <w:rFonts w:ascii="Calibri" w:hAnsi="Calibri" w:cs="Calibri"/>
                <w:b/>
                <w:bCs/>
              </w:rPr>
              <w:t>Final volume, mL</w:t>
            </w:r>
          </w:p>
        </w:tc>
      </w:tr>
      <w:tr w:rsidR="00117247" w:rsidRPr="00E905FE" w14:paraId="6BE623A9" w14:textId="77777777">
        <w:tc>
          <w:tcPr>
            <w:tcW w:w="0" w:type="auto"/>
            <w:hideMark/>
          </w:tcPr>
          <w:p w14:paraId="06AC3A94" w14:textId="77777777" w:rsidR="00117247" w:rsidRPr="00E905FE" w:rsidRDefault="00117247">
            <w:pPr>
              <w:jc w:val="center"/>
              <w:rPr>
                <w:rFonts w:ascii="Calibri" w:hAnsi="Calibri" w:cs="Calibri"/>
              </w:rPr>
            </w:pPr>
            <w:r w:rsidRPr="00E905FE">
              <w:rPr>
                <w:rFonts w:ascii="Calibri" w:hAnsi="Calibri" w:cs="Calibri"/>
              </w:rPr>
              <w:t>1</w:t>
            </w:r>
          </w:p>
        </w:tc>
        <w:tc>
          <w:tcPr>
            <w:tcW w:w="0" w:type="auto"/>
            <w:hideMark/>
          </w:tcPr>
          <w:p w14:paraId="184FF485" w14:textId="77777777" w:rsidR="00117247" w:rsidRPr="00E905FE" w:rsidRDefault="00117247">
            <w:pPr>
              <w:jc w:val="center"/>
              <w:rPr>
                <w:rFonts w:ascii="Calibri" w:hAnsi="Calibri" w:cs="Calibri"/>
              </w:rPr>
            </w:pPr>
            <w:r w:rsidRPr="00E905FE">
              <w:rPr>
                <w:rFonts w:ascii="Calibri" w:hAnsi="Calibri" w:cs="Calibri"/>
              </w:rPr>
              <w:t>1.1</w:t>
            </w:r>
          </w:p>
        </w:tc>
        <w:tc>
          <w:tcPr>
            <w:tcW w:w="0" w:type="auto"/>
            <w:hideMark/>
          </w:tcPr>
          <w:p w14:paraId="4E6440FF" w14:textId="77777777" w:rsidR="00117247" w:rsidRPr="00E905FE" w:rsidRDefault="00117247">
            <w:pPr>
              <w:jc w:val="center"/>
              <w:rPr>
                <w:rFonts w:ascii="Calibri" w:hAnsi="Calibri" w:cs="Calibri"/>
              </w:rPr>
            </w:pPr>
            <w:r w:rsidRPr="00E905FE">
              <w:rPr>
                <w:rFonts w:ascii="Calibri" w:hAnsi="Calibri" w:cs="Calibri"/>
              </w:rPr>
              <w:t>0.73</w:t>
            </w:r>
          </w:p>
        </w:tc>
        <w:tc>
          <w:tcPr>
            <w:tcW w:w="0" w:type="auto"/>
            <w:hideMark/>
          </w:tcPr>
          <w:p w14:paraId="771E56B1" w14:textId="77777777" w:rsidR="00117247" w:rsidRPr="00E905FE" w:rsidRDefault="00117247">
            <w:pPr>
              <w:jc w:val="center"/>
              <w:rPr>
                <w:rFonts w:ascii="Calibri" w:hAnsi="Calibri" w:cs="Calibri"/>
              </w:rPr>
            </w:pPr>
            <w:r w:rsidRPr="00E905FE">
              <w:rPr>
                <w:rFonts w:ascii="Calibri" w:hAnsi="Calibri" w:cs="Calibri"/>
              </w:rPr>
              <w:t>13.27</w:t>
            </w:r>
          </w:p>
        </w:tc>
        <w:tc>
          <w:tcPr>
            <w:tcW w:w="0" w:type="auto"/>
            <w:hideMark/>
          </w:tcPr>
          <w:p w14:paraId="61F0BF42" w14:textId="77777777" w:rsidR="00117247" w:rsidRPr="00E905FE" w:rsidRDefault="00117247">
            <w:pPr>
              <w:jc w:val="center"/>
              <w:rPr>
                <w:rFonts w:ascii="Calibri" w:hAnsi="Calibri" w:cs="Calibri"/>
              </w:rPr>
            </w:pPr>
            <w:r w:rsidRPr="00E905FE">
              <w:rPr>
                <w:rFonts w:ascii="Calibri" w:hAnsi="Calibri" w:cs="Calibri"/>
              </w:rPr>
              <w:t>14.00</w:t>
            </w:r>
          </w:p>
        </w:tc>
      </w:tr>
      <w:tr w:rsidR="00117247" w:rsidRPr="00E905FE" w14:paraId="10EBE2BB" w14:textId="77777777">
        <w:tc>
          <w:tcPr>
            <w:tcW w:w="0" w:type="auto"/>
            <w:hideMark/>
          </w:tcPr>
          <w:p w14:paraId="76F2FEAE" w14:textId="77777777" w:rsidR="00117247" w:rsidRPr="00E905FE" w:rsidRDefault="00117247">
            <w:pPr>
              <w:jc w:val="center"/>
              <w:rPr>
                <w:rFonts w:ascii="Calibri" w:hAnsi="Calibri" w:cs="Calibri"/>
              </w:rPr>
            </w:pPr>
            <w:r w:rsidRPr="00E905FE">
              <w:rPr>
                <w:rFonts w:ascii="Calibri" w:hAnsi="Calibri" w:cs="Calibri"/>
              </w:rPr>
              <w:t>2</w:t>
            </w:r>
          </w:p>
        </w:tc>
        <w:tc>
          <w:tcPr>
            <w:tcW w:w="0" w:type="auto"/>
            <w:hideMark/>
          </w:tcPr>
          <w:p w14:paraId="632155D1" w14:textId="77777777" w:rsidR="00117247" w:rsidRPr="00E905FE" w:rsidRDefault="00117247">
            <w:pPr>
              <w:jc w:val="center"/>
              <w:rPr>
                <w:rFonts w:ascii="Calibri" w:hAnsi="Calibri" w:cs="Calibri"/>
              </w:rPr>
            </w:pPr>
            <w:r w:rsidRPr="00E905FE">
              <w:rPr>
                <w:rFonts w:ascii="Calibri" w:hAnsi="Calibri" w:cs="Calibri"/>
              </w:rPr>
              <w:t>5.4</w:t>
            </w:r>
          </w:p>
        </w:tc>
        <w:tc>
          <w:tcPr>
            <w:tcW w:w="0" w:type="auto"/>
            <w:hideMark/>
          </w:tcPr>
          <w:p w14:paraId="10E60F77" w14:textId="77777777" w:rsidR="00117247" w:rsidRPr="00E905FE" w:rsidRDefault="00117247">
            <w:pPr>
              <w:jc w:val="center"/>
              <w:rPr>
                <w:rFonts w:ascii="Calibri" w:hAnsi="Calibri" w:cs="Calibri"/>
              </w:rPr>
            </w:pPr>
            <w:r w:rsidRPr="00E905FE">
              <w:rPr>
                <w:rFonts w:ascii="Calibri" w:hAnsi="Calibri" w:cs="Calibri"/>
              </w:rPr>
              <w:t>2.52</w:t>
            </w:r>
          </w:p>
        </w:tc>
        <w:tc>
          <w:tcPr>
            <w:tcW w:w="0" w:type="auto"/>
            <w:hideMark/>
          </w:tcPr>
          <w:p w14:paraId="64EC0838" w14:textId="77777777" w:rsidR="00117247" w:rsidRPr="00E905FE" w:rsidRDefault="00117247">
            <w:pPr>
              <w:jc w:val="center"/>
              <w:rPr>
                <w:rFonts w:ascii="Calibri" w:hAnsi="Calibri" w:cs="Calibri"/>
              </w:rPr>
            </w:pPr>
            <w:r w:rsidRPr="00E905FE">
              <w:rPr>
                <w:rFonts w:ascii="Calibri" w:hAnsi="Calibri" w:cs="Calibri"/>
              </w:rPr>
              <w:t>11.48</w:t>
            </w:r>
          </w:p>
        </w:tc>
        <w:tc>
          <w:tcPr>
            <w:tcW w:w="0" w:type="auto"/>
            <w:hideMark/>
          </w:tcPr>
          <w:p w14:paraId="4E042AD4" w14:textId="77777777" w:rsidR="00117247" w:rsidRPr="00E905FE" w:rsidRDefault="00117247">
            <w:pPr>
              <w:jc w:val="center"/>
              <w:rPr>
                <w:rFonts w:ascii="Calibri" w:hAnsi="Calibri" w:cs="Calibri"/>
              </w:rPr>
            </w:pPr>
            <w:r w:rsidRPr="00E905FE">
              <w:rPr>
                <w:rFonts w:ascii="Calibri" w:hAnsi="Calibri" w:cs="Calibri"/>
              </w:rPr>
              <w:t>14.00</w:t>
            </w:r>
          </w:p>
        </w:tc>
      </w:tr>
      <w:tr w:rsidR="00117247" w:rsidRPr="00E905FE" w14:paraId="545BB17E" w14:textId="77777777">
        <w:tc>
          <w:tcPr>
            <w:tcW w:w="0" w:type="auto"/>
            <w:hideMark/>
          </w:tcPr>
          <w:p w14:paraId="4465DFFF" w14:textId="77777777" w:rsidR="00117247" w:rsidRPr="00E905FE" w:rsidRDefault="00117247">
            <w:pPr>
              <w:jc w:val="center"/>
              <w:rPr>
                <w:rFonts w:ascii="Calibri" w:hAnsi="Calibri" w:cs="Calibri"/>
              </w:rPr>
            </w:pPr>
            <w:r w:rsidRPr="00E905FE">
              <w:rPr>
                <w:rFonts w:ascii="Calibri" w:hAnsi="Calibri" w:cs="Calibri"/>
              </w:rPr>
              <w:t>3</w:t>
            </w:r>
          </w:p>
        </w:tc>
        <w:tc>
          <w:tcPr>
            <w:tcW w:w="0" w:type="auto"/>
            <w:hideMark/>
          </w:tcPr>
          <w:p w14:paraId="134F1F18" w14:textId="77777777" w:rsidR="00117247" w:rsidRPr="00E905FE" w:rsidRDefault="00117247">
            <w:pPr>
              <w:jc w:val="center"/>
              <w:rPr>
                <w:rFonts w:ascii="Calibri" w:hAnsi="Calibri" w:cs="Calibri"/>
              </w:rPr>
            </w:pPr>
            <w:r w:rsidRPr="00E905FE">
              <w:rPr>
                <w:rFonts w:ascii="Calibri" w:hAnsi="Calibri" w:cs="Calibri"/>
              </w:rPr>
              <w:t>10.7</w:t>
            </w:r>
          </w:p>
        </w:tc>
        <w:tc>
          <w:tcPr>
            <w:tcW w:w="0" w:type="auto"/>
            <w:hideMark/>
          </w:tcPr>
          <w:p w14:paraId="5D688CF2" w14:textId="77777777" w:rsidR="00117247" w:rsidRPr="00E905FE" w:rsidRDefault="00117247">
            <w:pPr>
              <w:jc w:val="center"/>
              <w:rPr>
                <w:rFonts w:ascii="Calibri" w:hAnsi="Calibri" w:cs="Calibri"/>
              </w:rPr>
            </w:pPr>
            <w:r w:rsidRPr="00E905FE">
              <w:rPr>
                <w:rFonts w:ascii="Calibri" w:hAnsi="Calibri" w:cs="Calibri"/>
              </w:rPr>
              <w:t>5.00</w:t>
            </w:r>
          </w:p>
        </w:tc>
        <w:tc>
          <w:tcPr>
            <w:tcW w:w="0" w:type="auto"/>
            <w:hideMark/>
          </w:tcPr>
          <w:p w14:paraId="0EF406B8" w14:textId="77777777" w:rsidR="00117247" w:rsidRPr="00E905FE" w:rsidRDefault="00117247">
            <w:pPr>
              <w:jc w:val="center"/>
              <w:rPr>
                <w:rFonts w:ascii="Calibri" w:hAnsi="Calibri" w:cs="Calibri"/>
              </w:rPr>
            </w:pPr>
            <w:r w:rsidRPr="00E905FE">
              <w:rPr>
                <w:rFonts w:ascii="Calibri" w:hAnsi="Calibri" w:cs="Calibri"/>
              </w:rPr>
              <w:t>9.00</w:t>
            </w:r>
          </w:p>
        </w:tc>
        <w:tc>
          <w:tcPr>
            <w:tcW w:w="0" w:type="auto"/>
            <w:hideMark/>
          </w:tcPr>
          <w:p w14:paraId="42B27C69" w14:textId="77777777" w:rsidR="00117247" w:rsidRPr="00E905FE" w:rsidRDefault="00117247">
            <w:pPr>
              <w:jc w:val="center"/>
              <w:rPr>
                <w:rFonts w:ascii="Calibri" w:hAnsi="Calibri" w:cs="Calibri"/>
              </w:rPr>
            </w:pPr>
            <w:r w:rsidRPr="00E905FE">
              <w:rPr>
                <w:rFonts w:ascii="Calibri" w:hAnsi="Calibri" w:cs="Calibri"/>
              </w:rPr>
              <w:t>14.00</w:t>
            </w:r>
          </w:p>
        </w:tc>
      </w:tr>
      <w:tr w:rsidR="00117247" w:rsidRPr="00E905FE" w14:paraId="5A15F9D4" w14:textId="77777777">
        <w:tc>
          <w:tcPr>
            <w:tcW w:w="0" w:type="auto"/>
            <w:hideMark/>
          </w:tcPr>
          <w:p w14:paraId="5CB51772" w14:textId="77777777" w:rsidR="00117247" w:rsidRPr="00E905FE" w:rsidRDefault="00117247">
            <w:pPr>
              <w:jc w:val="center"/>
              <w:rPr>
                <w:rFonts w:ascii="Calibri" w:hAnsi="Calibri" w:cs="Calibri"/>
              </w:rPr>
            </w:pPr>
            <w:r w:rsidRPr="00E905FE">
              <w:rPr>
                <w:rFonts w:ascii="Calibri" w:hAnsi="Calibri" w:cs="Calibri"/>
              </w:rPr>
              <w:t>4</w:t>
            </w:r>
          </w:p>
        </w:tc>
        <w:tc>
          <w:tcPr>
            <w:tcW w:w="0" w:type="auto"/>
            <w:hideMark/>
          </w:tcPr>
          <w:p w14:paraId="2A51671A" w14:textId="77777777" w:rsidR="00117247" w:rsidRPr="00E905FE" w:rsidRDefault="00117247">
            <w:pPr>
              <w:jc w:val="center"/>
              <w:rPr>
                <w:rFonts w:ascii="Calibri" w:hAnsi="Calibri" w:cs="Calibri"/>
              </w:rPr>
            </w:pPr>
            <w:r w:rsidRPr="00E905FE">
              <w:rPr>
                <w:rFonts w:ascii="Calibri" w:hAnsi="Calibri" w:cs="Calibri"/>
              </w:rPr>
              <w:t>19.3</w:t>
            </w:r>
          </w:p>
        </w:tc>
        <w:tc>
          <w:tcPr>
            <w:tcW w:w="0" w:type="auto"/>
            <w:hideMark/>
          </w:tcPr>
          <w:p w14:paraId="0FED1F7F" w14:textId="77777777" w:rsidR="00117247" w:rsidRPr="00E905FE" w:rsidRDefault="00117247">
            <w:pPr>
              <w:jc w:val="center"/>
              <w:rPr>
                <w:rFonts w:ascii="Calibri" w:hAnsi="Calibri" w:cs="Calibri"/>
              </w:rPr>
            </w:pPr>
            <w:r w:rsidRPr="00E905FE">
              <w:rPr>
                <w:rFonts w:ascii="Calibri" w:hAnsi="Calibri" w:cs="Calibri"/>
              </w:rPr>
              <w:t>9.00</w:t>
            </w:r>
          </w:p>
        </w:tc>
        <w:tc>
          <w:tcPr>
            <w:tcW w:w="0" w:type="auto"/>
            <w:hideMark/>
          </w:tcPr>
          <w:p w14:paraId="16DE16D1" w14:textId="77777777" w:rsidR="00117247" w:rsidRPr="00E905FE" w:rsidRDefault="00117247">
            <w:pPr>
              <w:jc w:val="center"/>
              <w:rPr>
                <w:rFonts w:ascii="Calibri" w:hAnsi="Calibri" w:cs="Calibri"/>
              </w:rPr>
            </w:pPr>
            <w:r w:rsidRPr="00E905FE">
              <w:rPr>
                <w:rFonts w:ascii="Calibri" w:hAnsi="Calibri" w:cs="Calibri"/>
              </w:rPr>
              <w:t>5.00</w:t>
            </w:r>
          </w:p>
        </w:tc>
        <w:tc>
          <w:tcPr>
            <w:tcW w:w="0" w:type="auto"/>
            <w:hideMark/>
          </w:tcPr>
          <w:p w14:paraId="611E14EF" w14:textId="77777777" w:rsidR="00117247" w:rsidRPr="00E905FE" w:rsidRDefault="00117247">
            <w:pPr>
              <w:jc w:val="center"/>
              <w:rPr>
                <w:rFonts w:ascii="Calibri" w:hAnsi="Calibri" w:cs="Calibri"/>
              </w:rPr>
            </w:pPr>
            <w:r w:rsidRPr="00E905FE">
              <w:rPr>
                <w:rFonts w:ascii="Calibri" w:hAnsi="Calibri" w:cs="Calibri"/>
              </w:rPr>
              <w:t>14.00</w:t>
            </w:r>
          </w:p>
        </w:tc>
      </w:tr>
    </w:tbl>
    <w:p w14:paraId="181E0E2A" w14:textId="77777777" w:rsidR="00117247" w:rsidRPr="00A07916" w:rsidRDefault="00117247" w:rsidP="61072ACE">
      <w:pPr>
        <w:rPr>
          <w:rFonts w:asciiTheme="majorHAnsi" w:hAnsiTheme="majorHAnsi" w:cstheme="majorBidi"/>
          <w:lang w:val="en-US"/>
        </w:rPr>
      </w:pPr>
    </w:p>
    <w:p w14:paraId="5412140F" w14:textId="77777777" w:rsidR="00117247" w:rsidRPr="00FB61DE" w:rsidRDefault="00117247" w:rsidP="61072ACE">
      <w:pPr>
        <w:rPr>
          <w:rFonts w:asciiTheme="majorHAnsi" w:hAnsiTheme="majorHAnsi" w:cstheme="majorBidi"/>
          <w:i/>
          <w:iCs/>
          <w:lang w:val="en-US"/>
        </w:rPr>
      </w:pPr>
      <w:r w:rsidRPr="00FB61DE">
        <w:rPr>
          <w:rFonts w:asciiTheme="majorHAnsi" w:hAnsiTheme="majorHAnsi" w:cstheme="majorBidi"/>
          <w:i/>
          <w:iCs/>
          <w:lang w:val="en-US"/>
        </w:rPr>
        <w:t xml:space="preserve">Method 2 (specifying </w:t>
      </w:r>
      <w:r w:rsidRPr="00FB61DE">
        <w:rPr>
          <w:rFonts w:asciiTheme="majorHAnsi" w:hAnsiTheme="majorHAnsi" w:cstheme="majorBidi"/>
          <w:i/>
          <w:iCs/>
        </w:rPr>
        <w:t>desired final iodine concentration)</w:t>
      </w:r>
    </w:p>
    <w:p w14:paraId="54986322" w14:textId="77777777" w:rsidR="00117247" w:rsidRDefault="00117247" w:rsidP="61072ACE">
      <w:pPr>
        <w:rPr>
          <w:rFonts w:asciiTheme="majorHAnsi" w:hAnsiTheme="majorHAnsi" w:cstheme="majorBidi"/>
          <w:lang w:val="en-US"/>
        </w:rPr>
      </w:pPr>
      <w:r w:rsidRPr="61072ACE">
        <w:rPr>
          <w:rFonts w:asciiTheme="majorHAnsi" w:hAnsiTheme="majorHAnsi" w:cstheme="majorBidi"/>
          <w:lang w:val="en-US"/>
        </w:rPr>
        <w:t>Multiple iodine working solutions are prepared from the 30 mg I/mL parent stock solution. Each 12 mL volume iodine vial is filled to a final volume of 11 mL.</w:t>
      </w:r>
    </w:p>
    <w:p w14:paraId="751FE777" w14:textId="77777777" w:rsidR="00117247" w:rsidRDefault="00117247" w:rsidP="61072ACE">
      <w:pPr>
        <w:numPr>
          <w:ilvl w:val="0"/>
          <w:numId w:val="27"/>
        </w:numPr>
        <w:rPr>
          <w:rFonts w:asciiTheme="majorHAnsi" w:hAnsiTheme="majorHAnsi" w:cstheme="majorBidi"/>
          <w:lang w:val="es-CO"/>
        </w:rPr>
      </w:pPr>
      <w:r w:rsidRPr="61072ACE">
        <w:rPr>
          <w:rFonts w:asciiTheme="majorHAnsi" w:hAnsiTheme="majorHAnsi" w:cstheme="majorBidi"/>
          <w:lang w:val="es-CO"/>
        </w:rPr>
        <w:t>CS = 30 mg I/mL.</w:t>
      </w:r>
    </w:p>
    <w:p w14:paraId="63FFB172" w14:textId="77777777" w:rsidR="00117247" w:rsidRDefault="00117247" w:rsidP="61072ACE">
      <w:pPr>
        <w:numPr>
          <w:ilvl w:val="0"/>
          <w:numId w:val="27"/>
        </w:numPr>
        <w:rPr>
          <w:rFonts w:asciiTheme="majorHAnsi" w:hAnsiTheme="majorHAnsi" w:cstheme="majorBidi"/>
          <w:lang w:val="es-CO"/>
        </w:rPr>
      </w:pPr>
      <w:r w:rsidRPr="61072ACE">
        <w:rPr>
          <w:rFonts w:asciiTheme="majorHAnsi" w:hAnsiTheme="majorHAnsi" w:cstheme="majorBidi"/>
          <w:lang w:val="es-CO"/>
        </w:rPr>
        <w:t>VT = 11 mL.</w:t>
      </w:r>
    </w:p>
    <w:p w14:paraId="63474DEF" w14:textId="6911C5F1" w:rsidR="00117247" w:rsidRDefault="00117247" w:rsidP="61072ACE">
      <w:pPr>
        <w:pStyle w:val="Ttulo4"/>
        <w:jc w:val="center"/>
      </w:pPr>
      <w:r>
        <w:t>Table S</w:t>
      </w:r>
      <w:r w:rsidR="007A5618">
        <w:t>2</w:t>
      </w:r>
      <w:r>
        <w:t>. Preparation of iodine working solutions from a 30 mg I/mL parent stock solution (Method 1)</w:t>
      </w:r>
    </w:p>
    <w:tbl>
      <w:tblPr>
        <w:tblStyle w:val="Tablaconcuadrcula"/>
        <w:tblW w:w="0" w:type="auto"/>
        <w:tblLook w:val="04A0" w:firstRow="1" w:lastRow="0" w:firstColumn="1" w:lastColumn="0" w:noHBand="0" w:noVBand="1"/>
      </w:tblPr>
      <w:tblGrid>
        <w:gridCol w:w="1065"/>
        <w:gridCol w:w="3202"/>
        <w:gridCol w:w="2061"/>
        <w:gridCol w:w="2087"/>
        <w:gridCol w:w="1547"/>
      </w:tblGrid>
      <w:tr w:rsidR="00117247" w14:paraId="4FA2DF0B" w14:textId="77777777" w:rsidTr="61072ACE">
        <w:trPr>
          <w:trHeight w:val="300"/>
        </w:trPr>
        <w:tc>
          <w:tcPr>
            <w:tcW w:w="1065" w:type="dxa"/>
          </w:tcPr>
          <w:p w14:paraId="4185BCC4" w14:textId="77777777" w:rsidR="00117247" w:rsidRDefault="00117247" w:rsidP="61072ACE">
            <w:pPr>
              <w:jc w:val="center"/>
              <w:rPr>
                <w:rFonts w:ascii="Calibri" w:hAnsi="Calibri" w:cs="Calibri"/>
                <w:b/>
                <w:bCs/>
              </w:rPr>
            </w:pPr>
            <w:r w:rsidRPr="61072ACE">
              <w:rPr>
                <w:rFonts w:ascii="Calibri" w:hAnsi="Calibri" w:cs="Calibri"/>
                <w:b/>
                <w:bCs/>
              </w:rPr>
              <w:t>Iodine vial</w:t>
            </w:r>
          </w:p>
        </w:tc>
        <w:tc>
          <w:tcPr>
            <w:tcW w:w="3202" w:type="dxa"/>
          </w:tcPr>
          <w:p w14:paraId="42A7771B" w14:textId="77777777" w:rsidR="00117247" w:rsidRDefault="00117247" w:rsidP="61072ACE">
            <w:pPr>
              <w:jc w:val="center"/>
              <w:rPr>
                <w:rFonts w:ascii="Calibri" w:hAnsi="Calibri" w:cs="Calibri"/>
                <w:b/>
                <w:bCs/>
              </w:rPr>
            </w:pPr>
            <w:r w:rsidRPr="61072ACE">
              <w:rPr>
                <w:rFonts w:ascii="Calibri" w:hAnsi="Calibri" w:cs="Calibri"/>
                <w:b/>
                <w:bCs/>
              </w:rPr>
              <w:t>Target iodine concentration, mg I/mL</w:t>
            </w:r>
          </w:p>
        </w:tc>
        <w:tc>
          <w:tcPr>
            <w:tcW w:w="2061" w:type="dxa"/>
          </w:tcPr>
          <w:p w14:paraId="2D9120B9" w14:textId="77777777" w:rsidR="00117247" w:rsidRDefault="00117247" w:rsidP="61072ACE">
            <w:pPr>
              <w:jc w:val="center"/>
              <w:rPr>
                <w:rFonts w:ascii="Calibri" w:hAnsi="Calibri" w:cs="Calibri"/>
                <w:b/>
                <w:bCs/>
              </w:rPr>
            </w:pPr>
            <w:r w:rsidRPr="61072ACE">
              <w:rPr>
                <w:rFonts w:ascii="Calibri" w:hAnsi="Calibri" w:cs="Calibri"/>
                <w:b/>
                <w:bCs/>
              </w:rPr>
              <w:t>Parent stock volume, mL</w:t>
            </w:r>
          </w:p>
        </w:tc>
        <w:tc>
          <w:tcPr>
            <w:tcW w:w="2087" w:type="dxa"/>
          </w:tcPr>
          <w:p w14:paraId="33A131D9" w14:textId="77777777" w:rsidR="00117247" w:rsidRDefault="00117247" w:rsidP="61072ACE">
            <w:pPr>
              <w:jc w:val="center"/>
              <w:rPr>
                <w:rFonts w:ascii="Calibri" w:hAnsi="Calibri" w:cs="Calibri"/>
                <w:b/>
                <w:bCs/>
              </w:rPr>
            </w:pPr>
            <w:r w:rsidRPr="61072ACE">
              <w:rPr>
                <w:rFonts w:ascii="Calibri" w:hAnsi="Calibri" w:cs="Calibri"/>
                <w:b/>
                <w:bCs/>
              </w:rPr>
              <w:t>Sterile water volume, mL</w:t>
            </w:r>
          </w:p>
        </w:tc>
        <w:tc>
          <w:tcPr>
            <w:tcW w:w="1547" w:type="dxa"/>
          </w:tcPr>
          <w:p w14:paraId="4A02271A" w14:textId="77777777" w:rsidR="00117247" w:rsidRDefault="00117247" w:rsidP="61072ACE">
            <w:pPr>
              <w:jc w:val="center"/>
              <w:rPr>
                <w:rFonts w:ascii="Calibri" w:hAnsi="Calibri" w:cs="Calibri"/>
                <w:b/>
                <w:bCs/>
              </w:rPr>
            </w:pPr>
            <w:r w:rsidRPr="61072ACE">
              <w:rPr>
                <w:rFonts w:ascii="Calibri" w:hAnsi="Calibri" w:cs="Calibri"/>
                <w:b/>
                <w:bCs/>
              </w:rPr>
              <w:t>Final volume, mL</w:t>
            </w:r>
          </w:p>
        </w:tc>
      </w:tr>
      <w:tr w:rsidR="00117247" w14:paraId="16DBA235" w14:textId="77777777" w:rsidTr="61072ACE">
        <w:trPr>
          <w:trHeight w:val="300"/>
        </w:trPr>
        <w:tc>
          <w:tcPr>
            <w:tcW w:w="1065" w:type="dxa"/>
          </w:tcPr>
          <w:p w14:paraId="36539797" w14:textId="77777777" w:rsidR="00117247" w:rsidRDefault="00117247" w:rsidP="61072ACE">
            <w:pPr>
              <w:jc w:val="center"/>
              <w:rPr>
                <w:rFonts w:ascii="Calibri" w:hAnsi="Calibri" w:cs="Calibri"/>
              </w:rPr>
            </w:pPr>
            <w:r w:rsidRPr="61072ACE">
              <w:rPr>
                <w:rFonts w:ascii="Calibri" w:hAnsi="Calibri" w:cs="Calibri"/>
              </w:rPr>
              <w:t>1</w:t>
            </w:r>
          </w:p>
        </w:tc>
        <w:tc>
          <w:tcPr>
            <w:tcW w:w="3202" w:type="dxa"/>
          </w:tcPr>
          <w:p w14:paraId="3FEB5997" w14:textId="77777777" w:rsidR="00117247" w:rsidRDefault="00117247" w:rsidP="61072ACE">
            <w:pPr>
              <w:jc w:val="center"/>
              <w:rPr>
                <w:rFonts w:ascii="Calibri" w:hAnsi="Calibri" w:cs="Calibri"/>
              </w:rPr>
            </w:pPr>
            <w:r w:rsidRPr="61072ACE">
              <w:rPr>
                <w:rFonts w:ascii="Calibri" w:hAnsi="Calibri" w:cs="Calibri"/>
              </w:rPr>
              <w:t>1.0</w:t>
            </w:r>
          </w:p>
        </w:tc>
        <w:tc>
          <w:tcPr>
            <w:tcW w:w="2061" w:type="dxa"/>
          </w:tcPr>
          <w:p w14:paraId="42D8D89C" w14:textId="77777777" w:rsidR="00117247" w:rsidRDefault="00117247" w:rsidP="61072ACE">
            <w:pPr>
              <w:jc w:val="center"/>
              <w:rPr>
                <w:rFonts w:ascii="Calibri" w:hAnsi="Calibri" w:cs="Calibri"/>
              </w:rPr>
            </w:pPr>
            <w:r w:rsidRPr="61072ACE">
              <w:rPr>
                <w:rFonts w:ascii="Calibri" w:hAnsi="Calibri" w:cs="Calibri"/>
              </w:rPr>
              <w:t>0.4</w:t>
            </w:r>
          </w:p>
        </w:tc>
        <w:tc>
          <w:tcPr>
            <w:tcW w:w="2087" w:type="dxa"/>
          </w:tcPr>
          <w:p w14:paraId="13FAC1F3" w14:textId="77777777" w:rsidR="00117247" w:rsidRDefault="00117247" w:rsidP="61072ACE">
            <w:pPr>
              <w:jc w:val="center"/>
            </w:pPr>
            <w:r w:rsidRPr="61072ACE">
              <w:rPr>
                <w:rFonts w:ascii="Calibri" w:hAnsi="Calibri" w:cs="Calibri"/>
              </w:rPr>
              <w:t>10.6</w:t>
            </w:r>
          </w:p>
        </w:tc>
        <w:tc>
          <w:tcPr>
            <w:tcW w:w="1547" w:type="dxa"/>
          </w:tcPr>
          <w:p w14:paraId="15EF42A0" w14:textId="77777777" w:rsidR="00117247" w:rsidRDefault="00117247" w:rsidP="61072ACE">
            <w:pPr>
              <w:jc w:val="center"/>
              <w:rPr>
                <w:rFonts w:ascii="Calibri" w:hAnsi="Calibri" w:cs="Calibri"/>
              </w:rPr>
            </w:pPr>
            <w:r w:rsidRPr="61072ACE">
              <w:rPr>
                <w:rFonts w:ascii="Calibri" w:hAnsi="Calibri" w:cs="Calibri"/>
              </w:rPr>
              <w:t>11.0</w:t>
            </w:r>
          </w:p>
        </w:tc>
      </w:tr>
      <w:tr w:rsidR="00117247" w14:paraId="3956E1A3" w14:textId="77777777" w:rsidTr="61072ACE">
        <w:trPr>
          <w:trHeight w:val="300"/>
        </w:trPr>
        <w:tc>
          <w:tcPr>
            <w:tcW w:w="1065" w:type="dxa"/>
          </w:tcPr>
          <w:p w14:paraId="02EA99EF" w14:textId="77777777" w:rsidR="00117247" w:rsidRDefault="00117247" w:rsidP="61072ACE">
            <w:pPr>
              <w:jc w:val="center"/>
              <w:rPr>
                <w:rFonts w:ascii="Calibri" w:hAnsi="Calibri" w:cs="Calibri"/>
              </w:rPr>
            </w:pPr>
            <w:r w:rsidRPr="61072ACE">
              <w:rPr>
                <w:rFonts w:ascii="Calibri" w:hAnsi="Calibri" w:cs="Calibri"/>
              </w:rPr>
              <w:t>2</w:t>
            </w:r>
          </w:p>
        </w:tc>
        <w:tc>
          <w:tcPr>
            <w:tcW w:w="3202" w:type="dxa"/>
          </w:tcPr>
          <w:p w14:paraId="7D200EA8" w14:textId="77777777" w:rsidR="00117247" w:rsidRDefault="00117247" w:rsidP="61072ACE">
            <w:pPr>
              <w:jc w:val="center"/>
              <w:rPr>
                <w:rFonts w:ascii="Calibri" w:hAnsi="Calibri" w:cs="Calibri"/>
              </w:rPr>
            </w:pPr>
            <w:r w:rsidRPr="61072ACE">
              <w:rPr>
                <w:rFonts w:ascii="Calibri" w:hAnsi="Calibri" w:cs="Calibri"/>
              </w:rPr>
              <w:t>2.5</w:t>
            </w:r>
          </w:p>
        </w:tc>
        <w:tc>
          <w:tcPr>
            <w:tcW w:w="2061" w:type="dxa"/>
          </w:tcPr>
          <w:p w14:paraId="51DF4303" w14:textId="77777777" w:rsidR="00117247" w:rsidRDefault="00117247" w:rsidP="61072ACE">
            <w:pPr>
              <w:jc w:val="center"/>
            </w:pPr>
            <w:r w:rsidRPr="61072ACE">
              <w:rPr>
                <w:rFonts w:ascii="Calibri" w:hAnsi="Calibri" w:cs="Calibri"/>
              </w:rPr>
              <w:t>0.9</w:t>
            </w:r>
          </w:p>
        </w:tc>
        <w:tc>
          <w:tcPr>
            <w:tcW w:w="2087" w:type="dxa"/>
          </w:tcPr>
          <w:p w14:paraId="7D1A9DEE" w14:textId="77777777" w:rsidR="00117247" w:rsidRDefault="00117247" w:rsidP="61072ACE">
            <w:pPr>
              <w:jc w:val="center"/>
              <w:rPr>
                <w:rFonts w:ascii="Calibri" w:hAnsi="Calibri" w:cs="Calibri"/>
              </w:rPr>
            </w:pPr>
            <w:r w:rsidRPr="61072ACE">
              <w:rPr>
                <w:rFonts w:ascii="Calibri" w:hAnsi="Calibri" w:cs="Calibri"/>
              </w:rPr>
              <w:t>10.1</w:t>
            </w:r>
          </w:p>
        </w:tc>
        <w:tc>
          <w:tcPr>
            <w:tcW w:w="1547" w:type="dxa"/>
          </w:tcPr>
          <w:p w14:paraId="0129BD7C" w14:textId="77777777" w:rsidR="00117247" w:rsidRDefault="00117247" w:rsidP="61072ACE">
            <w:pPr>
              <w:jc w:val="center"/>
              <w:rPr>
                <w:rFonts w:ascii="Calibri" w:hAnsi="Calibri" w:cs="Calibri"/>
              </w:rPr>
            </w:pPr>
            <w:r w:rsidRPr="61072ACE">
              <w:rPr>
                <w:rFonts w:ascii="Calibri" w:hAnsi="Calibri" w:cs="Calibri"/>
              </w:rPr>
              <w:t>11.0</w:t>
            </w:r>
          </w:p>
        </w:tc>
      </w:tr>
      <w:tr w:rsidR="00117247" w14:paraId="351D2082" w14:textId="77777777" w:rsidTr="61072ACE">
        <w:trPr>
          <w:trHeight w:val="300"/>
        </w:trPr>
        <w:tc>
          <w:tcPr>
            <w:tcW w:w="1065" w:type="dxa"/>
          </w:tcPr>
          <w:p w14:paraId="551B0EC5" w14:textId="77777777" w:rsidR="00117247" w:rsidRDefault="00117247" w:rsidP="61072ACE">
            <w:pPr>
              <w:jc w:val="center"/>
              <w:rPr>
                <w:rFonts w:ascii="Calibri" w:hAnsi="Calibri" w:cs="Calibri"/>
              </w:rPr>
            </w:pPr>
            <w:r w:rsidRPr="61072ACE">
              <w:rPr>
                <w:rFonts w:ascii="Calibri" w:hAnsi="Calibri" w:cs="Calibri"/>
              </w:rPr>
              <w:t>3</w:t>
            </w:r>
          </w:p>
        </w:tc>
        <w:tc>
          <w:tcPr>
            <w:tcW w:w="3202" w:type="dxa"/>
          </w:tcPr>
          <w:p w14:paraId="0A1277BB" w14:textId="77777777" w:rsidR="00117247" w:rsidRDefault="00117247" w:rsidP="61072ACE">
            <w:pPr>
              <w:jc w:val="center"/>
            </w:pPr>
            <w:r w:rsidRPr="61072ACE">
              <w:rPr>
                <w:rFonts w:ascii="Calibri" w:hAnsi="Calibri" w:cs="Calibri"/>
              </w:rPr>
              <w:t>5.0</w:t>
            </w:r>
          </w:p>
        </w:tc>
        <w:tc>
          <w:tcPr>
            <w:tcW w:w="2061" w:type="dxa"/>
          </w:tcPr>
          <w:p w14:paraId="01880473" w14:textId="77777777" w:rsidR="00117247" w:rsidRDefault="00117247" w:rsidP="61072ACE">
            <w:pPr>
              <w:jc w:val="center"/>
              <w:rPr>
                <w:rFonts w:ascii="Calibri" w:hAnsi="Calibri" w:cs="Calibri"/>
              </w:rPr>
            </w:pPr>
            <w:r w:rsidRPr="61072ACE">
              <w:rPr>
                <w:rFonts w:ascii="Calibri" w:hAnsi="Calibri" w:cs="Calibri"/>
              </w:rPr>
              <w:t>1.8</w:t>
            </w:r>
          </w:p>
        </w:tc>
        <w:tc>
          <w:tcPr>
            <w:tcW w:w="2087" w:type="dxa"/>
          </w:tcPr>
          <w:p w14:paraId="5A1F5624" w14:textId="77777777" w:rsidR="00117247" w:rsidRDefault="00117247" w:rsidP="61072ACE">
            <w:pPr>
              <w:jc w:val="center"/>
              <w:rPr>
                <w:rFonts w:ascii="Calibri" w:hAnsi="Calibri" w:cs="Calibri"/>
              </w:rPr>
            </w:pPr>
            <w:r w:rsidRPr="61072ACE">
              <w:rPr>
                <w:rFonts w:ascii="Calibri" w:hAnsi="Calibri" w:cs="Calibri"/>
              </w:rPr>
              <w:t>9.2</w:t>
            </w:r>
          </w:p>
        </w:tc>
        <w:tc>
          <w:tcPr>
            <w:tcW w:w="1547" w:type="dxa"/>
          </w:tcPr>
          <w:p w14:paraId="7F387CEA" w14:textId="77777777" w:rsidR="00117247" w:rsidRDefault="00117247" w:rsidP="61072ACE">
            <w:pPr>
              <w:jc w:val="center"/>
              <w:rPr>
                <w:rFonts w:ascii="Calibri" w:hAnsi="Calibri" w:cs="Calibri"/>
              </w:rPr>
            </w:pPr>
            <w:r w:rsidRPr="61072ACE">
              <w:rPr>
                <w:rFonts w:ascii="Calibri" w:hAnsi="Calibri" w:cs="Calibri"/>
              </w:rPr>
              <w:t>11.0</w:t>
            </w:r>
          </w:p>
        </w:tc>
      </w:tr>
      <w:tr w:rsidR="00117247" w14:paraId="286C0C39" w14:textId="77777777" w:rsidTr="61072ACE">
        <w:trPr>
          <w:trHeight w:val="300"/>
        </w:trPr>
        <w:tc>
          <w:tcPr>
            <w:tcW w:w="1065" w:type="dxa"/>
          </w:tcPr>
          <w:p w14:paraId="3974ECAD" w14:textId="77777777" w:rsidR="00117247" w:rsidRDefault="00117247" w:rsidP="61072ACE">
            <w:pPr>
              <w:jc w:val="center"/>
              <w:rPr>
                <w:rFonts w:ascii="Calibri" w:hAnsi="Calibri" w:cs="Calibri"/>
              </w:rPr>
            </w:pPr>
            <w:r w:rsidRPr="61072ACE">
              <w:rPr>
                <w:rFonts w:ascii="Calibri" w:hAnsi="Calibri" w:cs="Calibri"/>
              </w:rPr>
              <w:t>4</w:t>
            </w:r>
          </w:p>
        </w:tc>
        <w:tc>
          <w:tcPr>
            <w:tcW w:w="3202" w:type="dxa"/>
          </w:tcPr>
          <w:p w14:paraId="55A86D55" w14:textId="77777777" w:rsidR="00117247" w:rsidRDefault="00117247" w:rsidP="61072ACE">
            <w:pPr>
              <w:jc w:val="center"/>
            </w:pPr>
            <w:r w:rsidRPr="61072ACE">
              <w:rPr>
                <w:rFonts w:ascii="Calibri" w:hAnsi="Calibri" w:cs="Calibri"/>
              </w:rPr>
              <w:t>10.0</w:t>
            </w:r>
          </w:p>
        </w:tc>
        <w:tc>
          <w:tcPr>
            <w:tcW w:w="2061" w:type="dxa"/>
          </w:tcPr>
          <w:p w14:paraId="39773078" w14:textId="77777777" w:rsidR="00117247" w:rsidRDefault="00117247" w:rsidP="61072ACE">
            <w:pPr>
              <w:jc w:val="center"/>
            </w:pPr>
            <w:r w:rsidRPr="61072ACE">
              <w:rPr>
                <w:rFonts w:ascii="Calibri" w:hAnsi="Calibri" w:cs="Calibri"/>
              </w:rPr>
              <w:t>3.7</w:t>
            </w:r>
          </w:p>
        </w:tc>
        <w:tc>
          <w:tcPr>
            <w:tcW w:w="2087" w:type="dxa"/>
          </w:tcPr>
          <w:p w14:paraId="2C8B3639" w14:textId="77777777" w:rsidR="00117247" w:rsidRDefault="00117247" w:rsidP="61072ACE">
            <w:pPr>
              <w:jc w:val="center"/>
            </w:pPr>
            <w:r w:rsidRPr="61072ACE">
              <w:rPr>
                <w:rFonts w:ascii="Calibri" w:hAnsi="Calibri" w:cs="Calibri"/>
              </w:rPr>
              <w:t>7.3</w:t>
            </w:r>
          </w:p>
        </w:tc>
        <w:tc>
          <w:tcPr>
            <w:tcW w:w="1547" w:type="dxa"/>
          </w:tcPr>
          <w:p w14:paraId="73ABFF3F" w14:textId="77777777" w:rsidR="00117247" w:rsidRDefault="00117247" w:rsidP="61072ACE">
            <w:pPr>
              <w:jc w:val="center"/>
              <w:rPr>
                <w:rFonts w:ascii="Calibri" w:hAnsi="Calibri" w:cs="Calibri"/>
              </w:rPr>
            </w:pPr>
            <w:r w:rsidRPr="61072ACE">
              <w:rPr>
                <w:rFonts w:ascii="Calibri" w:hAnsi="Calibri" w:cs="Calibri"/>
              </w:rPr>
              <w:t>11.0</w:t>
            </w:r>
          </w:p>
        </w:tc>
      </w:tr>
      <w:tr w:rsidR="00117247" w14:paraId="47F06416" w14:textId="77777777" w:rsidTr="61072ACE">
        <w:trPr>
          <w:trHeight w:val="300"/>
        </w:trPr>
        <w:tc>
          <w:tcPr>
            <w:tcW w:w="1065" w:type="dxa"/>
          </w:tcPr>
          <w:p w14:paraId="541DB5C1" w14:textId="77777777" w:rsidR="00117247" w:rsidRDefault="00117247" w:rsidP="61072ACE">
            <w:pPr>
              <w:jc w:val="center"/>
            </w:pPr>
            <w:r w:rsidRPr="61072ACE">
              <w:rPr>
                <w:rFonts w:ascii="Calibri" w:hAnsi="Calibri" w:cs="Calibri"/>
              </w:rPr>
              <w:t>5</w:t>
            </w:r>
          </w:p>
        </w:tc>
        <w:tc>
          <w:tcPr>
            <w:tcW w:w="3202" w:type="dxa"/>
          </w:tcPr>
          <w:p w14:paraId="12D29F28" w14:textId="77777777" w:rsidR="00117247" w:rsidRDefault="00117247" w:rsidP="61072ACE">
            <w:pPr>
              <w:jc w:val="center"/>
            </w:pPr>
            <w:r w:rsidRPr="61072ACE">
              <w:rPr>
                <w:rFonts w:ascii="Calibri" w:hAnsi="Calibri" w:cs="Calibri"/>
              </w:rPr>
              <w:t>15.0</w:t>
            </w:r>
          </w:p>
        </w:tc>
        <w:tc>
          <w:tcPr>
            <w:tcW w:w="2061" w:type="dxa"/>
          </w:tcPr>
          <w:p w14:paraId="3530868B" w14:textId="77777777" w:rsidR="00117247" w:rsidRDefault="00117247" w:rsidP="61072ACE">
            <w:pPr>
              <w:jc w:val="center"/>
            </w:pPr>
            <w:r w:rsidRPr="61072ACE">
              <w:rPr>
                <w:rFonts w:ascii="Calibri" w:hAnsi="Calibri" w:cs="Calibri"/>
              </w:rPr>
              <w:t>5.5</w:t>
            </w:r>
          </w:p>
        </w:tc>
        <w:tc>
          <w:tcPr>
            <w:tcW w:w="2087" w:type="dxa"/>
          </w:tcPr>
          <w:p w14:paraId="21A64123" w14:textId="77777777" w:rsidR="00117247" w:rsidRDefault="00117247" w:rsidP="61072ACE">
            <w:pPr>
              <w:jc w:val="center"/>
            </w:pPr>
            <w:r w:rsidRPr="61072ACE">
              <w:rPr>
                <w:rFonts w:ascii="Calibri" w:hAnsi="Calibri" w:cs="Calibri"/>
              </w:rPr>
              <w:t>5.5</w:t>
            </w:r>
          </w:p>
        </w:tc>
        <w:tc>
          <w:tcPr>
            <w:tcW w:w="1547" w:type="dxa"/>
          </w:tcPr>
          <w:p w14:paraId="021DAFDD" w14:textId="77777777" w:rsidR="00117247" w:rsidRDefault="00117247" w:rsidP="61072ACE">
            <w:pPr>
              <w:jc w:val="center"/>
            </w:pPr>
            <w:r w:rsidRPr="61072ACE">
              <w:rPr>
                <w:rFonts w:ascii="Calibri" w:hAnsi="Calibri" w:cs="Calibri"/>
              </w:rPr>
              <w:t>11.0</w:t>
            </w:r>
          </w:p>
        </w:tc>
      </w:tr>
      <w:tr w:rsidR="00117247" w14:paraId="63EE2462" w14:textId="77777777" w:rsidTr="61072ACE">
        <w:trPr>
          <w:trHeight w:val="300"/>
        </w:trPr>
        <w:tc>
          <w:tcPr>
            <w:tcW w:w="1065" w:type="dxa"/>
          </w:tcPr>
          <w:p w14:paraId="6C3C7FAD" w14:textId="77777777" w:rsidR="00117247" w:rsidRDefault="00117247" w:rsidP="61072ACE">
            <w:pPr>
              <w:jc w:val="center"/>
            </w:pPr>
            <w:r w:rsidRPr="61072ACE">
              <w:rPr>
                <w:rFonts w:ascii="Calibri" w:hAnsi="Calibri" w:cs="Calibri"/>
              </w:rPr>
              <w:t>6</w:t>
            </w:r>
          </w:p>
        </w:tc>
        <w:tc>
          <w:tcPr>
            <w:tcW w:w="3202" w:type="dxa"/>
          </w:tcPr>
          <w:p w14:paraId="67FAFEF7" w14:textId="77777777" w:rsidR="00117247" w:rsidRDefault="00117247" w:rsidP="61072ACE">
            <w:pPr>
              <w:jc w:val="center"/>
            </w:pPr>
            <w:r w:rsidRPr="61072ACE">
              <w:rPr>
                <w:rFonts w:ascii="Calibri" w:hAnsi="Calibri" w:cs="Calibri"/>
              </w:rPr>
              <w:t>20.0</w:t>
            </w:r>
          </w:p>
        </w:tc>
        <w:tc>
          <w:tcPr>
            <w:tcW w:w="2061" w:type="dxa"/>
          </w:tcPr>
          <w:p w14:paraId="231431F5" w14:textId="77777777" w:rsidR="00117247" w:rsidRDefault="00117247" w:rsidP="61072ACE">
            <w:pPr>
              <w:jc w:val="center"/>
            </w:pPr>
            <w:r w:rsidRPr="61072ACE">
              <w:rPr>
                <w:rFonts w:ascii="Calibri" w:hAnsi="Calibri" w:cs="Calibri"/>
              </w:rPr>
              <w:t>7.3</w:t>
            </w:r>
          </w:p>
        </w:tc>
        <w:tc>
          <w:tcPr>
            <w:tcW w:w="2087" w:type="dxa"/>
          </w:tcPr>
          <w:p w14:paraId="58CD50E1" w14:textId="77777777" w:rsidR="00117247" w:rsidRDefault="00117247" w:rsidP="61072ACE">
            <w:pPr>
              <w:jc w:val="center"/>
            </w:pPr>
            <w:r w:rsidRPr="61072ACE">
              <w:rPr>
                <w:rFonts w:ascii="Calibri" w:hAnsi="Calibri" w:cs="Calibri"/>
              </w:rPr>
              <w:t>3.7</w:t>
            </w:r>
          </w:p>
        </w:tc>
        <w:tc>
          <w:tcPr>
            <w:tcW w:w="1547" w:type="dxa"/>
          </w:tcPr>
          <w:p w14:paraId="57A4AF83" w14:textId="77777777" w:rsidR="00117247" w:rsidRDefault="00117247" w:rsidP="61072ACE">
            <w:pPr>
              <w:jc w:val="center"/>
            </w:pPr>
            <w:r w:rsidRPr="61072ACE">
              <w:rPr>
                <w:rFonts w:ascii="Calibri" w:hAnsi="Calibri" w:cs="Calibri"/>
              </w:rPr>
              <w:t>11.0</w:t>
            </w:r>
          </w:p>
        </w:tc>
      </w:tr>
      <w:tr w:rsidR="00117247" w14:paraId="5FB1BE3E" w14:textId="77777777" w:rsidTr="61072ACE">
        <w:trPr>
          <w:trHeight w:val="300"/>
        </w:trPr>
        <w:tc>
          <w:tcPr>
            <w:tcW w:w="1065" w:type="dxa"/>
          </w:tcPr>
          <w:p w14:paraId="41F69DBE" w14:textId="77777777" w:rsidR="00117247" w:rsidRDefault="00117247" w:rsidP="61072ACE">
            <w:pPr>
              <w:jc w:val="center"/>
            </w:pPr>
            <w:r w:rsidRPr="61072ACE">
              <w:rPr>
                <w:rFonts w:ascii="Calibri" w:hAnsi="Calibri" w:cs="Calibri"/>
              </w:rPr>
              <w:t>7</w:t>
            </w:r>
          </w:p>
        </w:tc>
        <w:tc>
          <w:tcPr>
            <w:tcW w:w="3202" w:type="dxa"/>
          </w:tcPr>
          <w:p w14:paraId="2D0E4935" w14:textId="77777777" w:rsidR="00117247" w:rsidRDefault="00117247" w:rsidP="61072ACE">
            <w:pPr>
              <w:jc w:val="center"/>
            </w:pPr>
            <w:r w:rsidRPr="61072ACE">
              <w:rPr>
                <w:rFonts w:ascii="Calibri" w:hAnsi="Calibri" w:cs="Calibri"/>
              </w:rPr>
              <w:t>25.0</w:t>
            </w:r>
          </w:p>
        </w:tc>
        <w:tc>
          <w:tcPr>
            <w:tcW w:w="2061" w:type="dxa"/>
          </w:tcPr>
          <w:p w14:paraId="181B3F29" w14:textId="77777777" w:rsidR="00117247" w:rsidRDefault="00117247" w:rsidP="61072ACE">
            <w:pPr>
              <w:jc w:val="center"/>
              <w:rPr>
                <w:rFonts w:ascii="Calibri" w:hAnsi="Calibri" w:cs="Calibri"/>
              </w:rPr>
            </w:pPr>
            <w:r w:rsidRPr="61072ACE">
              <w:rPr>
                <w:rFonts w:ascii="Calibri" w:hAnsi="Calibri" w:cs="Calibri"/>
              </w:rPr>
              <w:t>9.2</w:t>
            </w:r>
          </w:p>
        </w:tc>
        <w:tc>
          <w:tcPr>
            <w:tcW w:w="2087" w:type="dxa"/>
          </w:tcPr>
          <w:p w14:paraId="6852D79E" w14:textId="77777777" w:rsidR="00117247" w:rsidRDefault="00117247" w:rsidP="61072ACE">
            <w:pPr>
              <w:jc w:val="center"/>
              <w:rPr>
                <w:rFonts w:ascii="Calibri" w:hAnsi="Calibri" w:cs="Calibri"/>
              </w:rPr>
            </w:pPr>
            <w:r w:rsidRPr="61072ACE">
              <w:rPr>
                <w:rFonts w:ascii="Calibri" w:hAnsi="Calibri" w:cs="Calibri"/>
              </w:rPr>
              <w:t>1.8</w:t>
            </w:r>
          </w:p>
        </w:tc>
        <w:tc>
          <w:tcPr>
            <w:tcW w:w="1547" w:type="dxa"/>
          </w:tcPr>
          <w:p w14:paraId="4D26AC6D" w14:textId="77777777" w:rsidR="00117247" w:rsidRDefault="00117247" w:rsidP="61072ACE">
            <w:pPr>
              <w:jc w:val="center"/>
            </w:pPr>
            <w:r w:rsidRPr="61072ACE">
              <w:rPr>
                <w:rFonts w:ascii="Calibri" w:hAnsi="Calibri" w:cs="Calibri"/>
              </w:rPr>
              <w:t>11.0</w:t>
            </w:r>
          </w:p>
        </w:tc>
      </w:tr>
      <w:tr w:rsidR="00117247" w14:paraId="5E002CF3" w14:textId="77777777" w:rsidTr="61072ACE">
        <w:trPr>
          <w:trHeight w:val="300"/>
        </w:trPr>
        <w:tc>
          <w:tcPr>
            <w:tcW w:w="1065" w:type="dxa"/>
          </w:tcPr>
          <w:p w14:paraId="40DC38E6" w14:textId="77777777" w:rsidR="00117247" w:rsidRDefault="00117247" w:rsidP="61072ACE">
            <w:pPr>
              <w:jc w:val="center"/>
            </w:pPr>
            <w:r w:rsidRPr="61072ACE">
              <w:rPr>
                <w:rFonts w:ascii="Calibri" w:hAnsi="Calibri" w:cs="Calibri"/>
              </w:rPr>
              <w:t>8</w:t>
            </w:r>
          </w:p>
        </w:tc>
        <w:tc>
          <w:tcPr>
            <w:tcW w:w="3202" w:type="dxa"/>
          </w:tcPr>
          <w:p w14:paraId="5B7FAA5E" w14:textId="77777777" w:rsidR="00117247" w:rsidRDefault="00117247" w:rsidP="61072ACE">
            <w:pPr>
              <w:jc w:val="center"/>
            </w:pPr>
            <w:r w:rsidRPr="61072ACE">
              <w:rPr>
                <w:rFonts w:ascii="Calibri" w:hAnsi="Calibri" w:cs="Calibri"/>
              </w:rPr>
              <w:t>30.0</w:t>
            </w:r>
          </w:p>
        </w:tc>
        <w:tc>
          <w:tcPr>
            <w:tcW w:w="2061" w:type="dxa"/>
          </w:tcPr>
          <w:p w14:paraId="4BB7B7AE" w14:textId="77777777" w:rsidR="00117247" w:rsidRDefault="00117247" w:rsidP="61072ACE">
            <w:pPr>
              <w:jc w:val="center"/>
            </w:pPr>
            <w:r w:rsidRPr="61072ACE">
              <w:rPr>
                <w:rFonts w:ascii="Calibri" w:hAnsi="Calibri" w:cs="Calibri"/>
              </w:rPr>
              <w:t>11.0</w:t>
            </w:r>
          </w:p>
        </w:tc>
        <w:tc>
          <w:tcPr>
            <w:tcW w:w="2087" w:type="dxa"/>
          </w:tcPr>
          <w:p w14:paraId="620E7EC0" w14:textId="77777777" w:rsidR="00117247" w:rsidRDefault="00117247" w:rsidP="61072ACE">
            <w:pPr>
              <w:jc w:val="center"/>
            </w:pPr>
            <w:r w:rsidRPr="61072ACE">
              <w:rPr>
                <w:rFonts w:ascii="Calibri" w:hAnsi="Calibri" w:cs="Calibri"/>
              </w:rPr>
              <w:t>0.0</w:t>
            </w:r>
          </w:p>
        </w:tc>
        <w:tc>
          <w:tcPr>
            <w:tcW w:w="1547" w:type="dxa"/>
          </w:tcPr>
          <w:p w14:paraId="61218535" w14:textId="77777777" w:rsidR="00117247" w:rsidRDefault="00117247" w:rsidP="61072ACE">
            <w:pPr>
              <w:jc w:val="center"/>
            </w:pPr>
            <w:r w:rsidRPr="61072ACE">
              <w:rPr>
                <w:rFonts w:ascii="Calibri" w:hAnsi="Calibri" w:cs="Calibri"/>
              </w:rPr>
              <w:t>11.0</w:t>
            </w:r>
          </w:p>
        </w:tc>
      </w:tr>
    </w:tbl>
    <w:p w14:paraId="47C9594B" w14:textId="77777777" w:rsidR="00117247" w:rsidRDefault="00117247" w:rsidP="61072ACE">
      <w:pPr>
        <w:rPr>
          <w:rFonts w:asciiTheme="majorHAnsi" w:hAnsiTheme="majorHAnsi" w:cstheme="majorBidi"/>
          <w:lang w:val="en-US"/>
        </w:rPr>
      </w:pPr>
    </w:p>
    <w:p w14:paraId="1273651F" w14:textId="77777777" w:rsidR="00117247" w:rsidRPr="003879F1" w:rsidRDefault="00117247" w:rsidP="61072ACE">
      <w:pPr>
        <w:rPr>
          <w:rFonts w:asciiTheme="majorHAnsi" w:hAnsiTheme="majorHAnsi" w:cstheme="majorBidi"/>
          <w:lang w:val="en-US"/>
        </w:rPr>
      </w:pPr>
      <w:r w:rsidRPr="003879F1">
        <w:rPr>
          <w:rFonts w:asciiTheme="majorHAnsi" w:hAnsiTheme="majorHAnsi" w:cstheme="majorBidi"/>
          <w:lang w:val="en-US"/>
        </w:rPr>
        <w:t>For both methods 1 and 2, for each vial:</w:t>
      </w:r>
    </w:p>
    <w:p w14:paraId="6FFB05B0" w14:textId="77777777" w:rsidR="00117247" w:rsidRPr="00E905FE" w:rsidRDefault="00117247" w:rsidP="00D11A22">
      <w:pPr>
        <w:pStyle w:val="Prrafodelista"/>
        <w:numPr>
          <w:ilvl w:val="0"/>
          <w:numId w:val="29"/>
        </w:numPr>
        <w:jc w:val="both"/>
        <w:rPr>
          <w:rFonts w:asciiTheme="majorHAnsi" w:hAnsiTheme="majorHAnsi" w:cstheme="majorHAnsi"/>
          <w:lang w:val="en-US"/>
        </w:rPr>
      </w:pPr>
      <w:r w:rsidRPr="00E905FE">
        <w:rPr>
          <w:rFonts w:asciiTheme="majorHAnsi" w:hAnsiTheme="majorHAnsi" w:cstheme="majorHAnsi"/>
          <w:lang w:val="en-US"/>
        </w:rPr>
        <w:t>Withdraw the required parent stock volume using a 3 mL syringe. For volumes greater than 3 mL, perform multiple fillings using the same syringe.</w:t>
      </w:r>
    </w:p>
    <w:p w14:paraId="0C163052" w14:textId="77777777" w:rsidR="00117247" w:rsidRPr="00E905FE" w:rsidRDefault="00117247" w:rsidP="00D11A22">
      <w:pPr>
        <w:pStyle w:val="Prrafodelista"/>
        <w:numPr>
          <w:ilvl w:val="0"/>
          <w:numId w:val="29"/>
        </w:numPr>
        <w:jc w:val="both"/>
        <w:rPr>
          <w:rFonts w:asciiTheme="majorHAnsi" w:hAnsiTheme="majorHAnsi" w:cstheme="majorHAnsi"/>
          <w:lang w:val="en-US"/>
        </w:rPr>
      </w:pPr>
      <w:r w:rsidRPr="00E905FE">
        <w:rPr>
          <w:rFonts w:asciiTheme="majorHAnsi" w:hAnsiTheme="majorHAnsi" w:cstheme="majorHAnsi"/>
          <w:lang w:val="en-US"/>
        </w:rPr>
        <w:t>Dispense the stock solution slowly into the vial, moving the plunger several times to minimise residual solution in the syringe.</w:t>
      </w:r>
    </w:p>
    <w:p w14:paraId="4A48652C" w14:textId="77777777" w:rsidR="00117247" w:rsidRPr="00E905FE" w:rsidRDefault="00117247" w:rsidP="61072ACE">
      <w:pPr>
        <w:pStyle w:val="Prrafodelista"/>
        <w:numPr>
          <w:ilvl w:val="0"/>
          <w:numId w:val="29"/>
        </w:numPr>
        <w:jc w:val="both"/>
        <w:rPr>
          <w:rFonts w:asciiTheme="majorHAnsi" w:hAnsiTheme="majorHAnsi" w:cstheme="majorBidi"/>
          <w:lang w:val="en-US"/>
        </w:rPr>
      </w:pPr>
      <w:r w:rsidRPr="61072ACE">
        <w:rPr>
          <w:rFonts w:asciiTheme="majorHAnsi" w:hAnsiTheme="majorHAnsi" w:cstheme="majorBidi"/>
          <w:lang w:val="en-US"/>
        </w:rPr>
        <w:t>Add sterile water to reach a final desired volume (e.g. 1 mL less than total volume of vial).</w:t>
      </w:r>
    </w:p>
    <w:p w14:paraId="565E2957" w14:textId="77777777" w:rsidR="00117247" w:rsidRPr="00E905FE" w:rsidRDefault="00117247" w:rsidP="00D11A22">
      <w:pPr>
        <w:pStyle w:val="Prrafodelista"/>
        <w:numPr>
          <w:ilvl w:val="0"/>
          <w:numId w:val="29"/>
        </w:numPr>
        <w:jc w:val="both"/>
        <w:rPr>
          <w:rFonts w:asciiTheme="majorHAnsi" w:hAnsiTheme="majorHAnsi" w:cstheme="majorHAnsi"/>
          <w:lang w:val="es-CO"/>
        </w:rPr>
      </w:pPr>
      <w:r w:rsidRPr="00E905FE">
        <w:rPr>
          <w:rFonts w:asciiTheme="majorHAnsi" w:hAnsiTheme="majorHAnsi" w:cstheme="majorHAnsi"/>
          <w:lang w:val="es-CO"/>
        </w:rPr>
        <w:t>Seal the vial securely.</w:t>
      </w:r>
    </w:p>
    <w:p w14:paraId="70B1E768" w14:textId="77777777" w:rsidR="00431D97" w:rsidRDefault="00431D97" w:rsidP="00D11A22">
      <w:pPr>
        <w:pStyle w:val="Prrafodelista"/>
        <w:numPr>
          <w:ilvl w:val="0"/>
          <w:numId w:val="29"/>
        </w:numPr>
        <w:jc w:val="both"/>
        <w:rPr>
          <w:rFonts w:asciiTheme="majorHAnsi" w:hAnsiTheme="majorHAnsi" w:cstheme="majorHAnsi"/>
          <w:lang w:val="en-US"/>
        </w:rPr>
      </w:pPr>
      <w:r w:rsidRPr="00431D97">
        <w:rPr>
          <w:rFonts w:asciiTheme="majorHAnsi" w:hAnsiTheme="majorHAnsi" w:cstheme="majorHAnsi"/>
          <w:lang w:val="en-US"/>
        </w:rPr>
        <w:t>Leave a small air bubble and mix gently by slow inversion or rolling</w:t>
      </w:r>
    </w:p>
    <w:p w14:paraId="39CEA808" w14:textId="25029F9C" w:rsidR="00117247" w:rsidRPr="00E905FE" w:rsidRDefault="00117247" w:rsidP="00D11A22">
      <w:pPr>
        <w:pStyle w:val="Prrafodelista"/>
        <w:numPr>
          <w:ilvl w:val="0"/>
          <w:numId w:val="29"/>
        </w:numPr>
        <w:jc w:val="both"/>
        <w:rPr>
          <w:rFonts w:asciiTheme="majorHAnsi" w:hAnsiTheme="majorHAnsi" w:cstheme="majorHAnsi"/>
          <w:lang w:val="en-US"/>
        </w:rPr>
      </w:pPr>
      <w:r w:rsidRPr="00E905FE">
        <w:rPr>
          <w:rFonts w:asciiTheme="majorHAnsi" w:hAnsiTheme="majorHAnsi" w:cstheme="majorHAnsi"/>
          <w:lang w:val="en-US"/>
        </w:rPr>
        <w:t>Inspect the vial visually to confirm homogeneity and absence of large air bubbles.</w:t>
      </w:r>
    </w:p>
    <w:p w14:paraId="4811035D" w14:textId="77777777" w:rsidR="00117247" w:rsidRPr="00E905FE" w:rsidRDefault="00117247" w:rsidP="00D11A22">
      <w:pPr>
        <w:pStyle w:val="Prrafodelista"/>
        <w:numPr>
          <w:ilvl w:val="0"/>
          <w:numId w:val="29"/>
        </w:numPr>
        <w:jc w:val="both"/>
        <w:rPr>
          <w:rFonts w:asciiTheme="majorHAnsi" w:hAnsiTheme="majorHAnsi" w:cstheme="majorHAnsi"/>
          <w:lang w:val="en-US"/>
        </w:rPr>
      </w:pPr>
      <w:r w:rsidRPr="00E905FE">
        <w:rPr>
          <w:rFonts w:asciiTheme="majorHAnsi" w:hAnsiTheme="majorHAnsi" w:cstheme="majorHAnsi"/>
          <w:lang w:val="en-US"/>
        </w:rPr>
        <w:t>Label each vial with the nominal iodine concentration, preparation date and operator initials.</w:t>
      </w:r>
    </w:p>
    <w:p w14:paraId="4FBAD310" w14:textId="77777777" w:rsidR="00117247" w:rsidRPr="00E905FE" w:rsidRDefault="00117247" w:rsidP="00D11A22">
      <w:pPr>
        <w:pStyle w:val="Prrafodelista"/>
        <w:numPr>
          <w:ilvl w:val="0"/>
          <w:numId w:val="29"/>
        </w:numPr>
        <w:jc w:val="both"/>
        <w:rPr>
          <w:rFonts w:asciiTheme="majorHAnsi" w:hAnsiTheme="majorHAnsi" w:cstheme="majorHAnsi"/>
          <w:lang w:val="en-US"/>
        </w:rPr>
      </w:pPr>
      <w:r w:rsidRPr="00E905FE">
        <w:rPr>
          <w:rFonts w:asciiTheme="majorHAnsi" w:hAnsiTheme="majorHAnsi" w:cstheme="majorHAnsi"/>
          <w:lang w:val="en-US"/>
        </w:rPr>
        <w:t>Store the prepared vials protected from light at 20–25°C until scanning.</w:t>
      </w:r>
    </w:p>
    <w:p w14:paraId="4D3FE334" w14:textId="77777777" w:rsidR="00117247" w:rsidRPr="00A07916" w:rsidRDefault="00117247" w:rsidP="00D11A22">
      <w:pPr>
        <w:rPr>
          <w:rFonts w:asciiTheme="majorHAnsi" w:hAnsiTheme="majorHAnsi" w:cstheme="majorHAnsi"/>
          <w:b/>
          <w:bCs/>
          <w:lang w:val="en-US"/>
        </w:rPr>
      </w:pPr>
      <w:r w:rsidRPr="00A07916">
        <w:rPr>
          <w:rFonts w:asciiTheme="majorHAnsi" w:hAnsiTheme="majorHAnsi" w:cstheme="majorHAnsi"/>
          <w:b/>
          <w:bCs/>
          <w:lang w:val="en-US"/>
        </w:rPr>
        <w:lastRenderedPageBreak/>
        <w:t>S5. Phantom assembly</w:t>
      </w:r>
    </w:p>
    <w:p w14:paraId="26FC2C4A" w14:textId="77777777" w:rsidR="00117247" w:rsidRPr="00E905FE" w:rsidRDefault="00117247" w:rsidP="00D11A22">
      <w:pPr>
        <w:jc w:val="both"/>
        <w:rPr>
          <w:rFonts w:asciiTheme="majorHAnsi" w:hAnsiTheme="majorHAnsi" w:cstheme="majorHAnsi"/>
          <w:lang w:val="en-US"/>
        </w:rPr>
      </w:pPr>
      <w:r w:rsidRPr="00E905FE">
        <w:rPr>
          <w:rFonts w:asciiTheme="majorHAnsi" w:hAnsiTheme="majorHAnsi" w:cstheme="majorHAnsi"/>
          <w:lang w:val="en-US"/>
        </w:rPr>
        <w:t>The phantom is assembled using iodine vials submerged within a water background and surrounded by additional water-filled bottles to approximate an abdomen-sized geometry.</w:t>
      </w:r>
    </w:p>
    <w:p w14:paraId="333BEA07"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Fill 10–12 identical plastic bottles, approximately 300–500 mL each, with water.</w:t>
      </w:r>
    </w:p>
    <w:p w14:paraId="1C8DCB89"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Minimise air gaps in the bottles, particularly in regions close to the iodine vials.</w:t>
      </w:r>
    </w:p>
    <w:p w14:paraId="06C61B11"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Position the four iodine vials centrally within the bottle arrangement. Each iodine vial should be fully submerged in water, upright, and mechanically stable.</w:t>
      </w:r>
    </w:p>
    <w:p w14:paraId="79091BE9"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If required, secure each iodine vial to the inner aspect of the bottle cap or opening using cyanoacrylate adhesive or another suitable fixation method.</w:t>
      </w:r>
    </w:p>
    <w:p w14:paraId="6D80B772"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Ensure that the vials do not float, tilt, or touch the bottle wall in the region intended for the ROI analysis.</w:t>
      </w:r>
    </w:p>
    <w:p w14:paraId="7E0A8FB7" w14:textId="77777777" w:rsidR="00117247" w:rsidRPr="00C44D91" w:rsidRDefault="00117247" w:rsidP="00C44D91">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Arrange the water bottles in a compact oval or ellipsoidal cluster to approximate an adult abdominal cross-section.</w:t>
      </w:r>
    </w:p>
    <w:p w14:paraId="763850B2"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Place additional water-filled bottles around the iodine-containing bottles to improve scatter conditions and maintain a reproducible transverse geometry.</w:t>
      </w:r>
      <w:r>
        <w:rPr>
          <w:rFonts w:asciiTheme="majorHAnsi" w:hAnsiTheme="majorHAnsi" w:cstheme="majorHAnsi"/>
          <w:lang w:val="en-US"/>
        </w:rPr>
        <w:t xml:space="preserve"> </w:t>
      </w:r>
      <w:r w:rsidRPr="00C44D91">
        <w:rPr>
          <w:rFonts w:asciiTheme="majorHAnsi" w:hAnsiTheme="majorHAnsi" w:cstheme="majorHAnsi"/>
        </w:rPr>
        <w:t>The final transverse diameter should be recorded. An approximate diameter of 30–40 cm is suitable for an abdomen-sized configuration, provided that the arrangement remains mechanically stable and fully covered by the scan range.</w:t>
      </w:r>
    </w:p>
    <w:p w14:paraId="697CA82F"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Secure the bottle cluster using minimal low-attenuation transparent tape or place the bottles in a plastic container to maintain geometry during scanning.</w:t>
      </w:r>
    </w:p>
    <w:p w14:paraId="6E4D0616" w14:textId="77777777" w:rsidR="00117247" w:rsidRPr="00E905FE"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Record the position of each iodine concentration within the cluster using a photograph or simple diagram.</w:t>
      </w:r>
    </w:p>
    <w:p w14:paraId="1BEF733B" w14:textId="77777777" w:rsidR="00117247" w:rsidRDefault="00117247" w:rsidP="00D11A22">
      <w:pPr>
        <w:pStyle w:val="Prrafodelista"/>
        <w:numPr>
          <w:ilvl w:val="0"/>
          <w:numId w:val="30"/>
        </w:numPr>
        <w:jc w:val="both"/>
        <w:rPr>
          <w:rFonts w:asciiTheme="majorHAnsi" w:hAnsiTheme="majorHAnsi" w:cstheme="majorHAnsi"/>
          <w:lang w:val="en-US"/>
        </w:rPr>
      </w:pPr>
      <w:r w:rsidRPr="00E905FE">
        <w:rPr>
          <w:rFonts w:asciiTheme="majorHAnsi" w:hAnsiTheme="majorHAnsi" w:cstheme="majorHAnsi"/>
          <w:lang w:val="en-US"/>
        </w:rPr>
        <w:t>For longitudinal constancy measurements, reproduce the same bottle arrangement, vial order and phantom orientation at each scan session.</w:t>
      </w:r>
    </w:p>
    <w:p w14:paraId="4C244E03" w14:textId="77777777" w:rsidR="00117247" w:rsidRDefault="00117247" w:rsidP="00D11A22">
      <w:pPr>
        <w:jc w:val="both"/>
        <w:rPr>
          <w:rFonts w:asciiTheme="majorHAnsi" w:hAnsiTheme="majorHAnsi" w:cstheme="majorHAnsi"/>
          <w:lang w:val="en-US"/>
        </w:rPr>
      </w:pPr>
      <w:r w:rsidRPr="00E905FE">
        <w:rPr>
          <w:rFonts w:asciiTheme="majorHAnsi" w:hAnsiTheme="majorHAnsi" w:cstheme="majorHAnsi"/>
          <w:lang w:val="en-US"/>
        </w:rPr>
        <w:t xml:space="preserve">The final arrangement should be mechanically stable, </w:t>
      </w:r>
      <w:r>
        <w:rPr>
          <w:rFonts w:asciiTheme="majorHAnsi" w:hAnsiTheme="majorHAnsi" w:cstheme="majorHAnsi"/>
          <w:lang w:val="en-US"/>
        </w:rPr>
        <w:t>contain no major air gaps in the expected measurement region, and allow all iodine vials to be scanned over their full length</w:t>
      </w:r>
      <w:r w:rsidRPr="00A07916">
        <w:rPr>
          <w:rFonts w:asciiTheme="majorHAnsi" w:hAnsiTheme="majorHAnsi" w:cstheme="majorHAnsi"/>
          <w:lang w:val="en-US"/>
        </w:rPr>
        <w:t>.</w:t>
      </w:r>
    </w:p>
    <w:tbl>
      <w:tblPr>
        <w:tblStyle w:val="Tablaconcuadrculaclara"/>
        <w:tblW w:w="0" w:type="auto"/>
        <w:tblLook w:val="04A0" w:firstRow="1" w:lastRow="0" w:firstColumn="1" w:lastColumn="0" w:noHBand="0" w:noVBand="1"/>
      </w:tblPr>
      <w:tblGrid>
        <w:gridCol w:w="9962"/>
      </w:tblGrid>
      <w:tr w:rsidR="00117247" w:rsidRPr="003E384B" w14:paraId="325B5F80" w14:textId="77777777" w:rsidTr="003E384B">
        <w:tc>
          <w:tcPr>
            <w:tcW w:w="9962" w:type="dxa"/>
          </w:tcPr>
          <w:p w14:paraId="27D1B00B" w14:textId="77777777" w:rsidR="00117247" w:rsidRPr="003E384B" w:rsidRDefault="00117247" w:rsidP="008D5C07">
            <w:pPr>
              <w:jc w:val="both"/>
              <w:rPr>
                <w:rFonts w:asciiTheme="majorHAnsi" w:hAnsiTheme="majorHAnsi" w:cstheme="majorHAnsi"/>
                <w:lang w:val="en-US"/>
              </w:rPr>
            </w:pPr>
          </w:p>
        </w:tc>
      </w:tr>
      <w:tr w:rsidR="00117247" w:rsidRPr="003E384B" w14:paraId="17E42DBC" w14:textId="77777777" w:rsidTr="003E384B">
        <w:tc>
          <w:tcPr>
            <w:tcW w:w="9962" w:type="dxa"/>
          </w:tcPr>
          <w:p w14:paraId="766B929B" w14:textId="77777777" w:rsidR="00117247" w:rsidRPr="003E384B" w:rsidRDefault="00117247" w:rsidP="00A94FCD">
            <w:pPr>
              <w:jc w:val="center"/>
              <w:rPr>
                <w:rFonts w:asciiTheme="majorHAnsi" w:hAnsiTheme="majorHAnsi" w:cstheme="majorHAnsi"/>
                <w:lang w:val="en-US"/>
              </w:rPr>
            </w:pPr>
            <w:r w:rsidRPr="003E384B">
              <w:rPr>
                <w:rFonts w:asciiTheme="majorHAnsi" w:hAnsiTheme="majorHAnsi" w:cstheme="majorHAnsi"/>
              </w:rPr>
              <w:t xml:space="preserve">PHASE 1: Preparation of </w:t>
            </w:r>
            <w:r>
              <w:rPr>
                <w:rFonts w:asciiTheme="majorHAnsi" w:hAnsiTheme="majorHAnsi" w:cstheme="majorHAnsi"/>
              </w:rPr>
              <w:t>Parent S</w:t>
            </w:r>
            <w:r w:rsidRPr="003E384B">
              <w:rPr>
                <w:rFonts w:asciiTheme="majorHAnsi" w:hAnsiTheme="majorHAnsi" w:cstheme="majorHAnsi"/>
              </w:rPr>
              <w:t xml:space="preserve">tock Solution </w:t>
            </w:r>
          </w:p>
        </w:tc>
      </w:tr>
      <w:tr w:rsidR="00117247" w:rsidRPr="003E384B" w14:paraId="57C52FD6" w14:textId="77777777" w:rsidTr="003E384B">
        <w:tc>
          <w:tcPr>
            <w:tcW w:w="9962" w:type="dxa"/>
          </w:tcPr>
          <w:p w14:paraId="27BB4EA7" w14:textId="77777777" w:rsidR="00117247" w:rsidRPr="003E384B" w:rsidRDefault="00117247" w:rsidP="00A94FCD">
            <w:pPr>
              <w:jc w:val="center"/>
              <w:rPr>
                <w:rFonts w:asciiTheme="majorHAnsi" w:hAnsiTheme="majorHAnsi" w:cstheme="majorHAnsi"/>
                <w:lang w:val="en-US"/>
              </w:rPr>
            </w:pPr>
            <w:r w:rsidRPr="003E384B">
              <w:rPr>
                <w:rFonts w:asciiTheme="majorHAnsi" w:hAnsiTheme="majorHAnsi" w:cstheme="majorHAnsi"/>
                <w:noProof/>
              </w:rPr>
              <w:drawing>
                <wp:inline distT="0" distB="0" distL="0" distR="0" wp14:anchorId="64A0E10D" wp14:editId="74076269">
                  <wp:extent cx="5611495" cy="1812472"/>
                  <wp:effectExtent l="0" t="0" r="27305" b="0"/>
                  <wp:docPr id="100684880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r w:rsidR="00117247" w:rsidRPr="003E384B" w14:paraId="376D82AD" w14:textId="77777777" w:rsidTr="003E384B">
        <w:tc>
          <w:tcPr>
            <w:tcW w:w="9962" w:type="dxa"/>
          </w:tcPr>
          <w:p w14:paraId="42C91669" w14:textId="77777777" w:rsidR="00117247" w:rsidRPr="003E384B" w:rsidRDefault="00117247" w:rsidP="00A94FCD">
            <w:pPr>
              <w:jc w:val="center"/>
              <w:rPr>
                <w:rFonts w:asciiTheme="majorHAnsi" w:hAnsiTheme="majorHAnsi" w:cstheme="majorHAnsi"/>
                <w:noProof/>
              </w:rPr>
            </w:pPr>
            <w:r w:rsidRPr="003E384B">
              <w:rPr>
                <w:rFonts w:asciiTheme="majorHAnsi" w:hAnsiTheme="majorHAnsi" w:cstheme="majorHAnsi"/>
                <w:noProof/>
              </w:rPr>
              <w:t>PHASE 2: Preparation of Working Solutions</w:t>
            </w:r>
          </w:p>
        </w:tc>
      </w:tr>
      <w:tr w:rsidR="00117247" w:rsidRPr="003E384B" w14:paraId="14993CFE" w14:textId="77777777" w:rsidTr="003E384B">
        <w:tc>
          <w:tcPr>
            <w:tcW w:w="9962" w:type="dxa"/>
          </w:tcPr>
          <w:p w14:paraId="7F3AFA17" w14:textId="77777777" w:rsidR="00117247" w:rsidRPr="003E384B" w:rsidRDefault="00117247" w:rsidP="00A94FCD">
            <w:pPr>
              <w:jc w:val="center"/>
              <w:rPr>
                <w:rFonts w:asciiTheme="majorHAnsi" w:hAnsiTheme="majorHAnsi" w:cstheme="majorHAnsi"/>
                <w:noProof/>
              </w:rPr>
            </w:pPr>
            <w:r w:rsidRPr="003E384B">
              <w:rPr>
                <w:rFonts w:asciiTheme="majorHAnsi" w:hAnsiTheme="majorHAnsi" w:cstheme="majorHAnsi"/>
                <w:noProof/>
              </w:rPr>
              <w:lastRenderedPageBreak/>
              <w:drawing>
                <wp:inline distT="0" distB="0" distL="0" distR="0" wp14:anchorId="4BD30CFB" wp14:editId="356233F5">
                  <wp:extent cx="5518785" cy="1534886"/>
                  <wp:effectExtent l="0" t="0" r="43815" b="65405"/>
                  <wp:docPr id="205069656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tc>
      </w:tr>
      <w:tr w:rsidR="00117247" w:rsidRPr="003E384B" w14:paraId="19B7ECF0" w14:textId="77777777" w:rsidTr="003E384B">
        <w:tc>
          <w:tcPr>
            <w:tcW w:w="9962" w:type="dxa"/>
          </w:tcPr>
          <w:p w14:paraId="55C5A0D5" w14:textId="77777777" w:rsidR="00117247" w:rsidRPr="003E384B" w:rsidRDefault="00117247" w:rsidP="00A94FCD">
            <w:pPr>
              <w:jc w:val="center"/>
              <w:rPr>
                <w:rFonts w:asciiTheme="majorHAnsi" w:hAnsiTheme="majorHAnsi" w:cstheme="majorHAnsi"/>
                <w:noProof/>
              </w:rPr>
            </w:pPr>
            <w:r w:rsidRPr="003E384B">
              <w:rPr>
                <w:rFonts w:asciiTheme="majorHAnsi" w:hAnsiTheme="majorHAnsi" w:cstheme="majorHAnsi"/>
                <w:noProof/>
              </w:rPr>
              <w:t>PHASE 3: Phantom setup</w:t>
            </w:r>
          </w:p>
        </w:tc>
      </w:tr>
      <w:tr w:rsidR="00117247" w:rsidRPr="003E384B" w14:paraId="468E7895" w14:textId="77777777" w:rsidTr="003E384B">
        <w:tc>
          <w:tcPr>
            <w:tcW w:w="9962" w:type="dxa"/>
          </w:tcPr>
          <w:p w14:paraId="400979B2" w14:textId="77777777" w:rsidR="00117247" w:rsidRPr="003E384B" w:rsidRDefault="00117247" w:rsidP="00A94FCD">
            <w:pPr>
              <w:jc w:val="center"/>
              <w:rPr>
                <w:rFonts w:asciiTheme="majorHAnsi" w:hAnsiTheme="majorHAnsi" w:cstheme="majorHAnsi"/>
                <w:noProof/>
              </w:rPr>
            </w:pPr>
            <w:r w:rsidRPr="003E384B">
              <w:rPr>
                <w:rFonts w:asciiTheme="majorHAnsi" w:hAnsiTheme="majorHAnsi" w:cstheme="majorHAnsi"/>
                <w:noProof/>
              </w:rPr>
              <w:drawing>
                <wp:inline distT="0" distB="0" distL="0" distR="0" wp14:anchorId="46FF1A74" wp14:editId="57B4DFF3">
                  <wp:extent cx="3690257" cy="1545590"/>
                  <wp:effectExtent l="0" t="0" r="43815" b="16510"/>
                  <wp:docPr id="189810628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tc>
      </w:tr>
    </w:tbl>
    <w:p w14:paraId="62B4BA94" w14:textId="77777777" w:rsidR="00117247" w:rsidRPr="00A94FCD" w:rsidRDefault="00117247" w:rsidP="008D5C07">
      <w:pPr>
        <w:jc w:val="both"/>
        <w:rPr>
          <w:rFonts w:asciiTheme="majorHAnsi" w:hAnsiTheme="majorHAnsi" w:cstheme="majorHAnsi"/>
          <w:lang w:val="en-US"/>
        </w:rPr>
      </w:pPr>
    </w:p>
    <w:p w14:paraId="4A66A06C" w14:textId="77777777" w:rsidR="00117247" w:rsidRDefault="00117247" w:rsidP="00C44D91">
      <w:pPr>
        <w:jc w:val="both"/>
        <w:rPr>
          <w:rFonts w:ascii="Calibri" w:hAnsi="Calibri" w:cs="Calibri"/>
          <w:color w:val="0070C0"/>
        </w:rPr>
      </w:pPr>
      <w:r w:rsidRPr="00C44D91">
        <w:rPr>
          <w:rFonts w:ascii="Calibri" w:hAnsi="Calibri" w:cs="Calibri"/>
          <w:color w:val="0070C0"/>
        </w:rPr>
        <w:t>Figure S1: Step-by-step workflow for the construction of the locally assembled iodine phantom. Phase 1 shows preparation of the 30 mg I/mL parent stock solution from iodinated contrast medium. Phase 2 shows preparation of iodine working solutions by dilution to the final vial volume. Phase 3 shows fixation of the iodine vial, insertion into the water background and assembly of the multi-bottle phantom.</w:t>
      </w:r>
    </w:p>
    <w:p w14:paraId="7DD29D5E" w14:textId="1809740F" w:rsidR="008047AF" w:rsidRPr="008047AF" w:rsidRDefault="008047AF" w:rsidP="008047AF">
      <w:pPr>
        <w:rPr>
          <w:rFonts w:asciiTheme="majorHAnsi" w:hAnsiTheme="majorHAnsi" w:cstheme="majorBidi"/>
          <w:sz w:val="18"/>
          <w:szCs w:val="18"/>
          <w:u w:val="single"/>
          <w:lang w:val="en-US"/>
        </w:rPr>
      </w:pPr>
      <w:r w:rsidRPr="008047AF">
        <w:rPr>
          <w:rFonts w:asciiTheme="majorHAnsi" w:hAnsiTheme="majorHAnsi" w:cstheme="majorBidi"/>
          <w:sz w:val="18"/>
          <w:szCs w:val="18"/>
          <w:u w:val="single"/>
          <w:lang w:val="en-US"/>
        </w:rPr>
        <w:t xml:space="preserve">Alt text: </w:t>
      </w:r>
      <w:r w:rsidR="00267FC2" w:rsidRPr="00267FC2">
        <w:rPr>
          <w:rFonts w:asciiTheme="majorHAnsi" w:hAnsiTheme="majorHAnsi" w:cstheme="majorBidi"/>
          <w:sz w:val="18"/>
          <w:szCs w:val="18"/>
          <w:u w:val="single"/>
          <w:lang w:val="en-US"/>
        </w:rPr>
        <w:t>Workflow diagram summarising three steps for phantom construction: preparation of the parent iodine stock solution, dilution of working iodine solutions, and assembly of the multi-bottle phantom.</w:t>
      </w:r>
    </w:p>
    <w:p w14:paraId="5E253536" w14:textId="77777777" w:rsidR="00117247" w:rsidRPr="00E905FE" w:rsidRDefault="00117247" w:rsidP="00D11A22">
      <w:pPr>
        <w:rPr>
          <w:rFonts w:asciiTheme="majorHAnsi" w:hAnsiTheme="majorHAnsi" w:cstheme="majorHAnsi"/>
          <w:b/>
          <w:bCs/>
          <w:lang w:val="en-US"/>
        </w:rPr>
      </w:pPr>
      <w:r w:rsidRPr="00E905FE">
        <w:rPr>
          <w:rFonts w:asciiTheme="majorHAnsi" w:hAnsiTheme="majorHAnsi" w:cstheme="majorHAnsi"/>
          <w:b/>
          <w:bCs/>
          <w:lang w:val="en-US"/>
        </w:rPr>
        <w:t>S</w:t>
      </w:r>
      <w:r>
        <w:rPr>
          <w:rFonts w:asciiTheme="majorHAnsi" w:hAnsiTheme="majorHAnsi" w:cstheme="majorHAnsi"/>
          <w:b/>
          <w:bCs/>
          <w:lang w:val="en-US"/>
        </w:rPr>
        <w:t>6</w:t>
      </w:r>
      <w:r w:rsidRPr="00E905FE">
        <w:rPr>
          <w:rFonts w:asciiTheme="majorHAnsi" w:hAnsiTheme="majorHAnsi" w:cstheme="majorHAnsi"/>
          <w:b/>
          <w:bCs/>
          <w:lang w:val="en-US"/>
        </w:rPr>
        <w:t>. Practical recommendations</w:t>
      </w:r>
    </w:p>
    <w:p w14:paraId="54773A9F" w14:textId="77777777" w:rsidR="00117247" w:rsidRDefault="00117247" w:rsidP="00D11A22">
      <w:pPr>
        <w:pStyle w:val="Prrafodelista"/>
        <w:numPr>
          <w:ilvl w:val="0"/>
          <w:numId w:val="31"/>
        </w:numPr>
        <w:jc w:val="both"/>
        <w:rPr>
          <w:rFonts w:asciiTheme="majorHAnsi" w:hAnsiTheme="majorHAnsi" w:cstheme="majorHAnsi"/>
          <w:lang w:val="en-US"/>
        </w:rPr>
      </w:pPr>
      <w:r w:rsidRPr="00E905FE">
        <w:rPr>
          <w:rFonts w:asciiTheme="majorHAnsi" w:hAnsiTheme="majorHAnsi" w:cstheme="majorHAnsi"/>
          <w:lang w:val="en-US"/>
        </w:rPr>
        <w:t>The prepared iodine concentrations should be considered nominal concentrations because they are calculated from dilution volumes and were not independently verified using a traceable chemical analysis method.</w:t>
      </w:r>
    </w:p>
    <w:p w14:paraId="7D10D613" w14:textId="77777777" w:rsidR="00117247" w:rsidRPr="00E905FE" w:rsidRDefault="00117247" w:rsidP="00D11A22">
      <w:pPr>
        <w:pStyle w:val="Prrafodelista"/>
        <w:numPr>
          <w:ilvl w:val="0"/>
          <w:numId w:val="31"/>
        </w:numPr>
        <w:jc w:val="both"/>
        <w:rPr>
          <w:rFonts w:asciiTheme="majorHAnsi" w:hAnsiTheme="majorHAnsi" w:cstheme="majorHAnsi"/>
          <w:lang w:val="en-US"/>
        </w:rPr>
      </w:pPr>
      <w:r w:rsidRPr="00C44D91">
        <w:rPr>
          <w:rFonts w:asciiTheme="majorHAnsi" w:hAnsiTheme="majorHAnsi" w:cstheme="majorHAnsi"/>
        </w:rPr>
        <w:t>The bottle and vial dimensions provided here are intended as practical examples rather than fixed requirements. The protocol may be adapted to other locally available containers, provided that the iodine inserts are fully submerged in water, the geometry is reproducible, and the same configuration is used for the longitudinal measurements.</w:t>
      </w:r>
    </w:p>
    <w:p w14:paraId="09F1A1D3" w14:textId="77777777" w:rsidR="00117247" w:rsidRPr="00E905FE" w:rsidRDefault="00117247" w:rsidP="00D11A22">
      <w:pPr>
        <w:pStyle w:val="Prrafodelista"/>
        <w:numPr>
          <w:ilvl w:val="0"/>
          <w:numId w:val="31"/>
        </w:numPr>
        <w:jc w:val="both"/>
        <w:rPr>
          <w:rFonts w:asciiTheme="majorHAnsi" w:hAnsiTheme="majorHAnsi" w:cstheme="majorHAnsi"/>
          <w:lang w:val="en-US"/>
        </w:rPr>
      </w:pPr>
      <w:r w:rsidRPr="00E905FE">
        <w:rPr>
          <w:rFonts w:asciiTheme="majorHAnsi" w:hAnsiTheme="majorHAnsi" w:cstheme="majorHAnsi"/>
          <w:lang w:val="en-US"/>
        </w:rPr>
        <w:t>The main practical sources of uncertainty include syringe volume tolerance, incomplete transfer of contrast medium, residual stock solution in the syringe or needle, air bubbles, incomplete mixing, evaporation, vial positioning, and changes in CT reconstruction or material decomposition settings.</w:t>
      </w:r>
    </w:p>
    <w:p w14:paraId="15D9C624" w14:textId="77777777" w:rsidR="00117247" w:rsidRDefault="00117247">
      <w:pPr>
        <w:pStyle w:val="Prrafodelista"/>
        <w:numPr>
          <w:ilvl w:val="0"/>
          <w:numId w:val="31"/>
        </w:numPr>
        <w:jc w:val="both"/>
        <w:rPr>
          <w:rFonts w:asciiTheme="majorHAnsi" w:hAnsiTheme="majorHAnsi" w:cstheme="majorHAnsi"/>
          <w:lang w:val="en-US"/>
        </w:rPr>
      </w:pPr>
      <w:r w:rsidRPr="00D11A22">
        <w:rPr>
          <w:rFonts w:asciiTheme="majorHAnsi" w:hAnsiTheme="majorHAnsi" w:cstheme="majorHAnsi"/>
          <w:lang w:val="en-US"/>
        </w:rPr>
        <w:t>For reproducible longitudinal monitoring, the same vial order, bottle arrangement, scan protocol, reconstruction settings, and ROI method should be used at each time point.</w:t>
      </w:r>
    </w:p>
    <w:p w14:paraId="5E93062D" w14:textId="77777777" w:rsidR="00117247" w:rsidRDefault="00117247">
      <w:pPr>
        <w:pStyle w:val="Prrafodelista"/>
        <w:numPr>
          <w:ilvl w:val="0"/>
          <w:numId w:val="31"/>
        </w:numPr>
        <w:jc w:val="both"/>
        <w:rPr>
          <w:rFonts w:asciiTheme="majorHAnsi" w:hAnsiTheme="majorHAnsi" w:cstheme="majorHAnsi"/>
          <w:lang w:val="en-US"/>
        </w:rPr>
      </w:pPr>
      <w:r w:rsidRPr="00D11A22">
        <w:rPr>
          <w:rFonts w:asciiTheme="majorHAnsi" w:hAnsiTheme="majorHAnsi" w:cstheme="majorHAnsi"/>
          <w:lang w:val="en-US"/>
        </w:rPr>
        <w:t>This phantom is intended for practical implementation, assessment of iodine quantification linearity, and longitudinal consistency monitoring. It should not be considered a replacement for traceable reference phantoms or formal acceptance testing tools when absolute iodine quantification accuracy is required</w:t>
      </w:r>
    </w:p>
    <w:p w14:paraId="72876E28" w14:textId="77777777" w:rsidR="00DB6360" w:rsidRDefault="00DB6360" w:rsidP="00DB6360">
      <w:pPr>
        <w:jc w:val="both"/>
        <w:rPr>
          <w:rFonts w:asciiTheme="majorHAnsi" w:hAnsiTheme="majorHAnsi" w:cstheme="majorHAnsi"/>
          <w:lang w:val="en-US"/>
        </w:rPr>
      </w:pPr>
    </w:p>
    <w:p w14:paraId="5D5D1FE4" w14:textId="77777777" w:rsidR="00DB6360" w:rsidRDefault="00DB6360" w:rsidP="00DB6360">
      <w:pPr>
        <w:jc w:val="both"/>
        <w:rPr>
          <w:rFonts w:asciiTheme="majorHAnsi" w:hAnsiTheme="majorHAnsi" w:cstheme="majorHAnsi"/>
          <w:lang w:val="en-US"/>
        </w:rPr>
      </w:pPr>
    </w:p>
    <w:p w14:paraId="28A1B0F4" w14:textId="77777777" w:rsidR="00DB6360" w:rsidRDefault="00DB6360" w:rsidP="00DB6360">
      <w:pPr>
        <w:jc w:val="both"/>
        <w:rPr>
          <w:rFonts w:asciiTheme="majorHAnsi" w:hAnsiTheme="majorHAnsi" w:cstheme="majorHAnsi"/>
          <w:lang w:val="en-US"/>
        </w:rPr>
      </w:pPr>
    </w:p>
    <w:sectPr w:rsidR="00DB6360" w:rsidSect="00061FDE">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4B5385A"/>
    <w:multiLevelType w:val="hybridMultilevel"/>
    <w:tmpl w:val="2AEE4F4E"/>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0989EB30"/>
    <w:multiLevelType w:val="hybridMultilevel"/>
    <w:tmpl w:val="FFFFFFFF"/>
    <w:lvl w:ilvl="0" w:tplc="4DF08398">
      <w:start w:val="1"/>
      <w:numFmt w:val="decimal"/>
      <w:lvlText w:val="%1."/>
      <w:lvlJc w:val="left"/>
      <w:pPr>
        <w:ind w:left="720" w:hanging="360"/>
      </w:pPr>
    </w:lvl>
    <w:lvl w:ilvl="1" w:tplc="D99CAE4A">
      <w:start w:val="1"/>
      <w:numFmt w:val="lowerLetter"/>
      <w:lvlText w:val="%2."/>
      <w:lvlJc w:val="left"/>
      <w:pPr>
        <w:ind w:left="1440" w:hanging="360"/>
      </w:pPr>
    </w:lvl>
    <w:lvl w:ilvl="2" w:tplc="BD9809BA">
      <w:start w:val="1"/>
      <w:numFmt w:val="lowerRoman"/>
      <w:lvlText w:val="%3."/>
      <w:lvlJc w:val="right"/>
      <w:pPr>
        <w:ind w:left="2160" w:hanging="180"/>
      </w:pPr>
    </w:lvl>
    <w:lvl w:ilvl="3" w:tplc="A44C7BBE">
      <w:start w:val="1"/>
      <w:numFmt w:val="decimal"/>
      <w:lvlText w:val="%4."/>
      <w:lvlJc w:val="left"/>
      <w:pPr>
        <w:ind w:left="2880" w:hanging="360"/>
      </w:pPr>
    </w:lvl>
    <w:lvl w:ilvl="4" w:tplc="9D9C04EC">
      <w:start w:val="1"/>
      <w:numFmt w:val="lowerLetter"/>
      <w:lvlText w:val="%5."/>
      <w:lvlJc w:val="left"/>
      <w:pPr>
        <w:ind w:left="3600" w:hanging="360"/>
      </w:pPr>
    </w:lvl>
    <w:lvl w:ilvl="5" w:tplc="267CC62C">
      <w:start w:val="1"/>
      <w:numFmt w:val="lowerRoman"/>
      <w:lvlText w:val="%6."/>
      <w:lvlJc w:val="right"/>
      <w:pPr>
        <w:ind w:left="4320" w:hanging="180"/>
      </w:pPr>
    </w:lvl>
    <w:lvl w:ilvl="6" w:tplc="43E63392">
      <w:start w:val="1"/>
      <w:numFmt w:val="decimal"/>
      <w:lvlText w:val="%7."/>
      <w:lvlJc w:val="left"/>
      <w:pPr>
        <w:ind w:left="5040" w:hanging="360"/>
      </w:pPr>
    </w:lvl>
    <w:lvl w:ilvl="7" w:tplc="C2F4884C">
      <w:start w:val="1"/>
      <w:numFmt w:val="lowerLetter"/>
      <w:lvlText w:val="%8."/>
      <w:lvlJc w:val="left"/>
      <w:pPr>
        <w:ind w:left="5760" w:hanging="360"/>
      </w:pPr>
    </w:lvl>
    <w:lvl w:ilvl="8" w:tplc="73E0E6F6">
      <w:start w:val="1"/>
      <w:numFmt w:val="lowerRoman"/>
      <w:lvlText w:val="%9."/>
      <w:lvlJc w:val="right"/>
      <w:pPr>
        <w:ind w:left="6480" w:hanging="180"/>
      </w:pPr>
    </w:lvl>
  </w:abstractNum>
  <w:abstractNum w:abstractNumId="11" w15:restartNumberingAfterBreak="0">
    <w:nsid w:val="0AA33550"/>
    <w:multiLevelType w:val="multilevel"/>
    <w:tmpl w:val="EF46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C39C11"/>
    <w:multiLevelType w:val="hybridMultilevel"/>
    <w:tmpl w:val="FFFFFFFF"/>
    <w:lvl w:ilvl="0" w:tplc="62105B94">
      <w:start w:val="1"/>
      <w:numFmt w:val="decimal"/>
      <w:lvlText w:val="%1."/>
      <w:lvlJc w:val="left"/>
      <w:pPr>
        <w:ind w:left="720" w:hanging="360"/>
      </w:pPr>
    </w:lvl>
    <w:lvl w:ilvl="1" w:tplc="B2EA501E">
      <w:start w:val="1"/>
      <w:numFmt w:val="lowerLetter"/>
      <w:lvlText w:val="%2."/>
      <w:lvlJc w:val="left"/>
      <w:pPr>
        <w:ind w:left="1440" w:hanging="360"/>
      </w:pPr>
    </w:lvl>
    <w:lvl w:ilvl="2" w:tplc="12F0FCC0">
      <w:start w:val="1"/>
      <w:numFmt w:val="lowerRoman"/>
      <w:lvlText w:val="%3."/>
      <w:lvlJc w:val="right"/>
      <w:pPr>
        <w:ind w:left="2160" w:hanging="180"/>
      </w:pPr>
    </w:lvl>
    <w:lvl w:ilvl="3" w:tplc="FC866002">
      <w:start w:val="1"/>
      <w:numFmt w:val="decimal"/>
      <w:lvlText w:val="%4."/>
      <w:lvlJc w:val="left"/>
      <w:pPr>
        <w:ind w:left="2880" w:hanging="360"/>
      </w:pPr>
    </w:lvl>
    <w:lvl w:ilvl="4" w:tplc="C3A419B4">
      <w:start w:val="1"/>
      <w:numFmt w:val="lowerLetter"/>
      <w:lvlText w:val="%5."/>
      <w:lvlJc w:val="left"/>
      <w:pPr>
        <w:ind w:left="3600" w:hanging="360"/>
      </w:pPr>
    </w:lvl>
    <w:lvl w:ilvl="5" w:tplc="4CA81EA4">
      <w:start w:val="1"/>
      <w:numFmt w:val="lowerRoman"/>
      <w:lvlText w:val="%6."/>
      <w:lvlJc w:val="right"/>
      <w:pPr>
        <w:ind w:left="4320" w:hanging="180"/>
      </w:pPr>
    </w:lvl>
    <w:lvl w:ilvl="6" w:tplc="E85CBC68">
      <w:start w:val="1"/>
      <w:numFmt w:val="decimal"/>
      <w:lvlText w:val="%7."/>
      <w:lvlJc w:val="left"/>
      <w:pPr>
        <w:ind w:left="5040" w:hanging="360"/>
      </w:pPr>
    </w:lvl>
    <w:lvl w:ilvl="7" w:tplc="6F2433EA">
      <w:start w:val="1"/>
      <w:numFmt w:val="lowerLetter"/>
      <w:lvlText w:val="%8."/>
      <w:lvlJc w:val="left"/>
      <w:pPr>
        <w:ind w:left="5760" w:hanging="360"/>
      </w:pPr>
    </w:lvl>
    <w:lvl w:ilvl="8" w:tplc="ECFACD5A">
      <w:start w:val="1"/>
      <w:numFmt w:val="lowerRoman"/>
      <w:lvlText w:val="%9."/>
      <w:lvlJc w:val="right"/>
      <w:pPr>
        <w:ind w:left="6480" w:hanging="180"/>
      </w:pPr>
    </w:lvl>
  </w:abstractNum>
  <w:abstractNum w:abstractNumId="13" w15:restartNumberingAfterBreak="0">
    <w:nsid w:val="25F96CEA"/>
    <w:multiLevelType w:val="multilevel"/>
    <w:tmpl w:val="518E42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106996"/>
    <w:multiLevelType w:val="hybridMultilevel"/>
    <w:tmpl w:val="C0A8A016"/>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7093487"/>
    <w:multiLevelType w:val="hybridMultilevel"/>
    <w:tmpl w:val="D48CA9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EE824EF"/>
    <w:multiLevelType w:val="multilevel"/>
    <w:tmpl w:val="610C7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D4A0E"/>
    <w:multiLevelType w:val="hybridMultilevel"/>
    <w:tmpl w:val="FFFFFFFF"/>
    <w:lvl w:ilvl="0" w:tplc="97CE5290">
      <w:start w:val="1"/>
      <w:numFmt w:val="decimal"/>
      <w:lvlText w:val="%1."/>
      <w:lvlJc w:val="left"/>
      <w:pPr>
        <w:ind w:left="720" w:hanging="360"/>
      </w:pPr>
    </w:lvl>
    <w:lvl w:ilvl="1" w:tplc="CBC8462A">
      <w:start w:val="1"/>
      <w:numFmt w:val="lowerLetter"/>
      <w:lvlText w:val="%2."/>
      <w:lvlJc w:val="left"/>
      <w:pPr>
        <w:ind w:left="1440" w:hanging="360"/>
      </w:pPr>
    </w:lvl>
    <w:lvl w:ilvl="2" w:tplc="32203EBE">
      <w:start w:val="1"/>
      <w:numFmt w:val="lowerRoman"/>
      <w:lvlText w:val="%3."/>
      <w:lvlJc w:val="right"/>
      <w:pPr>
        <w:ind w:left="2160" w:hanging="180"/>
      </w:pPr>
    </w:lvl>
    <w:lvl w:ilvl="3" w:tplc="7E5050EA">
      <w:start w:val="1"/>
      <w:numFmt w:val="decimal"/>
      <w:lvlText w:val="%4."/>
      <w:lvlJc w:val="left"/>
      <w:pPr>
        <w:ind w:left="2880" w:hanging="360"/>
      </w:pPr>
    </w:lvl>
    <w:lvl w:ilvl="4" w:tplc="75022EDA">
      <w:start w:val="1"/>
      <w:numFmt w:val="lowerLetter"/>
      <w:lvlText w:val="%5."/>
      <w:lvlJc w:val="left"/>
      <w:pPr>
        <w:ind w:left="3600" w:hanging="360"/>
      </w:pPr>
    </w:lvl>
    <w:lvl w:ilvl="5" w:tplc="DB40E4BE">
      <w:start w:val="1"/>
      <w:numFmt w:val="lowerRoman"/>
      <w:lvlText w:val="%6."/>
      <w:lvlJc w:val="right"/>
      <w:pPr>
        <w:ind w:left="4320" w:hanging="180"/>
      </w:pPr>
    </w:lvl>
    <w:lvl w:ilvl="6" w:tplc="E020DC10">
      <w:start w:val="1"/>
      <w:numFmt w:val="decimal"/>
      <w:lvlText w:val="%7."/>
      <w:lvlJc w:val="left"/>
      <w:pPr>
        <w:ind w:left="5040" w:hanging="360"/>
      </w:pPr>
    </w:lvl>
    <w:lvl w:ilvl="7" w:tplc="03A42B08">
      <w:start w:val="1"/>
      <w:numFmt w:val="lowerLetter"/>
      <w:lvlText w:val="%8."/>
      <w:lvlJc w:val="left"/>
      <w:pPr>
        <w:ind w:left="5760" w:hanging="360"/>
      </w:pPr>
    </w:lvl>
    <w:lvl w:ilvl="8" w:tplc="2312AF7C">
      <w:start w:val="1"/>
      <w:numFmt w:val="lowerRoman"/>
      <w:lvlText w:val="%9."/>
      <w:lvlJc w:val="right"/>
      <w:pPr>
        <w:ind w:left="6480" w:hanging="180"/>
      </w:pPr>
    </w:lvl>
  </w:abstractNum>
  <w:abstractNum w:abstractNumId="18" w15:restartNumberingAfterBreak="0">
    <w:nsid w:val="334B5779"/>
    <w:multiLevelType w:val="hybridMultilevel"/>
    <w:tmpl w:val="FFFFFFFF"/>
    <w:lvl w:ilvl="0" w:tplc="06A8A966">
      <w:start w:val="1"/>
      <w:numFmt w:val="decimal"/>
      <w:lvlText w:val="%1."/>
      <w:lvlJc w:val="left"/>
      <w:pPr>
        <w:ind w:left="720" w:hanging="360"/>
      </w:pPr>
    </w:lvl>
    <w:lvl w:ilvl="1" w:tplc="3988861A">
      <w:start w:val="1"/>
      <w:numFmt w:val="lowerLetter"/>
      <w:lvlText w:val="%2."/>
      <w:lvlJc w:val="left"/>
      <w:pPr>
        <w:ind w:left="1440" w:hanging="360"/>
      </w:pPr>
    </w:lvl>
    <w:lvl w:ilvl="2" w:tplc="3184F9F6">
      <w:start w:val="1"/>
      <w:numFmt w:val="lowerRoman"/>
      <w:lvlText w:val="%3."/>
      <w:lvlJc w:val="right"/>
      <w:pPr>
        <w:ind w:left="2160" w:hanging="180"/>
      </w:pPr>
    </w:lvl>
    <w:lvl w:ilvl="3" w:tplc="FC74845A">
      <w:start w:val="1"/>
      <w:numFmt w:val="decimal"/>
      <w:lvlText w:val="%4."/>
      <w:lvlJc w:val="left"/>
      <w:pPr>
        <w:ind w:left="2880" w:hanging="360"/>
      </w:pPr>
    </w:lvl>
    <w:lvl w:ilvl="4" w:tplc="D2E06BC8">
      <w:start w:val="1"/>
      <w:numFmt w:val="lowerLetter"/>
      <w:lvlText w:val="%5."/>
      <w:lvlJc w:val="left"/>
      <w:pPr>
        <w:ind w:left="3600" w:hanging="360"/>
      </w:pPr>
    </w:lvl>
    <w:lvl w:ilvl="5" w:tplc="4882F6F6">
      <w:start w:val="1"/>
      <w:numFmt w:val="lowerRoman"/>
      <w:lvlText w:val="%6."/>
      <w:lvlJc w:val="right"/>
      <w:pPr>
        <w:ind w:left="4320" w:hanging="180"/>
      </w:pPr>
    </w:lvl>
    <w:lvl w:ilvl="6" w:tplc="E1946EC8">
      <w:start w:val="1"/>
      <w:numFmt w:val="decimal"/>
      <w:lvlText w:val="%7."/>
      <w:lvlJc w:val="left"/>
      <w:pPr>
        <w:ind w:left="5040" w:hanging="360"/>
      </w:pPr>
    </w:lvl>
    <w:lvl w:ilvl="7" w:tplc="51127D26">
      <w:start w:val="1"/>
      <w:numFmt w:val="lowerLetter"/>
      <w:lvlText w:val="%8."/>
      <w:lvlJc w:val="left"/>
      <w:pPr>
        <w:ind w:left="5760" w:hanging="360"/>
      </w:pPr>
    </w:lvl>
    <w:lvl w:ilvl="8" w:tplc="8122553C">
      <w:start w:val="1"/>
      <w:numFmt w:val="lowerRoman"/>
      <w:lvlText w:val="%9."/>
      <w:lvlJc w:val="right"/>
      <w:pPr>
        <w:ind w:left="6480" w:hanging="180"/>
      </w:pPr>
    </w:lvl>
  </w:abstractNum>
  <w:abstractNum w:abstractNumId="19" w15:restartNumberingAfterBreak="0">
    <w:nsid w:val="38078CA0"/>
    <w:multiLevelType w:val="hybridMultilevel"/>
    <w:tmpl w:val="FFFFFFFF"/>
    <w:lvl w:ilvl="0" w:tplc="3390A0C6">
      <w:start w:val="1"/>
      <w:numFmt w:val="decimal"/>
      <w:lvlText w:val="%1."/>
      <w:lvlJc w:val="left"/>
      <w:pPr>
        <w:ind w:left="720" w:hanging="360"/>
      </w:pPr>
    </w:lvl>
    <w:lvl w:ilvl="1" w:tplc="61B28386">
      <w:start w:val="1"/>
      <w:numFmt w:val="lowerLetter"/>
      <w:lvlText w:val="%2."/>
      <w:lvlJc w:val="left"/>
      <w:pPr>
        <w:ind w:left="1440" w:hanging="360"/>
      </w:pPr>
    </w:lvl>
    <w:lvl w:ilvl="2" w:tplc="160889C6">
      <w:start w:val="1"/>
      <w:numFmt w:val="lowerRoman"/>
      <w:lvlText w:val="%3."/>
      <w:lvlJc w:val="right"/>
      <w:pPr>
        <w:ind w:left="2160" w:hanging="180"/>
      </w:pPr>
    </w:lvl>
    <w:lvl w:ilvl="3" w:tplc="06DA4AFE">
      <w:start w:val="1"/>
      <w:numFmt w:val="decimal"/>
      <w:lvlText w:val="%4."/>
      <w:lvlJc w:val="left"/>
      <w:pPr>
        <w:ind w:left="2880" w:hanging="360"/>
      </w:pPr>
    </w:lvl>
    <w:lvl w:ilvl="4" w:tplc="53847688">
      <w:start w:val="1"/>
      <w:numFmt w:val="lowerLetter"/>
      <w:lvlText w:val="%5."/>
      <w:lvlJc w:val="left"/>
      <w:pPr>
        <w:ind w:left="3600" w:hanging="360"/>
      </w:pPr>
    </w:lvl>
    <w:lvl w:ilvl="5" w:tplc="D23CFA4E">
      <w:start w:val="1"/>
      <w:numFmt w:val="lowerRoman"/>
      <w:lvlText w:val="%6."/>
      <w:lvlJc w:val="right"/>
      <w:pPr>
        <w:ind w:left="4320" w:hanging="180"/>
      </w:pPr>
    </w:lvl>
    <w:lvl w:ilvl="6" w:tplc="0CE4CD50">
      <w:start w:val="1"/>
      <w:numFmt w:val="decimal"/>
      <w:lvlText w:val="%7."/>
      <w:lvlJc w:val="left"/>
      <w:pPr>
        <w:ind w:left="5040" w:hanging="360"/>
      </w:pPr>
    </w:lvl>
    <w:lvl w:ilvl="7" w:tplc="0150A60A">
      <w:start w:val="1"/>
      <w:numFmt w:val="lowerLetter"/>
      <w:lvlText w:val="%8."/>
      <w:lvlJc w:val="left"/>
      <w:pPr>
        <w:ind w:left="5760" w:hanging="360"/>
      </w:pPr>
    </w:lvl>
    <w:lvl w:ilvl="8" w:tplc="59DE00B8">
      <w:start w:val="1"/>
      <w:numFmt w:val="lowerRoman"/>
      <w:lvlText w:val="%9."/>
      <w:lvlJc w:val="right"/>
      <w:pPr>
        <w:ind w:left="6480" w:hanging="180"/>
      </w:pPr>
    </w:lvl>
  </w:abstractNum>
  <w:abstractNum w:abstractNumId="20" w15:restartNumberingAfterBreak="0">
    <w:nsid w:val="3BC732F7"/>
    <w:multiLevelType w:val="hybridMultilevel"/>
    <w:tmpl w:val="FFFFFFFF"/>
    <w:lvl w:ilvl="0" w:tplc="9ACC163A">
      <w:start w:val="1"/>
      <w:numFmt w:val="decimal"/>
      <w:lvlText w:val="%1."/>
      <w:lvlJc w:val="left"/>
      <w:pPr>
        <w:ind w:left="720" w:hanging="360"/>
      </w:pPr>
    </w:lvl>
    <w:lvl w:ilvl="1" w:tplc="F4785BA0">
      <w:start w:val="1"/>
      <w:numFmt w:val="lowerLetter"/>
      <w:lvlText w:val="%2."/>
      <w:lvlJc w:val="left"/>
      <w:pPr>
        <w:ind w:left="1440" w:hanging="360"/>
      </w:pPr>
    </w:lvl>
    <w:lvl w:ilvl="2" w:tplc="8A1CE5A0">
      <w:start w:val="1"/>
      <w:numFmt w:val="lowerRoman"/>
      <w:lvlText w:val="%3."/>
      <w:lvlJc w:val="right"/>
      <w:pPr>
        <w:ind w:left="2160" w:hanging="180"/>
      </w:pPr>
    </w:lvl>
    <w:lvl w:ilvl="3" w:tplc="CC101970">
      <w:start w:val="1"/>
      <w:numFmt w:val="decimal"/>
      <w:lvlText w:val="%4."/>
      <w:lvlJc w:val="left"/>
      <w:pPr>
        <w:ind w:left="2880" w:hanging="360"/>
      </w:pPr>
    </w:lvl>
    <w:lvl w:ilvl="4" w:tplc="4836A284">
      <w:start w:val="1"/>
      <w:numFmt w:val="lowerLetter"/>
      <w:lvlText w:val="%5."/>
      <w:lvlJc w:val="left"/>
      <w:pPr>
        <w:ind w:left="3600" w:hanging="360"/>
      </w:pPr>
    </w:lvl>
    <w:lvl w:ilvl="5" w:tplc="4F1414BA">
      <w:start w:val="1"/>
      <w:numFmt w:val="lowerRoman"/>
      <w:lvlText w:val="%6."/>
      <w:lvlJc w:val="right"/>
      <w:pPr>
        <w:ind w:left="4320" w:hanging="180"/>
      </w:pPr>
    </w:lvl>
    <w:lvl w:ilvl="6" w:tplc="691CF214">
      <w:start w:val="1"/>
      <w:numFmt w:val="decimal"/>
      <w:lvlText w:val="%7."/>
      <w:lvlJc w:val="left"/>
      <w:pPr>
        <w:ind w:left="5040" w:hanging="360"/>
      </w:pPr>
    </w:lvl>
    <w:lvl w:ilvl="7" w:tplc="9E34C644">
      <w:start w:val="1"/>
      <w:numFmt w:val="lowerLetter"/>
      <w:lvlText w:val="%8."/>
      <w:lvlJc w:val="left"/>
      <w:pPr>
        <w:ind w:left="5760" w:hanging="360"/>
      </w:pPr>
    </w:lvl>
    <w:lvl w:ilvl="8" w:tplc="CC9278A0">
      <w:start w:val="1"/>
      <w:numFmt w:val="lowerRoman"/>
      <w:lvlText w:val="%9."/>
      <w:lvlJc w:val="right"/>
      <w:pPr>
        <w:ind w:left="6480" w:hanging="180"/>
      </w:pPr>
    </w:lvl>
  </w:abstractNum>
  <w:abstractNum w:abstractNumId="21" w15:restartNumberingAfterBreak="0">
    <w:nsid w:val="3C8753C3"/>
    <w:multiLevelType w:val="multilevel"/>
    <w:tmpl w:val="4D6EE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0A1542"/>
    <w:multiLevelType w:val="hybridMultilevel"/>
    <w:tmpl w:val="FFFFFFFF"/>
    <w:lvl w:ilvl="0" w:tplc="639CB00E">
      <w:start w:val="1"/>
      <w:numFmt w:val="decimal"/>
      <w:lvlText w:val="%1."/>
      <w:lvlJc w:val="left"/>
      <w:pPr>
        <w:ind w:left="720" w:hanging="360"/>
      </w:pPr>
    </w:lvl>
    <w:lvl w:ilvl="1" w:tplc="97BC9022">
      <w:start w:val="1"/>
      <w:numFmt w:val="lowerLetter"/>
      <w:lvlText w:val="%2."/>
      <w:lvlJc w:val="left"/>
      <w:pPr>
        <w:ind w:left="1440" w:hanging="360"/>
      </w:pPr>
    </w:lvl>
    <w:lvl w:ilvl="2" w:tplc="CA3CF2EA">
      <w:start w:val="1"/>
      <w:numFmt w:val="lowerRoman"/>
      <w:lvlText w:val="%3."/>
      <w:lvlJc w:val="right"/>
      <w:pPr>
        <w:ind w:left="2160" w:hanging="180"/>
      </w:pPr>
    </w:lvl>
    <w:lvl w:ilvl="3" w:tplc="8118E474">
      <w:start w:val="1"/>
      <w:numFmt w:val="decimal"/>
      <w:lvlText w:val="%4."/>
      <w:lvlJc w:val="left"/>
      <w:pPr>
        <w:ind w:left="2880" w:hanging="360"/>
      </w:pPr>
    </w:lvl>
    <w:lvl w:ilvl="4" w:tplc="D3BA465C">
      <w:start w:val="1"/>
      <w:numFmt w:val="lowerLetter"/>
      <w:lvlText w:val="%5."/>
      <w:lvlJc w:val="left"/>
      <w:pPr>
        <w:ind w:left="3600" w:hanging="360"/>
      </w:pPr>
    </w:lvl>
    <w:lvl w:ilvl="5" w:tplc="AF3AD5B6">
      <w:start w:val="1"/>
      <w:numFmt w:val="lowerRoman"/>
      <w:lvlText w:val="%6."/>
      <w:lvlJc w:val="right"/>
      <w:pPr>
        <w:ind w:left="4320" w:hanging="180"/>
      </w:pPr>
    </w:lvl>
    <w:lvl w:ilvl="6" w:tplc="54BC4178">
      <w:start w:val="1"/>
      <w:numFmt w:val="decimal"/>
      <w:lvlText w:val="%7."/>
      <w:lvlJc w:val="left"/>
      <w:pPr>
        <w:ind w:left="5040" w:hanging="360"/>
      </w:pPr>
    </w:lvl>
    <w:lvl w:ilvl="7" w:tplc="018C9124">
      <w:start w:val="1"/>
      <w:numFmt w:val="lowerLetter"/>
      <w:lvlText w:val="%8."/>
      <w:lvlJc w:val="left"/>
      <w:pPr>
        <w:ind w:left="5760" w:hanging="360"/>
      </w:pPr>
    </w:lvl>
    <w:lvl w:ilvl="8" w:tplc="A1607F8C">
      <w:start w:val="1"/>
      <w:numFmt w:val="lowerRoman"/>
      <w:lvlText w:val="%9."/>
      <w:lvlJc w:val="right"/>
      <w:pPr>
        <w:ind w:left="6480" w:hanging="180"/>
      </w:pPr>
    </w:lvl>
  </w:abstractNum>
  <w:abstractNum w:abstractNumId="23" w15:restartNumberingAfterBreak="0">
    <w:nsid w:val="452D0329"/>
    <w:multiLevelType w:val="hybridMultilevel"/>
    <w:tmpl w:val="FFFFFFFF"/>
    <w:lvl w:ilvl="0" w:tplc="3022DC58">
      <w:start w:val="1"/>
      <w:numFmt w:val="decimal"/>
      <w:lvlText w:val="%1."/>
      <w:lvlJc w:val="left"/>
      <w:pPr>
        <w:ind w:left="720" w:hanging="360"/>
      </w:pPr>
    </w:lvl>
    <w:lvl w:ilvl="1" w:tplc="B8982D6C">
      <w:start w:val="1"/>
      <w:numFmt w:val="lowerLetter"/>
      <w:lvlText w:val="%2."/>
      <w:lvlJc w:val="left"/>
      <w:pPr>
        <w:ind w:left="1440" w:hanging="360"/>
      </w:pPr>
    </w:lvl>
    <w:lvl w:ilvl="2" w:tplc="E638A848">
      <w:start w:val="1"/>
      <w:numFmt w:val="lowerRoman"/>
      <w:lvlText w:val="%3."/>
      <w:lvlJc w:val="right"/>
      <w:pPr>
        <w:ind w:left="2160" w:hanging="180"/>
      </w:pPr>
    </w:lvl>
    <w:lvl w:ilvl="3" w:tplc="60F052DC">
      <w:start w:val="1"/>
      <w:numFmt w:val="decimal"/>
      <w:lvlText w:val="%4."/>
      <w:lvlJc w:val="left"/>
      <w:pPr>
        <w:ind w:left="2880" w:hanging="360"/>
      </w:pPr>
    </w:lvl>
    <w:lvl w:ilvl="4" w:tplc="204C673E">
      <w:start w:val="1"/>
      <w:numFmt w:val="lowerLetter"/>
      <w:lvlText w:val="%5."/>
      <w:lvlJc w:val="left"/>
      <w:pPr>
        <w:ind w:left="3600" w:hanging="360"/>
      </w:pPr>
    </w:lvl>
    <w:lvl w:ilvl="5" w:tplc="3EB030A4">
      <w:start w:val="1"/>
      <w:numFmt w:val="lowerRoman"/>
      <w:lvlText w:val="%6."/>
      <w:lvlJc w:val="right"/>
      <w:pPr>
        <w:ind w:left="4320" w:hanging="180"/>
      </w:pPr>
    </w:lvl>
    <w:lvl w:ilvl="6" w:tplc="8F620784">
      <w:start w:val="1"/>
      <w:numFmt w:val="decimal"/>
      <w:lvlText w:val="%7."/>
      <w:lvlJc w:val="left"/>
      <w:pPr>
        <w:ind w:left="5040" w:hanging="360"/>
      </w:pPr>
    </w:lvl>
    <w:lvl w:ilvl="7" w:tplc="CD6AE116">
      <w:start w:val="1"/>
      <w:numFmt w:val="lowerLetter"/>
      <w:lvlText w:val="%8."/>
      <w:lvlJc w:val="left"/>
      <w:pPr>
        <w:ind w:left="5760" w:hanging="360"/>
      </w:pPr>
    </w:lvl>
    <w:lvl w:ilvl="8" w:tplc="BB0E9652">
      <w:start w:val="1"/>
      <w:numFmt w:val="lowerRoman"/>
      <w:lvlText w:val="%9."/>
      <w:lvlJc w:val="right"/>
      <w:pPr>
        <w:ind w:left="6480" w:hanging="180"/>
      </w:pPr>
    </w:lvl>
  </w:abstractNum>
  <w:abstractNum w:abstractNumId="24" w15:restartNumberingAfterBreak="0">
    <w:nsid w:val="45BF0148"/>
    <w:multiLevelType w:val="multilevel"/>
    <w:tmpl w:val="B342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5B28EA"/>
    <w:multiLevelType w:val="multilevel"/>
    <w:tmpl w:val="8CC2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7D0EB4"/>
    <w:multiLevelType w:val="hybridMultilevel"/>
    <w:tmpl w:val="FFFFFFFF"/>
    <w:lvl w:ilvl="0" w:tplc="3CC6F764">
      <w:start w:val="1"/>
      <w:numFmt w:val="decimal"/>
      <w:lvlText w:val="%1."/>
      <w:lvlJc w:val="left"/>
      <w:pPr>
        <w:ind w:left="720" w:hanging="360"/>
      </w:pPr>
    </w:lvl>
    <w:lvl w:ilvl="1" w:tplc="50B21220">
      <w:start w:val="1"/>
      <w:numFmt w:val="lowerLetter"/>
      <w:lvlText w:val="%2."/>
      <w:lvlJc w:val="left"/>
      <w:pPr>
        <w:ind w:left="1440" w:hanging="360"/>
      </w:pPr>
    </w:lvl>
    <w:lvl w:ilvl="2" w:tplc="BE72A41C">
      <w:start w:val="1"/>
      <w:numFmt w:val="lowerRoman"/>
      <w:lvlText w:val="%3."/>
      <w:lvlJc w:val="right"/>
      <w:pPr>
        <w:ind w:left="2160" w:hanging="180"/>
      </w:pPr>
    </w:lvl>
    <w:lvl w:ilvl="3" w:tplc="468CFC82">
      <w:start w:val="1"/>
      <w:numFmt w:val="decimal"/>
      <w:lvlText w:val="%4."/>
      <w:lvlJc w:val="left"/>
      <w:pPr>
        <w:ind w:left="2880" w:hanging="360"/>
      </w:pPr>
    </w:lvl>
    <w:lvl w:ilvl="4" w:tplc="B7C2136C">
      <w:start w:val="1"/>
      <w:numFmt w:val="lowerLetter"/>
      <w:lvlText w:val="%5."/>
      <w:lvlJc w:val="left"/>
      <w:pPr>
        <w:ind w:left="3600" w:hanging="360"/>
      </w:pPr>
    </w:lvl>
    <w:lvl w:ilvl="5" w:tplc="7BD4ED08">
      <w:start w:val="1"/>
      <w:numFmt w:val="lowerRoman"/>
      <w:lvlText w:val="%6."/>
      <w:lvlJc w:val="right"/>
      <w:pPr>
        <w:ind w:left="4320" w:hanging="180"/>
      </w:pPr>
    </w:lvl>
    <w:lvl w:ilvl="6" w:tplc="EDF0CF38">
      <w:start w:val="1"/>
      <w:numFmt w:val="decimal"/>
      <w:lvlText w:val="%7."/>
      <w:lvlJc w:val="left"/>
      <w:pPr>
        <w:ind w:left="5040" w:hanging="360"/>
      </w:pPr>
    </w:lvl>
    <w:lvl w:ilvl="7" w:tplc="2FD091D8">
      <w:start w:val="1"/>
      <w:numFmt w:val="lowerLetter"/>
      <w:lvlText w:val="%8."/>
      <w:lvlJc w:val="left"/>
      <w:pPr>
        <w:ind w:left="5760" w:hanging="360"/>
      </w:pPr>
    </w:lvl>
    <w:lvl w:ilvl="8" w:tplc="8A66EE66">
      <w:start w:val="1"/>
      <w:numFmt w:val="lowerRoman"/>
      <w:lvlText w:val="%9."/>
      <w:lvlJc w:val="right"/>
      <w:pPr>
        <w:ind w:left="6480" w:hanging="180"/>
      </w:pPr>
    </w:lvl>
  </w:abstractNum>
  <w:abstractNum w:abstractNumId="27" w15:restartNumberingAfterBreak="0">
    <w:nsid w:val="55597411"/>
    <w:multiLevelType w:val="multilevel"/>
    <w:tmpl w:val="0CE2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323456"/>
    <w:multiLevelType w:val="hybridMultilevel"/>
    <w:tmpl w:val="7CD46ABC"/>
    <w:lvl w:ilvl="0" w:tplc="CC686E86">
      <w:start w:val="1"/>
      <w:numFmt w:val="bullet"/>
      <w:lvlText w:val="-"/>
      <w:lvlJc w:val="left"/>
      <w:pPr>
        <w:ind w:left="720" w:hanging="360"/>
      </w:pPr>
      <w:rPr>
        <w:rFonts w:ascii="Calibri" w:eastAsiaTheme="minorEastAsia"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9F8BC11"/>
    <w:multiLevelType w:val="hybridMultilevel"/>
    <w:tmpl w:val="FFFFFFFF"/>
    <w:lvl w:ilvl="0" w:tplc="DC8C72AE">
      <w:start w:val="1"/>
      <w:numFmt w:val="decimal"/>
      <w:lvlText w:val="%1."/>
      <w:lvlJc w:val="left"/>
      <w:pPr>
        <w:ind w:left="720" w:hanging="360"/>
      </w:pPr>
    </w:lvl>
    <w:lvl w:ilvl="1" w:tplc="1DA23DA8">
      <w:start w:val="1"/>
      <w:numFmt w:val="lowerLetter"/>
      <w:lvlText w:val="%2."/>
      <w:lvlJc w:val="left"/>
      <w:pPr>
        <w:ind w:left="1440" w:hanging="360"/>
      </w:pPr>
    </w:lvl>
    <w:lvl w:ilvl="2" w:tplc="A2565E1C">
      <w:start w:val="1"/>
      <w:numFmt w:val="lowerRoman"/>
      <w:lvlText w:val="%3."/>
      <w:lvlJc w:val="right"/>
      <w:pPr>
        <w:ind w:left="2160" w:hanging="180"/>
      </w:pPr>
    </w:lvl>
    <w:lvl w:ilvl="3" w:tplc="C29EC5B2">
      <w:start w:val="1"/>
      <w:numFmt w:val="decimal"/>
      <w:lvlText w:val="%4."/>
      <w:lvlJc w:val="left"/>
      <w:pPr>
        <w:ind w:left="2880" w:hanging="360"/>
      </w:pPr>
    </w:lvl>
    <w:lvl w:ilvl="4" w:tplc="EE862A66">
      <w:start w:val="1"/>
      <w:numFmt w:val="lowerLetter"/>
      <w:lvlText w:val="%5."/>
      <w:lvlJc w:val="left"/>
      <w:pPr>
        <w:ind w:left="3600" w:hanging="360"/>
      </w:pPr>
    </w:lvl>
    <w:lvl w:ilvl="5" w:tplc="07EE783A">
      <w:start w:val="1"/>
      <w:numFmt w:val="lowerRoman"/>
      <w:lvlText w:val="%6."/>
      <w:lvlJc w:val="right"/>
      <w:pPr>
        <w:ind w:left="4320" w:hanging="180"/>
      </w:pPr>
    </w:lvl>
    <w:lvl w:ilvl="6" w:tplc="A850AC3C">
      <w:start w:val="1"/>
      <w:numFmt w:val="decimal"/>
      <w:lvlText w:val="%7."/>
      <w:lvlJc w:val="left"/>
      <w:pPr>
        <w:ind w:left="5040" w:hanging="360"/>
      </w:pPr>
    </w:lvl>
    <w:lvl w:ilvl="7" w:tplc="E7BCB8EA">
      <w:start w:val="1"/>
      <w:numFmt w:val="lowerLetter"/>
      <w:lvlText w:val="%8."/>
      <w:lvlJc w:val="left"/>
      <w:pPr>
        <w:ind w:left="5760" w:hanging="360"/>
      </w:pPr>
    </w:lvl>
    <w:lvl w:ilvl="8" w:tplc="6C4297B2">
      <w:start w:val="1"/>
      <w:numFmt w:val="lowerRoman"/>
      <w:lvlText w:val="%9."/>
      <w:lvlJc w:val="right"/>
      <w:pPr>
        <w:ind w:left="6480" w:hanging="180"/>
      </w:pPr>
    </w:lvl>
  </w:abstractNum>
  <w:abstractNum w:abstractNumId="30" w15:restartNumberingAfterBreak="0">
    <w:nsid w:val="63C414AA"/>
    <w:multiLevelType w:val="hybridMultilevel"/>
    <w:tmpl w:val="05FE5FA8"/>
    <w:lvl w:ilvl="0" w:tplc="240A0001">
      <w:start w:val="1"/>
      <w:numFmt w:val="bullet"/>
      <w:lvlText w:val=""/>
      <w:lvlJc w:val="left"/>
      <w:pPr>
        <w:ind w:left="1080" w:hanging="360"/>
      </w:pPr>
      <w:rPr>
        <w:rFonts w:ascii="Symbol" w:hAnsi="Symbol" w:hint="default"/>
      </w:rPr>
    </w:lvl>
    <w:lvl w:ilvl="1" w:tplc="240A0003">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1" w15:restartNumberingAfterBreak="0">
    <w:nsid w:val="653A2D32"/>
    <w:multiLevelType w:val="multilevel"/>
    <w:tmpl w:val="0D42E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3C7637"/>
    <w:multiLevelType w:val="multilevel"/>
    <w:tmpl w:val="EADE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7A4839"/>
    <w:multiLevelType w:val="hybridMultilevel"/>
    <w:tmpl w:val="E3AE1E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9925D64"/>
    <w:multiLevelType w:val="multilevel"/>
    <w:tmpl w:val="24726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5B3EF3"/>
    <w:multiLevelType w:val="hybridMultilevel"/>
    <w:tmpl w:val="E3AE1E6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E516490"/>
    <w:multiLevelType w:val="hybridMultilevel"/>
    <w:tmpl w:val="649AC452"/>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7" w15:restartNumberingAfterBreak="0">
    <w:nsid w:val="6F170531"/>
    <w:multiLevelType w:val="multilevel"/>
    <w:tmpl w:val="BC84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A749A2"/>
    <w:multiLevelType w:val="multilevel"/>
    <w:tmpl w:val="2E2E20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597A0E"/>
    <w:multiLevelType w:val="hybridMultilevel"/>
    <w:tmpl w:val="7E060E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EE3C59"/>
    <w:multiLevelType w:val="multilevel"/>
    <w:tmpl w:val="B3F4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6748418">
    <w:abstractNumId w:val="8"/>
  </w:num>
  <w:num w:numId="2" w16cid:durableId="1557739290">
    <w:abstractNumId w:val="6"/>
  </w:num>
  <w:num w:numId="3" w16cid:durableId="1662466794">
    <w:abstractNumId w:val="5"/>
  </w:num>
  <w:num w:numId="4" w16cid:durableId="215898270">
    <w:abstractNumId w:val="4"/>
  </w:num>
  <w:num w:numId="5" w16cid:durableId="1420908222">
    <w:abstractNumId w:val="7"/>
  </w:num>
  <w:num w:numId="6" w16cid:durableId="1859343174">
    <w:abstractNumId w:val="3"/>
  </w:num>
  <w:num w:numId="7" w16cid:durableId="1106148310">
    <w:abstractNumId w:val="2"/>
  </w:num>
  <w:num w:numId="8" w16cid:durableId="736708719">
    <w:abstractNumId w:val="1"/>
  </w:num>
  <w:num w:numId="9" w16cid:durableId="533232034">
    <w:abstractNumId w:val="0"/>
  </w:num>
  <w:num w:numId="10" w16cid:durableId="862550228">
    <w:abstractNumId w:val="38"/>
  </w:num>
  <w:num w:numId="11" w16cid:durableId="8529138">
    <w:abstractNumId w:val="39"/>
  </w:num>
  <w:num w:numId="12" w16cid:durableId="1497643999">
    <w:abstractNumId w:val="37"/>
  </w:num>
  <w:num w:numId="13" w16cid:durableId="1492409903">
    <w:abstractNumId w:val="13"/>
  </w:num>
  <w:num w:numId="14" w16cid:durableId="36391326">
    <w:abstractNumId w:val="40"/>
  </w:num>
  <w:num w:numId="15" w16cid:durableId="564535531">
    <w:abstractNumId w:val="34"/>
  </w:num>
  <w:num w:numId="16" w16cid:durableId="977346184">
    <w:abstractNumId w:val="11"/>
  </w:num>
  <w:num w:numId="17" w16cid:durableId="38164804">
    <w:abstractNumId w:val="24"/>
  </w:num>
  <w:num w:numId="18" w16cid:durableId="727798846">
    <w:abstractNumId w:val="25"/>
  </w:num>
  <w:num w:numId="19" w16cid:durableId="1771506599">
    <w:abstractNumId w:val="16"/>
  </w:num>
  <w:num w:numId="20" w16cid:durableId="1983848309">
    <w:abstractNumId w:val="21"/>
  </w:num>
  <w:num w:numId="21" w16cid:durableId="785121925">
    <w:abstractNumId w:val="28"/>
  </w:num>
  <w:num w:numId="22" w16cid:durableId="1888445857">
    <w:abstractNumId w:val="26"/>
  </w:num>
  <w:num w:numId="23" w16cid:durableId="1628924860">
    <w:abstractNumId w:val="19"/>
  </w:num>
  <w:num w:numId="24" w16cid:durableId="2100592111">
    <w:abstractNumId w:val="18"/>
  </w:num>
  <w:num w:numId="25" w16cid:durableId="1609120697">
    <w:abstractNumId w:val="27"/>
  </w:num>
  <w:num w:numId="26" w16cid:durableId="1728988600">
    <w:abstractNumId w:val="30"/>
  </w:num>
  <w:num w:numId="27" w16cid:durableId="517963327">
    <w:abstractNumId w:val="32"/>
  </w:num>
  <w:num w:numId="28" w16cid:durableId="1091969557">
    <w:abstractNumId w:val="14"/>
  </w:num>
  <w:num w:numId="29" w16cid:durableId="1653632533">
    <w:abstractNumId w:val="36"/>
  </w:num>
  <w:num w:numId="30" w16cid:durableId="1613124833">
    <w:abstractNumId w:val="9"/>
  </w:num>
  <w:num w:numId="31" w16cid:durableId="897861450">
    <w:abstractNumId w:val="15"/>
  </w:num>
  <w:num w:numId="32" w16cid:durableId="70082841">
    <w:abstractNumId w:val="31"/>
  </w:num>
  <w:num w:numId="33" w16cid:durableId="711808091">
    <w:abstractNumId w:val="35"/>
  </w:num>
  <w:num w:numId="34" w16cid:durableId="1751005517">
    <w:abstractNumId w:val="33"/>
  </w:num>
  <w:num w:numId="35" w16cid:durableId="1130628263">
    <w:abstractNumId w:val="20"/>
  </w:num>
  <w:num w:numId="36" w16cid:durableId="227499429">
    <w:abstractNumId w:val="22"/>
  </w:num>
  <w:num w:numId="37" w16cid:durableId="119879656">
    <w:abstractNumId w:val="10"/>
  </w:num>
  <w:num w:numId="38" w16cid:durableId="1262228146">
    <w:abstractNumId w:val="17"/>
  </w:num>
  <w:num w:numId="39" w16cid:durableId="793137799">
    <w:abstractNumId w:val="29"/>
  </w:num>
  <w:num w:numId="40" w16cid:durableId="2053384552">
    <w:abstractNumId w:val="23"/>
  </w:num>
  <w:num w:numId="41" w16cid:durableId="1128699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253"/>
    <w:rsid w:val="00011388"/>
    <w:rsid w:val="00012E97"/>
    <w:rsid w:val="00020EEA"/>
    <w:rsid w:val="000278F8"/>
    <w:rsid w:val="00034616"/>
    <w:rsid w:val="0003624A"/>
    <w:rsid w:val="000434D8"/>
    <w:rsid w:val="00044422"/>
    <w:rsid w:val="0005759B"/>
    <w:rsid w:val="00057608"/>
    <w:rsid w:val="0006063C"/>
    <w:rsid w:val="00060FAD"/>
    <w:rsid w:val="00061FDE"/>
    <w:rsid w:val="000640B1"/>
    <w:rsid w:val="000709A7"/>
    <w:rsid w:val="00071749"/>
    <w:rsid w:val="000744E1"/>
    <w:rsid w:val="00081FDD"/>
    <w:rsid w:val="000838CD"/>
    <w:rsid w:val="00084AA0"/>
    <w:rsid w:val="000864A0"/>
    <w:rsid w:val="000A42E2"/>
    <w:rsid w:val="000A4CDF"/>
    <w:rsid w:val="000E3EB1"/>
    <w:rsid w:val="000F1857"/>
    <w:rsid w:val="0010487D"/>
    <w:rsid w:val="00117247"/>
    <w:rsid w:val="00140FB2"/>
    <w:rsid w:val="00145F4A"/>
    <w:rsid w:val="0015074B"/>
    <w:rsid w:val="00174C88"/>
    <w:rsid w:val="00186DE6"/>
    <w:rsid w:val="0019281C"/>
    <w:rsid w:val="00194439"/>
    <w:rsid w:val="00195463"/>
    <w:rsid w:val="001966CB"/>
    <w:rsid w:val="001A29D3"/>
    <w:rsid w:val="001A4FB3"/>
    <w:rsid w:val="001A66A2"/>
    <w:rsid w:val="001A7781"/>
    <w:rsid w:val="001B0BEA"/>
    <w:rsid w:val="001B1027"/>
    <w:rsid w:val="001B1257"/>
    <w:rsid w:val="001B4BD9"/>
    <w:rsid w:val="001F5D07"/>
    <w:rsid w:val="00202764"/>
    <w:rsid w:val="00207D1F"/>
    <w:rsid w:val="00212C8B"/>
    <w:rsid w:val="00235F16"/>
    <w:rsid w:val="00242520"/>
    <w:rsid w:val="00246807"/>
    <w:rsid w:val="00267FC2"/>
    <w:rsid w:val="002824EF"/>
    <w:rsid w:val="002830C3"/>
    <w:rsid w:val="0029639D"/>
    <w:rsid w:val="002B5812"/>
    <w:rsid w:val="002C6014"/>
    <w:rsid w:val="002C69D3"/>
    <w:rsid w:val="002E053D"/>
    <w:rsid w:val="002E7B65"/>
    <w:rsid w:val="00301B1A"/>
    <w:rsid w:val="00303901"/>
    <w:rsid w:val="00304945"/>
    <w:rsid w:val="003110D7"/>
    <w:rsid w:val="00317615"/>
    <w:rsid w:val="00323B6E"/>
    <w:rsid w:val="00326F90"/>
    <w:rsid w:val="003350E7"/>
    <w:rsid w:val="003547A1"/>
    <w:rsid w:val="003627B8"/>
    <w:rsid w:val="0036540D"/>
    <w:rsid w:val="003879F1"/>
    <w:rsid w:val="00392356"/>
    <w:rsid w:val="00394232"/>
    <w:rsid w:val="00395AE6"/>
    <w:rsid w:val="00395C33"/>
    <w:rsid w:val="003A2651"/>
    <w:rsid w:val="003B14CC"/>
    <w:rsid w:val="003C37DD"/>
    <w:rsid w:val="003D4675"/>
    <w:rsid w:val="003E1837"/>
    <w:rsid w:val="003E384B"/>
    <w:rsid w:val="003F5830"/>
    <w:rsid w:val="00405BF7"/>
    <w:rsid w:val="00405CC5"/>
    <w:rsid w:val="004267C9"/>
    <w:rsid w:val="00426C21"/>
    <w:rsid w:val="004309A7"/>
    <w:rsid w:val="00430C39"/>
    <w:rsid w:val="00430EB7"/>
    <w:rsid w:val="00431D97"/>
    <w:rsid w:val="00456EAA"/>
    <w:rsid w:val="004611E7"/>
    <w:rsid w:val="004636EF"/>
    <w:rsid w:val="00470568"/>
    <w:rsid w:val="00477DFA"/>
    <w:rsid w:val="004874E3"/>
    <w:rsid w:val="00492087"/>
    <w:rsid w:val="004B4CFC"/>
    <w:rsid w:val="004B5728"/>
    <w:rsid w:val="004B72B2"/>
    <w:rsid w:val="004B788D"/>
    <w:rsid w:val="004B7C62"/>
    <w:rsid w:val="004C02AA"/>
    <w:rsid w:val="004C3228"/>
    <w:rsid w:val="004C6842"/>
    <w:rsid w:val="004D0083"/>
    <w:rsid w:val="004D131C"/>
    <w:rsid w:val="004E203A"/>
    <w:rsid w:val="004F7770"/>
    <w:rsid w:val="00503D89"/>
    <w:rsid w:val="005125E4"/>
    <w:rsid w:val="005136CD"/>
    <w:rsid w:val="005147B9"/>
    <w:rsid w:val="005162C7"/>
    <w:rsid w:val="00524A4D"/>
    <w:rsid w:val="00535737"/>
    <w:rsid w:val="005404C4"/>
    <w:rsid w:val="0055267E"/>
    <w:rsid w:val="00552798"/>
    <w:rsid w:val="00556803"/>
    <w:rsid w:val="0056020B"/>
    <w:rsid w:val="005737EE"/>
    <w:rsid w:val="005739E6"/>
    <w:rsid w:val="00575039"/>
    <w:rsid w:val="00582E20"/>
    <w:rsid w:val="00592875"/>
    <w:rsid w:val="005A5674"/>
    <w:rsid w:val="005A7B99"/>
    <w:rsid w:val="005B114E"/>
    <w:rsid w:val="005C4CD8"/>
    <w:rsid w:val="005C7B65"/>
    <w:rsid w:val="005E0A54"/>
    <w:rsid w:val="005E4A09"/>
    <w:rsid w:val="005F1F2A"/>
    <w:rsid w:val="005F2E8A"/>
    <w:rsid w:val="00600951"/>
    <w:rsid w:val="00604D1F"/>
    <w:rsid w:val="006068E7"/>
    <w:rsid w:val="00611D06"/>
    <w:rsid w:val="00620DCD"/>
    <w:rsid w:val="00621E91"/>
    <w:rsid w:val="006246FD"/>
    <w:rsid w:val="0063065A"/>
    <w:rsid w:val="00633874"/>
    <w:rsid w:val="00654A0D"/>
    <w:rsid w:val="00654B25"/>
    <w:rsid w:val="00680EBC"/>
    <w:rsid w:val="00691DC3"/>
    <w:rsid w:val="0069307D"/>
    <w:rsid w:val="006A6EDF"/>
    <w:rsid w:val="006B0A22"/>
    <w:rsid w:val="006B7870"/>
    <w:rsid w:val="006C6375"/>
    <w:rsid w:val="006D5271"/>
    <w:rsid w:val="006E00D9"/>
    <w:rsid w:val="006F46BE"/>
    <w:rsid w:val="006F5377"/>
    <w:rsid w:val="006F7F6A"/>
    <w:rsid w:val="0070238A"/>
    <w:rsid w:val="00702409"/>
    <w:rsid w:val="00713443"/>
    <w:rsid w:val="00723CD2"/>
    <w:rsid w:val="00736019"/>
    <w:rsid w:val="00754088"/>
    <w:rsid w:val="007553F1"/>
    <w:rsid w:val="00763E45"/>
    <w:rsid w:val="007717D7"/>
    <w:rsid w:val="00775E7B"/>
    <w:rsid w:val="00777219"/>
    <w:rsid w:val="007819BF"/>
    <w:rsid w:val="00790604"/>
    <w:rsid w:val="00794E1D"/>
    <w:rsid w:val="00797689"/>
    <w:rsid w:val="007A5618"/>
    <w:rsid w:val="007B71F6"/>
    <w:rsid w:val="007C1E55"/>
    <w:rsid w:val="007D7FB4"/>
    <w:rsid w:val="007E167C"/>
    <w:rsid w:val="007F24EC"/>
    <w:rsid w:val="007F7B28"/>
    <w:rsid w:val="0080297B"/>
    <w:rsid w:val="008047AF"/>
    <w:rsid w:val="00813C03"/>
    <w:rsid w:val="00822167"/>
    <w:rsid w:val="00825FA7"/>
    <w:rsid w:val="00832CC4"/>
    <w:rsid w:val="008421C9"/>
    <w:rsid w:val="008452DD"/>
    <w:rsid w:val="0086720F"/>
    <w:rsid w:val="00867D6D"/>
    <w:rsid w:val="00881169"/>
    <w:rsid w:val="00886AD2"/>
    <w:rsid w:val="008A01A2"/>
    <w:rsid w:val="008B2178"/>
    <w:rsid w:val="008B3AF2"/>
    <w:rsid w:val="008C0E0D"/>
    <w:rsid w:val="008C59BB"/>
    <w:rsid w:val="008C5ABE"/>
    <w:rsid w:val="008D0890"/>
    <w:rsid w:val="008D4CD2"/>
    <w:rsid w:val="008D5C07"/>
    <w:rsid w:val="008E0582"/>
    <w:rsid w:val="008E7F14"/>
    <w:rsid w:val="008F1569"/>
    <w:rsid w:val="008F26B8"/>
    <w:rsid w:val="008F3A73"/>
    <w:rsid w:val="008F4731"/>
    <w:rsid w:val="009101C7"/>
    <w:rsid w:val="009130DD"/>
    <w:rsid w:val="00925507"/>
    <w:rsid w:val="009264AE"/>
    <w:rsid w:val="009311A6"/>
    <w:rsid w:val="00932BD1"/>
    <w:rsid w:val="009411BC"/>
    <w:rsid w:val="009570C4"/>
    <w:rsid w:val="00961A97"/>
    <w:rsid w:val="009656B6"/>
    <w:rsid w:val="00973362"/>
    <w:rsid w:val="0099429F"/>
    <w:rsid w:val="00995EFB"/>
    <w:rsid w:val="009A61B1"/>
    <w:rsid w:val="009D36E8"/>
    <w:rsid w:val="009E3422"/>
    <w:rsid w:val="009F68ED"/>
    <w:rsid w:val="009F6EB4"/>
    <w:rsid w:val="00A06986"/>
    <w:rsid w:val="00A07916"/>
    <w:rsid w:val="00A142F6"/>
    <w:rsid w:val="00A14475"/>
    <w:rsid w:val="00A30D70"/>
    <w:rsid w:val="00A50879"/>
    <w:rsid w:val="00A607CD"/>
    <w:rsid w:val="00A6341D"/>
    <w:rsid w:val="00A76C26"/>
    <w:rsid w:val="00A8222F"/>
    <w:rsid w:val="00A906D2"/>
    <w:rsid w:val="00A94FCD"/>
    <w:rsid w:val="00A978CA"/>
    <w:rsid w:val="00AA1D8D"/>
    <w:rsid w:val="00AA4D19"/>
    <w:rsid w:val="00AC3A8D"/>
    <w:rsid w:val="00AD0D6C"/>
    <w:rsid w:val="00AD2F16"/>
    <w:rsid w:val="00AD526B"/>
    <w:rsid w:val="00AF0134"/>
    <w:rsid w:val="00AF0E0E"/>
    <w:rsid w:val="00AF0EE2"/>
    <w:rsid w:val="00AF2732"/>
    <w:rsid w:val="00B03F8E"/>
    <w:rsid w:val="00B07E77"/>
    <w:rsid w:val="00B15BD8"/>
    <w:rsid w:val="00B1687C"/>
    <w:rsid w:val="00B30628"/>
    <w:rsid w:val="00B35768"/>
    <w:rsid w:val="00B434CA"/>
    <w:rsid w:val="00B47730"/>
    <w:rsid w:val="00B67F35"/>
    <w:rsid w:val="00B81916"/>
    <w:rsid w:val="00B81D9A"/>
    <w:rsid w:val="00B86AF7"/>
    <w:rsid w:val="00B92AB6"/>
    <w:rsid w:val="00BA6DCB"/>
    <w:rsid w:val="00BB7BC8"/>
    <w:rsid w:val="00BC5893"/>
    <w:rsid w:val="00BD4324"/>
    <w:rsid w:val="00BE0C8C"/>
    <w:rsid w:val="00BE1F6B"/>
    <w:rsid w:val="00BF0D06"/>
    <w:rsid w:val="00BF3425"/>
    <w:rsid w:val="00C333F1"/>
    <w:rsid w:val="00C411B9"/>
    <w:rsid w:val="00C44D91"/>
    <w:rsid w:val="00C51515"/>
    <w:rsid w:val="00C51B68"/>
    <w:rsid w:val="00C77341"/>
    <w:rsid w:val="00C77FEF"/>
    <w:rsid w:val="00C90D3D"/>
    <w:rsid w:val="00CA3FA5"/>
    <w:rsid w:val="00CA5B13"/>
    <w:rsid w:val="00CA7449"/>
    <w:rsid w:val="00CB0664"/>
    <w:rsid w:val="00CB6B77"/>
    <w:rsid w:val="00CE6D5C"/>
    <w:rsid w:val="00CF1AA2"/>
    <w:rsid w:val="00CF67AC"/>
    <w:rsid w:val="00D11A22"/>
    <w:rsid w:val="00D13082"/>
    <w:rsid w:val="00D2153C"/>
    <w:rsid w:val="00D25E6D"/>
    <w:rsid w:val="00D27C3D"/>
    <w:rsid w:val="00D3499D"/>
    <w:rsid w:val="00D41446"/>
    <w:rsid w:val="00D5149C"/>
    <w:rsid w:val="00D53E43"/>
    <w:rsid w:val="00D562D5"/>
    <w:rsid w:val="00D60597"/>
    <w:rsid w:val="00D617CA"/>
    <w:rsid w:val="00D65434"/>
    <w:rsid w:val="00D756BE"/>
    <w:rsid w:val="00D80E0A"/>
    <w:rsid w:val="00D84545"/>
    <w:rsid w:val="00D900C7"/>
    <w:rsid w:val="00DA2197"/>
    <w:rsid w:val="00DB2B6A"/>
    <w:rsid w:val="00DB6360"/>
    <w:rsid w:val="00DC15AF"/>
    <w:rsid w:val="00DC4811"/>
    <w:rsid w:val="00DD29C2"/>
    <w:rsid w:val="00DF1BA3"/>
    <w:rsid w:val="00E034FB"/>
    <w:rsid w:val="00E06055"/>
    <w:rsid w:val="00E404A2"/>
    <w:rsid w:val="00E42122"/>
    <w:rsid w:val="00E45B4E"/>
    <w:rsid w:val="00E46325"/>
    <w:rsid w:val="00E50A20"/>
    <w:rsid w:val="00E545AB"/>
    <w:rsid w:val="00E67031"/>
    <w:rsid w:val="00E86D90"/>
    <w:rsid w:val="00E90081"/>
    <w:rsid w:val="00EB3B26"/>
    <w:rsid w:val="00EB42B8"/>
    <w:rsid w:val="00EC14E8"/>
    <w:rsid w:val="00EC45B4"/>
    <w:rsid w:val="00ED04F1"/>
    <w:rsid w:val="00F04A4B"/>
    <w:rsid w:val="00F14B08"/>
    <w:rsid w:val="00F4024F"/>
    <w:rsid w:val="00F43EFF"/>
    <w:rsid w:val="00F4435F"/>
    <w:rsid w:val="00F4786E"/>
    <w:rsid w:val="00F650BE"/>
    <w:rsid w:val="00F67BFA"/>
    <w:rsid w:val="00F7751F"/>
    <w:rsid w:val="00F817DA"/>
    <w:rsid w:val="00FA48BD"/>
    <w:rsid w:val="00FA7278"/>
    <w:rsid w:val="00FB128C"/>
    <w:rsid w:val="00FB161A"/>
    <w:rsid w:val="00FB61DE"/>
    <w:rsid w:val="00FC693F"/>
    <w:rsid w:val="00FD5AE1"/>
    <w:rsid w:val="00FE11A1"/>
    <w:rsid w:val="00FE4998"/>
    <w:rsid w:val="00FF01A0"/>
    <w:rsid w:val="010F5FF7"/>
    <w:rsid w:val="013FE10B"/>
    <w:rsid w:val="0149F400"/>
    <w:rsid w:val="016484C9"/>
    <w:rsid w:val="01F632E7"/>
    <w:rsid w:val="01FB9AD9"/>
    <w:rsid w:val="021DDB1E"/>
    <w:rsid w:val="02432CAE"/>
    <w:rsid w:val="029F6AC0"/>
    <w:rsid w:val="032BDDF0"/>
    <w:rsid w:val="0359A956"/>
    <w:rsid w:val="0417D0CD"/>
    <w:rsid w:val="041B00AC"/>
    <w:rsid w:val="04483CF9"/>
    <w:rsid w:val="04BC5BCE"/>
    <w:rsid w:val="055B5EED"/>
    <w:rsid w:val="05DDAD44"/>
    <w:rsid w:val="0665976B"/>
    <w:rsid w:val="06E26491"/>
    <w:rsid w:val="0734A458"/>
    <w:rsid w:val="07B9C75F"/>
    <w:rsid w:val="07F59494"/>
    <w:rsid w:val="08259D14"/>
    <w:rsid w:val="08DFAC3D"/>
    <w:rsid w:val="0904CE3E"/>
    <w:rsid w:val="090D80ED"/>
    <w:rsid w:val="0952422C"/>
    <w:rsid w:val="096D778B"/>
    <w:rsid w:val="09E21A37"/>
    <w:rsid w:val="09FEAEC3"/>
    <w:rsid w:val="0A5A16BF"/>
    <w:rsid w:val="0A81DBAB"/>
    <w:rsid w:val="0A86CD67"/>
    <w:rsid w:val="0A9601A6"/>
    <w:rsid w:val="0AA298AB"/>
    <w:rsid w:val="0AB73F35"/>
    <w:rsid w:val="0AF78AF7"/>
    <w:rsid w:val="0B0F94CC"/>
    <w:rsid w:val="0B6FC2B6"/>
    <w:rsid w:val="0BA88375"/>
    <w:rsid w:val="0BF2A016"/>
    <w:rsid w:val="0C865F8C"/>
    <w:rsid w:val="0C99A4B0"/>
    <w:rsid w:val="0CDCAC1D"/>
    <w:rsid w:val="0DAB52EB"/>
    <w:rsid w:val="0DB745D7"/>
    <w:rsid w:val="0E0F2A70"/>
    <w:rsid w:val="0E330EDD"/>
    <w:rsid w:val="0EAACD72"/>
    <w:rsid w:val="0ECA90A2"/>
    <w:rsid w:val="0F146058"/>
    <w:rsid w:val="0F528D68"/>
    <w:rsid w:val="0FB45058"/>
    <w:rsid w:val="0FE13697"/>
    <w:rsid w:val="0FF66C2A"/>
    <w:rsid w:val="1059C60C"/>
    <w:rsid w:val="1085BEC0"/>
    <w:rsid w:val="108C87A4"/>
    <w:rsid w:val="10996FEF"/>
    <w:rsid w:val="10E0E718"/>
    <w:rsid w:val="1145DBE1"/>
    <w:rsid w:val="1145F738"/>
    <w:rsid w:val="11D8D28C"/>
    <w:rsid w:val="11F77902"/>
    <w:rsid w:val="12273BF5"/>
    <w:rsid w:val="1260D311"/>
    <w:rsid w:val="128512D5"/>
    <w:rsid w:val="12C49BEF"/>
    <w:rsid w:val="12D5107E"/>
    <w:rsid w:val="1310F9AF"/>
    <w:rsid w:val="13CAB671"/>
    <w:rsid w:val="1414FB3D"/>
    <w:rsid w:val="1474BF3E"/>
    <w:rsid w:val="14C030F3"/>
    <w:rsid w:val="1508C0F1"/>
    <w:rsid w:val="15943376"/>
    <w:rsid w:val="17B6DBCD"/>
    <w:rsid w:val="17F43B1C"/>
    <w:rsid w:val="181DADE0"/>
    <w:rsid w:val="19015A06"/>
    <w:rsid w:val="19120673"/>
    <w:rsid w:val="19BA13C0"/>
    <w:rsid w:val="19F5EA5D"/>
    <w:rsid w:val="1A0644F7"/>
    <w:rsid w:val="1B0E475D"/>
    <w:rsid w:val="1BA5B16B"/>
    <w:rsid w:val="1BCDC5C9"/>
    <w:rsid w:val="1C28AA70"/>
    <w:rsid w:val="1CC19734"/>
    <w:rsid w:val="1CF49A53"/>
    <w:rsid w:val="1D02A55F"/>
    <w:rsid w:val="1D980B5E"/>
    <w:rsid w:val="1DED7A7A"/>
    <w:rsid w:val="1EE74E06"/>
    <w:rsid w:val="1F548BC5"/>
    <w:rsid w:val="1F76DFDA"/>
    <w:rsid w:val="1F9777C5"/>
    <w:rsid w:val="1FA738EF"/>
    <w:rsid w:val="1FC1F8D2"/>
    <w:rsid w:val="1FF45C06"/>
    <w:rsid w:val="1FFC709F"/>
    <w:rsid w:val="2003D302"/>
    <w:rsid w:val="20365D98"/>
    <w:rsid w:val="2045425F"/>
    <w:rsid w:val="2093A7FD"/>
    <w:rsid w:val="20B4CD39"/>
    <w:rsid w:val="20E9AC91"/>
    <w:rsid w:val="216B06ED"/>
    <w:rsid w:val="222658B6"/>
    <w:rsid w:val="2238E6DA"/>
    <w:rsid w:val="22F795D3"/>
    <w:rsid w:val="23798249"/>
    <w:rsid w:val="2389BAB2"/>
    <w:rsid w:val="23D4DA0D"/>
    <w:rsid w:val="24A0249A"/>
    <w:rsid w:val="24C5CBF8"/>
    <w:rsid w:val="24CDC1A5"/>
    <w:rsid w:val="25433BB4"/>
    <w:rsid w:val="2588B006"/>
    <w:rsid w:val="25DD71AD"/>
    <w:rsid w:val="260DD490"/>
    <w:rsid w:val="26435264"/>
    <w:rsid w:val="266B902D"/>
    <w:rsid w:val="269DFED6"/>
    <w:rsid w:val="26FFB1AD"/>
    <w:rsid w:val="27AF11E6"/>
    <w:rsid w:val="27B4C798"/>
    <w:rsid w:val="27BEFA58"/>
    <w:rsid w:val="283A4251"/>
    <w:rsid w:val="2872D473"/>
    <w:rsid w:val="28BAE5AD"/>
    <w:rsid w:val="290DBEEB"/>
    <w:rsid w:val="292B45A1"/>
    <w:rsid w:val="293D3874"/>
    <w:rsid w:val="299560FA"/>
    <w:rsid w:val="2AFC3B10"/>
    <w:rsid w:val="2AFE4312"/>
    <w:rsid w:val="2B4BCBB3"/>
    <w:rsid w:val="2BB1CE3E"/>
    <w:rsid w:val="2BCFF37B"/>
    <w:rsid w:val="2CA87B41"/>
    <w:rsid w:val="2CE02A6A"/>
    <w:rsid w:val="2D2CFEF8"/>
    <w:rsid w:val="2D403A59"/>
    <w:rsid w:val="2D416CDA"/>
    <w:rsid w:val="2D4329A2"/>
    <w:rsid w:val="2D8B664F"/>
    <w:rsid w:val="2DB3FADD"/>
    <w:rsid w:val="2E4192BA"/>
    <w:rsid w:val="2E5620AD"/>
    <w:rsid w:val="2E56C844"/>
    <w:rsid w:val="2E824F46"/>
    <w:rsid w:val="2EC08F33"/>
    <w:rsid w:val="2EC8F282"/>
    <w:rsid w:val="2ED9E99D"/>
    <w:rsid w:val="2EE64BB0"/>
    <w:rsid w:val="2F2FC813"/>
    <w:rsid w:val="2FAF616A"/>
    <w:rsid w:val="2FE1FBA0"/>
    <w:rsid w:val="309BD2A1"/>
    <w:rsid w:val="30D957F8"/>
    <w:rsid w:val="314A1E18"/>
    <w:rsid w:val="3177C68A"/>
    <w:rsid w:val="31ACAEC1"/>
    <w:rsid w:val="31C1C8E9"/>
    <w:rsid w:val="3256B7F6"/>
    <w:rsid w:val="32E1C82C"/>
    <w:rsid w:val="3316E053"/>
    <w:rsid w:val="335917DC"/>
    <w:rsid w:val="337FBBDA"/>
    <w:rsid w:val="33B5F006"/>
    <w:rsid w:val="33F5189B"/>
    <w:rsid w:val="34E26341"/>
    <w:rsid w:val="350955AA"/>
    <w:rsid w:val="35633D04"/>
    <w:rsid w:val="357E906C"/>
    <w:rsid w:val="3590AEA3"/>
    <w:rsid w:val="365D1DD6"/>
    <w:rsid w:val="365E036B"/>
    <w:rsid w:val="369F5B5D"/>
    <w:rsid w:val="379FB8CD"/>
    <w:rsid w:val="37EB1ADC"/>
    <w:rsid w:val="382356A6"/>
    <w:rsid w:val="38246FA6"/>
    <w:rsid w:val="383EC6DC"/>
    <w:rsid w:val="38BA1982"/>
    <w:rsid w:val="38FB6317"/>
    <w:rsid w:val="3976E1F2"/>
    <w:rsid w:val="398DE694"/>
    <w:rsid w:val="39A6EAFB"/>
    <w:rsid w:val="3A3A01A1"/>
    <w:rsid w:val="3A3FF892"/>
    <w:rsid w:val="3AF175DD"/>
    <w:rsid w:val="3B9F5C0C"/>
    <w:rsid w:val="3BFA1E67"/>
    <w:rsid w:val="3C01D2A7"/>
    <w:rsid w:val="3C174912"/>
    <w:rsid w:val="3C880E48"/>
    <w:rsid w:val="3CC81C54"/>
    <w:rsid w:val="3D10D2FF"/>
    <w:rsid w:val="3E78F844"/>
    <w:rsid w:val="3E86E09C"/>
    <w:rsid w:val="3EA31DB0"/>
    <w:rsid w:val="3EB91D25"/>
    <w:rsid w:val="3ECA225E"/>
    <w:rsid w:val="3F44AA14"/>
    <w:rsid w:val="3F4AA7B8"/>
    <w:rsid w:val="3F6D2748"/>
    <w:rsid w:val="3F80E3E1"/>
    <w:rsid w:val="3FACB15D"/>
    <w:rsid w:val="3FDAA69F"/>
    <w:rsid w:val="405C3410"/>
    <w:rsid w:val="406DFC97"/>
    <w:rsid w:val="40FC2F63"/>
    <w:rsid w:val="411CA026"/>
    <w:rsid w:val="41666411"/>
    <w:rsid w:val="420F96B5"/>
    <w:rsid w:val="42B9C3D8"/>
    <w:rsid w:val="435C04BF"/>
    <w:rsid w:val="436A4538"/>
    <w:rsid w:val="437FC399"/>
    <w:rsid w:val="43AD7A8D"/>
    <w:rsid w:val="43B3C64C"/>
    <w:rsid w:val="44233732"/>
    <w:rsid w:val="4428B1AE"/>
    <w:rsid w:val="44371744"/>
    <w:rsid w:val="4451C389"/>
    <w:rsid w:val="4472BBFE"/>
    <w:rsid w:val="44985D61"/>
    <w:rsid w:val="44FEB2AD"/>
    <w:rsid w:val="4535C7B2"/>
    <w:rsid w:val="455C8494"/>
    <w:rsid w:val="4561CB6C"/>
    <w:rsid w:val="4665FF42"/>
    <w:rsid w:val="472CD4CE"/>
    <w:rsid w:val="476D2441"/>
    <w:rsid w:val="47768480"/>
    <w:rsid w:val="47799F6C"/>
    <w:rsid w:val="478E4FA4"/>
    <w:rsid w:val="48ABFD92"/>
    <w:rsid w:val="48C0A86B"/>
    <w:rsid w:val="4942F620"/>
    <w:rsid w:val="4956BCC9"/>
    <w:rsid w:val="4A241D89"/>
    <w:rsid w:val="4A45081C"/>
    <w:rsid w:val="4C030571"/>
    <w:rsid w:val="4C0FDD53"/>
    <w:rsid w:val="4C52D493"/>
    <w:rsid w:val="4C61E502"/>
    <w:rsid w:val="4C977374"/>
    <w:rsid w:val="4D0F368E"/>
    <w:rsid w:val="4DA45208"/>
    <w:rsid w:val="4DC1269E"/>
    <w:rsid w:val="4DE687CA"/>
    <w:rsid w:val="4E0ECAFA"/>
    <w:rsid w:val="4E843D05"/>
    <w:rsid w:val="4E9BDB2E"/>
    <w:rsid w:val="4F280E94"/>
    <w:rsid w:val="4FD116FB"/>
    <w:rsid w:val="4FF043BE"/>
    <w:rsid w:val="4FFB84B4"/>
    <w:rsid w:val="5068CF77"/>
    <w:rsid w:val="5109CD9F"/>
    <w:rsid w:val="515552F8"/>
    <w:rsid w:val="51AD6BFA"/>
    <w:rsid w:val="51BE554A"/>
    <w:rsid w:val="51D4E569"/>
    <w:rsid w:val="51EC5F66"/>
    <w:rsid w:val="5201D761"/>
    <w:rsid w:val="52162293"/>
    <w:rsid w:val="5278DCD6"/>
    <w:rsid w:val="528764A4"/>
    <w:rsid w:val="52DB6169"/>
    <w:rsid w:val="52DDE1C1"/>
    <w:rsid w:val="5304AD57"/>
    <w:rsid w:val="530713E0"/>
    <w:rsid w:val="5353FC09"/>
    <w:rsid w:val="536ED93F"/>
    <w:rsid w:val="53DC274C"/>
    <w:rsid w:val="5407FEF9"/>
    <w:rsid w:val="541CBC40"/>
    <w:rsid w:val="549215D6"/>
    <w:rsid w:val="54A613CE"/>
    <w:rsid w:val="54A8DD0A"/>
    <w:rsid w:val="54CB756B"/>
    <w:rsid w:val="5511F32C"/>
    <w:rsid w:val="551E4B02"/>
    <w:rsid w:val="5533F721"/>
    <w:rsid w:val="55556A62"/>
    <w:rsid w:val="5590C4CF"/>
    <w:rsid w:val="5598602C"/>
    <w:rsid w:val="56072689"/>
    <w:rsid w:val="563A9607"/>
    <w:rsid w:val="56B34664"/>
    <w:rsid w:val="575083B4"/>
    <w:rsid w:val="579321A6"/>
    <w:rsid w:val="57A89664"/>
    <w:rsid w:val="585DAFC7"/>
    <w:rsid w:val="58DCE04A"/>
    <w:rsid w:val="59160157"/>
    <w:rsid w:val="5916E419"/>
    <w:rsid w:val="59569DCA"/>
    <w:rsid w:val="5A328517"/>
    <w:rsid w:val="5A54E9C6"/>
    <w:rsid w:val="5ADD8235"/>
    <w:rsid w:val="5B437EFD"/>
    <w:rsid w:val="5B888698"/>
    <w:rsid w:val="5C01EF6A"/>
    <w:rsid w:val="5C05C93E"/>
    <w:rsid w:val="5C831C99"/>
    <w:rsid w:val="5D1E6C24"/>
    <w:rsid w:val="5D9568A8"/>
    <w:rsid w:val="5DB2FA5B"/>
    <w:rsid w:val="5E6A82BF"/>
    <w:rsid w:val="5E6FB645"/>
    <w:rsid w:val="5EDBA702"/>
    <w:rsid w:val="5F5BC57E"/>
    <w:rsid w:val="6001BDA9"/>
    <w:rsid w:val="60419CA3"/>
    <w:rsid w:val="606108D1"/>
    <w:rsid w:val="607D0A4B"/>
    <w:rsid w:val="61072ACE"/>
    <w:rsid w:val="61205E0F"/>
    <w:rsid w:val="612DC78C"/>
    <w:rsid w:val="61364C58"/>
    <w:rsid w:val="614F2F9B"/>
    <w:rsid w:val="6166B8AA"/>
    <w:rsid w:val="61724417"/>
    <w:rsid w:val="61D5E226"/>
    <w:rsid w:val="61ED8661"/>
    <w:rsid w:val="62927A7F"/>
    <w:rsid w:val="6299B070"/>
    <w:rsid w:val="62CE735A"/>
    <w:rsid w:val="630D33BE"/>
    <w:rsid w:val="64B6E306"/>
    <w:rsid w:val="6542B09D"/>
    <w:rsid w:val="65473829"/>
    <w:rsid w:val="65B12CCB"/>
    <w:rsid w:val="65B7FFA2"/>
    <w:rsid w:val="665A3F82"/>
    <w:rsid w:val="66C3F519"/>
    <w:rsid w:val="66D582D9"/>
    <w:rsid w:val="66DC8DFC"/>
    <w:rsid w:val="66F802D0"/>
    <w:rsid w:val="67190BA9"/>
    <w:rsid w:val="67AF27C9"/>
    <w:rsid w:val="67C5C4BD"/>
    <w:rsid w:val="67C8D54B"/>
    <w:rsid w:val="684CAA24"/>
    <w:rsid w:val="6861512C"/>
    <w:rsid w:val="68A47AC4"/>
    <w:rsid w:val="6900ECBA"/>
    <w:rsid w:val="6947DC7D"/>
    <w:rsid w:val="6A3443F6"/>
    <w:rsid w:val="6AB14C3D"/>
    <w:rsid w:val="6ACD4E86"/>
    <w:rsid w:val="6B6BA087"/>
    <w:rsid w:val="6BA60DD1"/>
    <w:rsid w:val="6BEEB2BF"/>
    <w:rsid w:val="6BFC627D"/>
    <w:rsid w:val="6C2737D8"/>
    <w:rsid w:val="6C92001C"/>
    <w:rsid w:val="6CC05E41"/>
    <w:rsid w:val="6CCE4881"/>
    <w:rsid w:val="6DD68F2B"/>
    <w:rsid w:val="6E5D0BAE"/>
    <w:rsid w:val="6E93EEFA"/>
    <w:rsid w:val="6F0D94D0"/>
    <w:rsid w:val="6F3A7349"/>
    <w:rsid w:val="6FC26724"/>
    <w:rsid w:val="708D8CC9"/>
    <w:rsid w:val="70F2272A"/>
    <w:rsid w:val="70F2BDD7"/>
    <w:rsid w:val="71222D81"/>
    <w:rsid w:val="72C33CC5"/>
    <w:rsid w:val="732EF7BF"/>
    <w:rsid w:val="73531277"/>
    <w:rsid w:val="73A2094F"/>
    <w:rsid w:val="73B64BB4"/>
    <w:rsid w:val="746587E1"/>
    <w:rsid w:val="7473A528"/>
    <w:rsid w:val="752B063C"/>
    <w:rsid w:val="75383437"/>
    <w:rsid w:val="753D2C53"/>
    <w:rsid w:val="753F4BA4"/>
    <w:rsid w:val="770508F4"/>
    <w:rsid w:val="773C4870"/>
    <w:rsid w:val="77415412"/>
    <w:rsid w:val="7768E6DB"/>
    <w:rsid w:val="776D1FED"/>
    <w:rsid w:val="7848C9DA"/>
    <w:rsid w:val="785FD863"/>
    <w:rsid w:val="7879F696"/>
    <w:rsid w:val="78D8466E"/>
    <w:rsid w:val="79A1B528"/>
    <w:rsid w:val="79F86636"/>
    <w:rsid w:val="7A460B4B"/>
    <w:rsid w:val="7B0EDA9E"/>
    <w:rsid w:val="7BB0C976"/>
    <w:rsid w:val="7BBE5FBE"/>
    <w:rsid w:val="7BCCB792"/>
    <w:rsid w:val="7C2209F8"/>
    <w:rsid w:val="7C243E8C"/>
    <w:rsid w:val="7C324E13"/>
    <w:rsid w:val="7C5C1449"/>
    <w:rsid w:val="7D2E8957"/>
    <w:rsid w:val="7D4C0A69"/>
    <w:rsid w:val="7E168F6E"/>
    <w:rsid w:val="7E3FC4A1"/>
    <w:rsid w:val="7EB6FA1C"/>
    <w:rsid w:val="7ECDF40B"/>
    <w:rsid w:val="7F34FC3D"/>
    <w:rsid w:val="7F7B0503"/>
    <w:rsid w:val="7F7C1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7C7B0D"/>
  <w14:defaultImageDpi w14:val="300"/>
  <w15:docId w15:val="{335A496C-EA0C-4CEF-8658-CD95B98B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AU"/>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unhideWhenUsed/>
    <w:qFormat/>
    <w:rsid w:val="00FC693F"/>
    <w:pPr>
      <w:spacing w:line="240" w:lineRule="auto"/>
    </w:pPr>
    <w:rPr>
      <w:b/>
      <w:bCs/>
      <w:color w:val="4F81BD" w:themeColor="accent1"/>
      <w:sz w:val="18"/>
      <w:szCs w:val="18"/>
    </w:rPr>
  </w:style>
  <w:style w:type="character" w:styleId="Fuerte">
    <w:name w:val="Strong"/>
    <w:uiPriority w:val="22"/>
    <w:qFormat/>
    <w:rsid w:val="1145F738"/>
    <w:rPr>
      <w:b/>
      <w:bCs/>
    </w:rPr>
  </w:style>
  <w:style w:type="character" w:styleId="nfasis">
    <w:name w:val="Emphasis"/>
    <w:uiPriority w:val="20"/>
    <w:qFormat/>
    <w:rsid w:val="1145F738"/>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uiPriority w:val="19"/>
    <w:qFormat/>
    <w:rsid w:val="1145F738"/>
    <w:rPr>
      <w:i/>
      <w:iCs/>
      <w:color w:val="808080" w:themeColor="background1" w:themeShade="80"/>
    </w:rPr>
  </w:style>
  <w:style w:type="character" w:styleId="nfasisintenso">
    <w:name w:val="Intense Emphasis"/>
    <w:uiPriority w:val="21"/>
    <w:qFormat/>
    <w:rsid w:val="1145F738"/>
    <w:rPr>
      <w:b/>
      <w:bCs/>
      <w:i/>
      <w:iCs/>
      <w:color w:val="4F81BD" w:themeColor="accent1"/>
    </w:rPr>
  </w:style>
  <w:style w:type="character" w:styleId="Referenciasutil">
    <w:name w:val="Subtle Reference"/>
    <w:uiPriority w:val="31"/>
    <w:qFormat/>
    <w:rsid w:val="1145F738"/>
    <w:rPr>
      <w:smallCaps/>
      <w:color w:val="C0504D" w:themeColor="accent2"/>
      <w:u w:val="single"/>
    </w:rPr>
  </w:style>
  <w:style w:type="character" w:styleId="Referenciaintensa">
    <w:name w:val="Intense Reference"/>
    <w:uiPriority w:val="32"/>
    <w:qFormat/>
    <w:rsid w:val="1145F738"/>
    <w:rPr>
      <w:b/>
      <w:bCs/>
      <w:smallCaps/>
      <w:color w:val="C0504D" w:themeColor="accent2"/>
      <w:u w:val="single"/>
    </w:rPr>
  </w:style>
  <w:style w:type="character" w:styleId="Ttulodellibro">
    <w:name w:val="Book Title"/>
    <w:uiPriority w:val="33"/>
    <w:qFormat/>
    <w:rsid w:val="1145F738"/>
    <w:rPr>
      <w:b/>
      <w:bCs/>
      <w:smallCaps/>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math-inline">
    <w:name w:val="math-inline"/>
    <w:uiPriority w:val="1"/>
    <w:rsid w:val="1145F738"/>
  </w:style>
  <w:style w:type="paragraph" w:styleId="NormalWeb">
    <w:name w:val="Normal (Web)"/>
    <w:basedOn w:val="Normal"/>
    <w:uiPriority w:val="99"/>
    <w:semiHidden/>
    <w:unhideWhenUsed/>
    <w:rsid w:val="00E45B4E"/>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sid w:val="007D7FB4"/>
    <w:rPr>
      <w:sz w:val="20"/>
      <w:szCs w:val="20"/>
      <w:lang w:val="en-AU"/>
    </w:rPr>
  </w:style>
  <w:style w:type="paragraph" w:styleId="Asuntodelcomentario">
    <w:name w:val="annotation subject"/>
    <w:basedOn w:val="Textocomentario"/>
    <w:next w:val="Textocomentario"/>
    <w:link w:val="AsuntodelcomentarioCar"/>
    <w:uiPriority w:val="99"/>
    <w:semiHidden/>
    <w:unhideWhenUsed/>
    <w:rsid w:val="00426C21"/>
    <w:rPr>
      <w:b/>
      <w:bCs/>
    </w:rPr>
  </w:style>
  <w:style w:type="character" w:customStyle="1" w:styleId="AsuntodelcomentarioCar">
    <w:name w:val="Asunto del comentario Car"/>
    <w:basedOn w:val="TextocomentarioCar"/>
    <w:link w:val="Asuntodelcomentario"/>
    <w:uiPriority w:val="99"/>
    <w:semiHidden/>
    <w:rsid w:val="00426C21"/>
    <w:rPr>
      <w:b/>
      <w:bCs/>
      <w:sz w:val="20"/>
      <w:szCs w:val="20"/>
      <w:lang w:val="en-AU"/>
    </w:rPr>
  </w:style>
  <w:style w:type="paragraph" w:styleId="Revisin">
    <w:name w:val="Revision"/>
    <w:hidden/>
    <w:uiPriority w:val="99"/>
    <w:semiHidden/>
    <w:rsid w:val="0069307D"/>
    <w:pPr>
      <w:spacing w:after="0" w:line="240" w:lineRule="auto"/>
    </w:pPr>
    <w:rPr>
      <w:lang w:val="en-AU"/>
    </w:rPr>
  </w:style>
  <w:style w:type="character" w:styleId="Textodelmarcadordeposicin">
    <w:name w:val="Placeholder Text"/>
    <w:uiPriority w:val="99"/>
    <w:semiHidden/>
    <w:rsid w:val="1145F738"/>
    <w:rPr>
      <w:color w:val="666666"/>
    </w:rPr>
  </w:style>
  <w:style w:type="character" w:styleId="Hipervnculo">
    <w:name w:val="Hyperlink"/>
    <w:uiPriority w:val="99"/>
    <w:unhideWhenUsed/>
    <w:rsid w:val="003D4675"/>
    <w:rPr>
      <w:color w:val="0000FF"/>
      <w:u w:val="single"/>
    </w:rPr>
  </w:style>
  <w:style w:type="character" w:customStyle="1" w:styleId="CommentReference">
    <w:name w:val="Comment Reference"/>
    <w:uiPriority w:val="99"/>
    <w:semiHidden/>
    <w:unhideWhenUsed/>
    <w:rsid w:val="004B72B2"/>
    <w:rPr>
      <w:sz w:val="16"/>
      <w:szCs w:val="16"/>
    </w:rPr>
  </w:style>
  <w:style w:type="paragraph" w:customStyle="1" w:styleId="CommentText">
    <w:name w:val="Comment Text"/>
    <w:basedOn w:val="Normal"/>
    <w:link w:val="CommentTextChar"/>
    <w:uiPriority w:val="99"/>
    <w:unhideWhenUsed/>
    <w:rsid w:val="004B72B2"/>
    <w:pPr>
      <w:spacing w:line="240" w:lineRule="auto"/>
    </w:pPr>
    <w:rPr>
      <w:sz w:val="20"/>
      <w:szCs w:val="20"/>
    </w:rPr>
  </w:style>
  <w:style w:type="character" w:customStyle="1" w:styleId="CommentTextChar">
    <w:name w:val="Comment Text Char"/>
    <w:basedOn w:val="Fuentedeprrafopredeter"/>
    <w:link w:val="CommentText"/>
    <w:uiPriority w:val="99"/>
    <w:rsid w:val="004B72B2"/>
    <w:rPr>
      <w:sz w:val="20"/>
      <w:szCs w:val="20"/>
      <w:lang w:val="en-AU"/>
    </w:rPr>
  </w:style>
  <w:style w:type="paragraph" w:customStyle="1" w:styleId="CommentSubject">
    <w:name w:val="Comment Subject"/>
    <w:basedOn w:val="CommentText"/>
    <w:next w:val="CommentText"/>
    <w:link w:val="CommentSubjectChar"/>
    <w:uiPriority w:val="99"/>
    <w:semiHidden/>
    <w:unhideWhenUsed/>
    <w:rsid w:val="004B72B2"/>
    <w:rPr>
      <w:b/>
      <w:bCs/>
    </w:rPr>
  </w:style>
  <w:style w:type="character" w:customStyle="1" w:styleId="CommentSubjectChar">
    <w:name w:val="Comment Subject Char"/>
    <w:basedOn w:val="CommentTextChar"/>
    <w:link w:val="CommentSubject"/>
    <w:uiPriority w:val="99"/>
    <w:semiHidden/>
    <w:rsid w:val="004B72B2"/>
    <w:rPr>
      <w:b/>
      <w:bCs/>
      <w:sz w:val="20"/>
      <w:szCs w:val="20"/>
      <w:lang w:val="en-AU"/>
    </w:rPr>
  </w:style>
  <w:style w:type="table" w:styleId="Tablaconcuadrculaclara">
    <w:name w:val="Grid Table Light"/>
    <w:basedOn w:val="Tablanormal"/>
    <w:uiPriority w:val="99"/>
    <w:rsid w:val="002B58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8335">
      <w:marLeft w:val="480"/>
      <w:marRight w:val="0"/>
      <w:marTop w:val="0"/>
      <w:marBottom w:val="0"/>
      <w:divBdr>
        <w:top w:val="none" w:sz="0" w:space="0" w:color="auto"/>
        <w:left w:val="none" w:sz="0" w:space="0" w:color="auto"/>
        <w:bottom w:val="none" w:sz="0" w:space="0" w:color="auto"/>
        <w:right w:val="none" w:sz="0" w:space="0" w:color="auto"/>
      </w:divBdr>
    </w:div>
    <w:div w:id="44768250">
      <w:marLeft w:val="480"/>
      <w:marRight w:val="0"/>
      <w:marTop w:val="0"/>
      <w:marBottom w:val="0"/>
      <w:divBdr>
        <w:top w:val="none" w:sz="0" w:space="0" w:color="auto"/>
        <w:left w:val="none" w:sz="0" w:space="0" w:color="auto"/>
        <w:bottom w:val="none" w:sz="0" w:space="0" w:color="auto"/>
        <w:right w:val="none" w:sz="0" w:space="0" w:color="auto"/>
      </w:divBdr>
    </w:div>
    <w:div w:id="64181193">
      <w:marLeft w:val="480"/>
      <w:marRight w:val="0"/>
      <w:marTop w:val="0"/>
      <w:marBottom w:val="0"/>
      <w:divBdr>
        <w:top w:val="none" w:sz="0" w:space="0" w:color="auto"/>
        <w:left w:val="none" w:sz="0" w:space="0" w:color="auto"/>
        <w:bottom w:val="none" w:sz="0" w:space="0" w:color="auto"/>
        <w:right w:val="none" w:sz="0" w:space="0" w:color="auto"/>
      </w:divBdr>
    </w:div>
    <w:div w:id="71706279">
      <w:marLeft w:val="640"/>
      <w:marRight w:val="0"/>
      <w:marTop w:val="0"/>
      <w:marBottom w:val="0"/>
      <w:divBdr>
        <w:top w:val="none" w:sz="0" w:space="0" w:color="auto"/>
        <w:left w:val="none" w:sz="0" w:space="0" w:color="auto"/>
        <w:bottom w:val="none" w:sz="0" w:space="0" w:color="auto"/>
        <w:right w:val="none" w:sz="0" w:space="0" w:color="auto"/>
      </w:divBdr>
    </w:div>
    <w:div w:id="83693090">
      <w:marLeft w:val="480"/>
      <w:marRight w:val="0"/>
      <w:marTop w:val="0"/>
      <w:marBottom w:val="0"/>
      <w:divBdr>
        <w:top w:val="none" w:sz="0" w:space="0" w:color="auto"/>
        <w:left w:val="none" w:sz="0" w:space="0" w:color="auto"/>
        <w:bottom w:val="none" w:sz="0" w:space="0" w:color="auto"/>
        <w:right w:val="none" w:sz="0" w:space="0" w:color="auto"/>
      </w:divBdr>
    </w:div>
    <w:div w:id="111170671">
      <w:marLeft w:val="480"/>
      <w:marRight w:val="0"/>
      <w:marTop w:val="0"/>
      <w:marBottom w:val="0"/>
      <w:divBdr>
        <w:top w:val="none" w:sz="0" w:space="0" w:color="auto"/>
        <w:left w:val="none" w:sz="0" w:space="0" w:color="auto"/>
        <w:bottom w:val="none" w:sz="0" w:space="0" w:color="auto"/>
        <w:right w:val="none" w:sz="0" w:space="0" w:color="auto"/>
      </w:divBdr>
    </w:div>
    <w:div w:id="121584902">
      <w:marLeft w:val="480"/>
      <w:marRight w:val="0"/>
      <w:marTop w:val="0"/>
      <w:marBottom w:val="0"/>
      <w:divBdr>
        <w:top w:val="none" w:sz="0" w:space="0" w:color="auto"/>
        <w:left w:val="none" w:sz="0" w:space="0" w:color="auto"/>
        <w:bottom w:val="none" w:sz="0" w:space="0" w:color="auto"/>
        <w:right w:val="none" w:sz="0" w:space="0" w:color="auto"/>
      </w:divBdr>
    </w:div>
    <w:div w:id="165562510">
      <w:marLeft w:val="480"/>
      <w:marRight w:val="0"/>
      <w:marTop w:val="0"/>
      <w:marBottom w:val="0"/>
      <w:divBdr>
        <w:top w:val="none" w:sz="0" w:space="0" w:color="auto"/>
        <w:left w:val="none" w:sz="0" w:space="0" w:color="auto"/>
        <w:bottom w:val="none" w:sz="0" w:space="0" w:color="auto"/>
        <w:right w:val="none" w:sz="0" w:space="0" w:color="auto"/>
      </w:divBdr>
    </w:div>
    <w:div w:id="220798696">
      <w:marLeft w:val="480"/>
      <w:marRight w:val="0"/>
      <w:marTop w:val="0"/>
      <w:marBottom w:val="0"/>
      <w:divBdr>
        <w:top w:val="none" w:sz="0" w:space="0" w:color="auto"/>
        <w:left w:val="none" w:sz="0" w:space="0" w:color="auto"/>
        <w:bottom w:val="none" w:sz="0" w:space="0" w:color="auto"/>
        <w:right w:val="none" w:sz="0" w:space="0" w:color="auto"/>
      </w:divBdr>
    </w:div>
    <w:div w:id="329259343">
      <w:marLeft w:val="480"/>
      <w:marRight w:val="0"/>
      <w:marTop w:val="0"/>
      <w:marBottom w:val="0"/>
      <w:divBdr>
        <w:top w:val="none" w:sz="0" w:space="0" w:color="auto"/>
        <w:left w:val="none" w:sz="0" w:space="0" w:color="auto"/>
        <w:bottom w:val="none" w:sz="0" w:space="0" w:color="auto"/>
        <w:right w:val="none" w:sz="0" w:space="0" w:color="auto"/>
      </w:divBdr>
    </w:div>
    <w:div w:id="347563269">
      <w:marLeft w:val="480"/>
      <w:marRight w:val="0"/>
      <w:marTop w:val="0"/>
      <w:marBottom w:val="0"/>
      <w:divBdr>
        <w:top w:val="none" w:sz="0" w:space="0" w:color="auto"/>
        <w:left w:val="none" w:sz="0" w:space="0" w:color="auto"/>
        <w:bottom w:val="none" w:sz="0" w:space="0" w:color="auto"/>
        <w:right w:val="none" w:sz="0" w:space="0" w:color="auto"/>
      </w:divBdr>
    </w:div>
    <w:div w:id="367802094">
      <w:marLeft w:val="480"/>
      <w:marRight w:val="0"/>
      <w:marTop w:val="0"/>
      <w:marBottom w:val="0"/>
      <w:divBdr>
        <w:top w:val="none" w:sz="0" w:space="0" w:color="auto"/>
        <w:left w:val="none" w:sz="0" w:space="0" w:color="auto"/>
        <w:bottom w:val="none" w:sz="0" w:space="0" w:color="auto"/>
        <w:right w:val="none" w:sz="0" w:space="0" w:color="auto"/>
      </w:divBdr>
    </w:div>
    <w:div w:id="379669311">
      <w:marLeft w:val="480"/>
      <w:marRight w:val="0"/>
      <w:marTop w:val="0"/>
      <w:marBottom w:val="0"/>
      <w:divBdr>
        <w:top w:val="none" w:sz="0" w:space="0" w:color="auto"/>
        <w:left w:val="none" w:sz="0" w:space="0" w:color="auto"/>
        <w:bottom w:val="none" w:sz="0" w:space="0" w:color="auto"/>
        <w:right w:val="none" w:sz="0" w:space="0" w:color="auto"/>
      </w:divBdr>
    </w:div>
    <w:div w:id="411388100">
      <w:marLeft w:val="480"/>
      <w:marRight w:val="0"/>
      <w:marTop w:val="0"/>
      <w:marBottom w:val="0"/>
      <w:divBdr>
        <w:top w:val="none" w:sz="0" w:space="0" w:color="auto"/>
        <w:left w:val="none" w:sz="0" w:space="0" w:color="auto"/>
        <w:bottom w:val="none" w:sz="0" w:space="0" w:color="auto"/>
        <w:right w:val="none" w:sz="0" w:space="0" w:color="auto"/>
      </w:divBdr>
    </w:div>
    <w:div w:id="431777985">
      <w:marLeft w:val="480"/>
      <w:marRight w:val="0"/>
      <w:marTop w:val="0"/>
      <w:marBottom w:val="0"/>
      <w:divBdr>
        <w:top w:val="none" w:sz="0" w:space="0" w:color="auto"/>
        <w:left w:val="none" w:sz="0" w:space="0" w:color="auto"/>
        <w:bottom w:val="none" w:sz="0" w:space="0" w:color="auto"/>
        <w:right w:val="none" w:sz="0" w:space="0" w:color="auto"/>
      </w:divBdr>
    </w:div>
    <w:div w:id="432238933">
      <w:marLeft w:val="480"/>
      <w:marRight w:val="0"/>
      <w:marTop w:val="0"/>
      <w:marBottom w:val="0"/>
      <w:divBdr>
        <w:top w:val="none" w:sz="0" w:space="0" w:color="auto"/>
        <w:left w:val="none" w:sz="0" w:space="0" w:color="auto"/>
        <w:bottom w:val="none" w:sz="0" w:space="0" w:color="auto"/>
        <w:right w:val="none" w:sz="0" w:space="0" w:color="auto"/>
      </w:divBdr>
    </w:div>
    <w:div w:id="535973893">
      <w:marLeft w:val="640"/>
      <w:marRight w:val="0"/>
      <w:marTop w:val="0"/>
      <w:marBottom w:val="0"/>
      <w:divBdr>
        <w:top w:val="none" w:sz="0" w:space="0" w:color="auto"/>
        <w:left w:val="none" w:sz="0" w:space="0" w:color="auto"/>
        <w:bottom w:val="none" w:sz="0" w:space="0" w:color="auto"/>
        <w:right w:val="none" w:sz="0" w:space="0" w:color="auto"/>
      </w:divBdr>
    </w:div>
    <w:div w:id="553737006">
      <w:marLeft w:val="480"/>
      <w:marRight w:val="0"/>
      <w:marTop w:val="0"/>
      <w:marBottom w:val="0"/>
      <w:divBdr>
        <w:top w:val="none" w:sz="0" w:space="0" w:color="auto"/>
        <w:left w:val="none" w:sz="0" w:space="0" w:color="auto"/>
        <w:bottom w:val="none" w:sz="0" w:space="0" w:color="auto"/>
        <w:right w:val="none" w:sz="0" w:space="0" w:color="auto"/>
      </w:divBdr>
    </w:div>
    <w:div w:id="603533602">
      <w:marLeft w:val="480"/>
      <w:marRight w:val="0"/>
      <w:marTop w:val="0"/>
      <w:marBottom w:val="0"/>
      <w:divBdr>
        <w:top w:val="none" w:sz="0" w:space="0" w:color="auto"/>
        <w:left w:val="none" w:sz="0" w:space="0" w:color="auto"/>
        <w:bottom w:val="none" w:sz="0" w:space="0" w:color="auto"/>
        <w:right w:val="none" w:sz="0" w:space="0" w:color="auto"/>
      </w:divBdr>
    </w:div>
    <w:div w:id="648099531">
      <w:marLeft w:val="480"/>
      <w:marRight w:val="0"/>
      <w:marTop w:val="0"/>
      <w:marBottom w:val="0"/>
      <w:divBdr>
        <w:top w:val="none" w:sz="0" w:space="0" w:color="auto"/>
        <w:left w:val="none" w:sz="0" w:space="0" w:color="auto"/>
        <w:bottom w:val="none" w:sz="0" w:space="0" w:color="auto"/>
        <w:right w:val="none" w:sz="0" w:space="0" w:color="auto"/>
      </w:divBdr>
    </w:div>
    <w:div w:id="663975287">
      <w:marLeft w:val="480"/>
      <w:marRight w:val="0"/>
      <w:marTop w:val="0"/>
      <w:marBottom w:val="0"/>
      <w:divBdr>
        <w:top w:val="none" w:sz="0" w:space="0" w:color="auto"/>
        <w:left w:val="none" w:sz="0" w:space="0" w:color="auto"/>
        <w:bottom w:val="none" w:sz="0" w:space="0" w:color="auto"/>
        <w:right w:val="none" w:sz="0" w:space="0" w:color="auto"/>
      </w:divBdr>
    </w:div>
    <w:div w:id="705103046">
      <w:marLeft w:val="480"/>
      <w:marRight w:val="0"/>
      <w:marTop w:val="0"/>
      <w:marBottom w:val="0"/>
      <w:divBdr>
        <w:top w:val="none" w:sz="0" w:space="0" w:color="auto"/>
        <w:left w:val="none" w:sz="0" w:space="0" w:color="auto"/>
        <w:bottom w:val="none" w:sz="0" w:space="0" w:color="auto"/>
        <w:right w:val="none" w:sz="0" w:space="0" w:color="auto"/>
      </w:divBdr>
    </w:div>
    <w:div w:id="763064794">
      <w:marLeft w:val="480"/>
      <w:marRight w:val="0"/>
      <w:marTop w:val="0"/>
      <w:marBottom w:val="0"/>
      <w:divBdr>
        <w:top w:val="none" w:sz="0" w:space="0" w:color="auto"/>
        <w:left w:val="none" w:sz="0" w:space="0" w:color="auto"/>
        <w:bottom w:val="none" w:sz="0" w:space="0" w:color="auto"/>
        <w:right w:val="none" w:sz="0" w:space="0" w:color="auto"/>
      </w:divBdr>
    </w:div>
    <w:div w:id="770900943">
      <w:marLeft w:val="480"/>
      <w:marRight w:val="0"/>
      <w:marTop w:val="0"/>
      <w:marBottom w:val="0"/>
      <w:divBdr>
        <w:top w:val="none" w:sz="0" w:space="0" w:color="auto"/>
        <w:left w:val="none" w:sz="0" w:space="0" w:color="auto"/>
        <w:bottom w:val="none" w:sz="0" w:space="0" w:color="auto"/>
        <w:right w:val="none" w:sz="0" w:space="0" w:color="auto"/>
      </w:divBdr>
    </w:div>
    <w:div w:id="778063508">
      <w:marLeft w:val="480"/>
      <w:marRight w:val="0"/>
      <w:marTop w:val="0"/>
      <w:marBottom w:val="0"/>
      <w:divBdr>
        <w:top w:val="none" w:sz="0" w:space="0" w:color="auto"/>
        <w:left w:val="none" w:sz="0" w:space="0" w:color="auto"/>
        <w:bottom w:val="none" w:sz="0" w:space="0" w:color="auto"/>
        <w:right w:val="none" w:sz="0" w:space="0" w:color="auto"/>
      </w:divBdr>
    </w:div>
    <w:div w:id="899292320">
      <w:marLeft w:val="480"/>
      <w:marRight w:val="0"/>
      <w:marTop w:val="0"/>
      <w:marBottom w:val="0"/>
      <w:divBdr>
        <w:top w:val="none" w:sz="0" w:space="0" w:color="auto"/>
        <w:left w:val="none" w:sz="0" w:space="0" w:color="auto"/>
        <w:bottom w:val="none" w:sz="0" w:space="0" w:color="auto"/>
        <w:right w:val="none" w:sz="0" w:space="0" w:color="auto"/>
      </w:divBdr>
    </w:div>
    <w:div w:id="900939764">
      <w:marLeft w:val="640"/>
      <w:marRight w:val="0"/>
      <w:marTop w:val="0"/>
      <w:marBottom w:val="0"/>
      <w:divBdr>
        <w:top w:val="none" w:sz="0" w:space="0" w:color="auto"/>
        <w:left w:val="none" w:sz="0" w:space="0" w:color="auto"/>
        <w:bottom w:val="none" w:sz="0" w:space="0" w:color="auto"/>
        <w:right w:val="none" w:sz="0" w:space="0" w:color="auto"/>
      </w:divBdr>
    </w:div>
    <w:div w:id="990914090">
      <w:marLeft w:val="640"/>
      <w:marRight w:val="0"/>
      <w:marTop w:val="0"/>
      <w:marBottom w:val="0"/>
      <w:divBdr>
        <w:top w:val="none" w:sz="0" w:space="0" w:color="auto"/>
        <w:left w:val="none" w:sz="0" w:space="0" w:color="auto"/>
        <w:bottom w:val="none" w:sz="0" w:space="0" w:color="auto"/>
        <w:right w:val="none" w:sz="0" w:space="0" w:color="auto"/>
      </w:divBdr>
    </w:div>
    <w:div w:id="1005061760">
      <w:bodyDiv w:val="1"/>
      <w:marLeft w:val="0"/>
      <w:marRight w:val="0"/>
      <w:marTop w:val="0"/>
      <w:marBottom w:val="0"/>
      <w:divBdr>
        <w:top w:val="none" w:sz="0" w:space="0" w:color="auto"/>
        <w:left w:val="none" w:sz="0" w:space="0" w:color="auto"/>
        <w:bottom w:val="none" w:sz="0" w:space="0" w:color="auto"/>
        <w:right w:val="none" w:sz="0" w:space="0" w:color="auto"/>
      </w:divBdr>
      <w:divsChild>
        <w:div w:id="1077022789">
          <w:marLeft w:val="0"/>
          <w:marRight w:val="0"/>
          <w:marTop w:val="0"/>
          <w:marBottom w:val="0"/>
          <w:divBdr>
            <w:top w:val="none" w:sz="0" w:space="0" w:color="auto"/>
            <w:left w:val="none" w:sz="0" w:space="0" w:color="auto"/>
            <w:bottom w:val="none" w:sz="0" w:space="0" w:color="auto"/>
            <w:right w:val="none" w:sz="0" w:space="0" w:color="auto"/>
          </w:divBdr>
        </w:div>
      </w:divsChild>
    </w:div>
    <w:div w:id="1032652377">
      <w:marLeft w:val="480"/>
      <w:marRight w:val="0"/>
      <w:marTop w:val="0"/>
      <w:marBottom w:val="0"/>
      <w:divBdr>
        <w:top w:val="none" w:sz="0" w:space="0" w:color="auto"/>
        <w:left w:val="none" w:sz="0" w:space="0" w:color="auto"/>
        <w:bottom w:val="none" w:sz="0" w:space="0" w:color="auto"/>
        <w:right w:val="none" w:sz="0" w:space="0" w:color="auto"/>
      </w:divBdr>
    </w:div>
    <w:div w:id="1032653150">
      <w:marLeft w:val="640"/>
      <w:marRight w:val="0"/>
      <w:marTop w:val="0"/>
      <w:marBottom w:val="0"/>
      <w:divBdr>
        <w:top w:val="none" w:sz="0" w:space="0" w:color="auto"/>
        <w:left w:val="none" w:sz="0" w:space="0" w:color="auto"/>
        <w:bottom w:val="none" w:sz="0" w:space="0" w:color="auto"/>
        <w:right w:val="none" w:sz="0" w:space="0" w:color="auto"/>
      </w:divBdr>
    </w:div>
    <w:div w:id="1052658918">
      <w:marLeft w:val="640"/>
      <w:marRight w:val="0"/>
      <w:marTop w:val="0"/>
      <w:marBottom w:val="0"/>
      <w:divBdr>
        <w:top w:val="none" w:sz="0" w:space="0" w:color="auto"/>
        <w:left w:val="none" w:sz="0" w:space="0" w:color="auto"/>
        <w:bottom w:val="none" w:sz="0" w:space="0" w:color="auto"/>
        <w:right w:val="none" w:sz="0" w:space="0" w:color="auto"/>
      </w:divBdr>
    </w:div>
    <w:div w:id="1089347972">
      <w:marLeft w:val="480"/>
      <w:marRight w:val="0"/>
      <w:marTop w:val="0"/>
      <w:marBottom w:val="0"/>
      <w:divBdr>
        <w:top w:val="none" w:sz="0" w:space="0" w:color="auto"/>
        <w:left w:val="none" w:sz="0" w:space="0" w:color="auto"/>
        <w:bottom w:val="none" w:sz="0" w:space="0" w:color="auto"/>
        <w:right w:val="none" w:sz="0" w:space="0" w:color="auto"/>
      </w:divBdr>
    </w:div>
    <w:div w:id="1100106772">
      <w:marLeft w:val="480"/>
      <w:marRight w:val="0"/>
      <w:marTop w:val="0"/>
      <w:marBottom w:val="0"/>
      <w:divBdr>
        <w:top w:val="none" w:sz="0" w:space="0" w:color="auto"/>
        <w:left w:val="none" w:sz="0" w:space="0" w:color="auto"/>
        <w:bottom w:val="none" w:sz="0" w:space="0" w:color="auto"/>
        <w:right w:val="none" w:sz="0" w:space="0" w:color="auto"/>
      </w:divBdr>
    </w:div>
    <w:div w:id="1107770650">
      <w:marLeft w:val="480"/>
      <w:marRight w:val="0"/>
      <w:marTop w:val="0"/>
      <w:marBottom w:val="0"/>
      <w:divBdr>
        <w:top w:val="none" w:sz="0" w:space="0" w:color="auto"/>
        <w:left w:val="none" w:sz="0" w:space="0" w:color="auto"/>
        <w:bottom w:val="none" w:sz="0" w:space="0" w:color="auto"/>
        <w:right w:val="none" w:sz="0" w:space="0" w:color="auto"/>
      </w:divBdr>
    </w:div>
    <w:div w:id="1142843277">
      <w:marLeft w:val="480"/>
      <w:marRight w:val="0"/>
      <w:marTop w:val="0"/>
      <w:marBottom w:val="0"/>
      <w:divBdr>
        <w:top w:val="none" w:sz="0" w:space="0" w:color="auto"/>
        <w:left w:val="none" w:sz="0" w:space="0" w:color="auto"/>
        <w:bottom w:val="none" w:sz="0" w:space="0" w:color="auto"/>
        <w:right w:val="none" w:sz="0" w:space="0" w:color="auto"/>
      </w:divBdr>
    </w:div>
    <w:div w:id="1195926711">
      <w:marLeft w:val="480"/>
      <w:marRight w:val="0"/>
      <w:marTop w:val="0"/>
      <w:marBottom w:val="0"/>
      <w:divBdr>
        <w:top w:val="none" w:sz="0" w:space="0" w:color="auto"/>
        <w:left w:val="none" w:sz="0" w:space="0" w:color="auto"/>
        <w:bottom w:val="none" w:sz="0" w:space="0" w:color="auto"/>
        <w:right w:val="none" w:sz="0" w:space="0" w:color="auto"/>
      </w:divBdr>
    </w:div>
    <w:div w:id="1228342720">
      <w:marLeft w:val="640"/>
      <w:marRight w:val="0"/>
      <w:marTop w:val="0"/>
      <w:marBottom w:val="0"/>
      <w:divBdr>
        <w:top w:val="none" w:sz="0" w:space="0" w:color="auto"/>
        <w:left w:val="none" w:sz="0" w:space="0" w:color="auto"/>
        <w:bottom w:val="none" w:sz="0" w:space="0" w:color="auto"/>
        <w:right w:val="none" w:sz="0" w:space="0" w:color="auto"/>
      </w:divBdr>
    </w:div>
    <w:div w:id="1257858644">
      <w:marLeft w:val="480"/>
      <w:marRight w:val="0"/>
      <w:marTop w:val="0"/>
      <w:marBottom w:val="0"/>
      <w:divBdr>
        <w:top w:val="none" w:sz="0" w:space="0" w:color="auto"/>
        <w:left w:val="none" w:sz="0" w:space="0" w:color="auto"/>
        <w:bottom w:val="none" w:sz="0" w:space="0" w:color="auto"/>
        <w:right w:val="none" w:sz="0" w:space="0" w:color="auto"/>
      </w:divBdr>
    </w:div>
    <w:div w:id="1274216641">
      <w:marLeft w:val="480"/>
      <w:marRight w:val="0"/>
      <w:marTop w:val="0"/>
      <w:marBottom w:val="0"/>
      <w:divBdr>
        <w:top w:val="none" w:sz="0" w:space="0" w:color="auto"/>
        <w:left w:val="none" w:sz="0" w:space="0" w:color="auto"/>
        <w:bottom w:val="none" w:sz="0" w:space="0" w:color="auto"/>
        <w:right w:val="none" w:sz="0" w:space="0" w:color="auto"/>
      </w:divBdr>
    </w:div>
    <w:div w:id="1348556630">
      <w:marLeft w:val="480"/>
      <w:marRight w:val="0"/>
      <w:marTop w:val="0"/>
      <w:marBottom w:val="0"/>
      <w:divBdr>
        <w:top w:val="none" w:sz="0" w:space="0" w:color="auto"/>
        <w:left w:val="none" w:sz="0" w:space="0" w:color="auto"/>
        <w:bottom w:val="none" w:sz="0" w:space="0" w:color="auto"/>
        <w:right w:val="none" w:sz="0" w:space="0" w:color="auto"/>
      </w:divBdr>
    </w:div>
    <w:div w:id="1374765959">
      <w:marLeft w:val="480"/>
      <w:marRight w:val="0"/>
      <w:marTop w:val="0"/>
      <w:marBottom w:val="0"/>
      <w:divBdr>
        <w:top w:val="none" w:sz="0" w:space="0" w:color="auto"/>
        <w:left w:val="none" w:sz="0" w:space="0" w:color="auto"/>
        <w:bottom w:val="none" w:sz="0" w:space="0" w:color="auto"/>
        <w:right w:val="none" w:sz="0" w:space="0" w:color="auto"/>
      </w:divBdr>
    </w:div>
    <w:div w:id="1380545495">
      <w:marLeft w:val="480"/>
      <w:marRight w:val="0"/>
      <w:marTop w:val="0"/>
      <w:marBottom w:val="0"/>
      <w:divBdr>
        <w:top w:val="none" w:sz="0" w:space="0" w:color="auto"/>
        <w:left w:val="none" w:sz="0" w:space="0" w:color="auto"/>
        <w:bottom w:val="none" w:sz="0" w:space="0" w:color="auto"/>
        <w:right w:val="none" w:sz="0" w:space="0" w:color="auto"/>
      </w:divBdr>
    </w:div>
    <w:div w:id="1436513690">
      <w:marLeft w:val="480"/>
      <w:marRight w:val="0"/>
      <w:marTop w:val="0"/>
      <w:marBottom w:val="0"/>
      <w:divBdr>
        <w:top w:val="none" w:sz="0" w:space="0" w:color="auto"/>
        <w:left w:val="none" w:sz="0" w:space="0" w:color="auto"/>
        <w:bottom w:val="none" w:sz="0" w:space="0" w:color="auto"/>
        <w:right w:val="none" w:sz="0" w:space="0" w:color="auto"/>
      </w:divBdr>
    </w:div>
    <w:div w:id="1516728578">
      <w:marLeft w:val="480"/>
      <w:marRight w:val="0"/>
      <w:marTop w:val="0"/>
      <w:marBottom w:val="0"/>
      <w:divBdr>
        <w:top w:val="none" w:sz="0" w:space="0" w:color="auto"/>
        <w:left w:val="none" w:sz="0" w:space="0" w:color="auto"/>
        <w:bottom w:val="none" w:sz="0" w:space="0" w:color="auto"/>
        <w:right w:val="none" w:sz="0" w:space="0" w:color="auto"/>
      </w:divBdr>
    </w:div>
    <w:div w:id="1552885193">
      <w:marLeft w:val="480"/>
      <w:marRight w:val="0"/>
      <w:marTop w:val="0"/>
      <w:marBottom w:val="0"/>
      <w:divBdr>
        <w:top w:val="none" w:sz="0" w:space="0" w:color="auto"/>
        <w:left w:val="none" w:sz="0" w:space="0" w:color="auto"/>
        <w:bottom w:val="none" w:sz="0" w:space="0" w:color="auto"/>
        <w:right w:val="none" w:sz="0" w:space="0" w:color="auto"/>
      </w:divBdr>
    </w:div>
    <w:div w:id="1804812293">
      <w:marLeft w:val="480"/>
      <w:marRight w:val="0"/>
      <w:marTop w:val="0"/>
      <w:marBottom w:val="0"/>
      <w:divBdr>
        <w:top w:val="none" w:sz="0" w:space="0" w:color="auto"/>
        <w:left w:val="none" w:sz="0" w:space="0" w:color="auto"/>
        <w:bottom w:val="none" w:sz="0" w:space="0" w:color="auto"/>
        <w:right w:val="none" w:sz="0" w:space="0" w:color="auto"/>
      </w:divBdr>
    </w:div>
    <w:div w:id="1890140842">
      <w:marLeft w:val="480"/>
      <w:marRight w:val="0"/>
      <w:marTop w:val="0"/>
      <w:marBottom w:val="0"/>
      <w:divBdr>
        <w:top w:val="none" w:sz="0" w:space="0" w:color="auto"/>
        <w:left w:val="none" w:sz="0" w:space="0" w:color="auto"/>
        <w:bottom w:val="none" w:sz="0" w:space="0" w:color="auto"/>
        <w:right w:val="none" w:sz="0" w:space="0" w:color="auto"/>
      </w:divBdr>
    </w:div>
    <w:div w:id="1915771652">
      <w:marLeft w:val="640"/>
      <w:marRight w:val="0"/>
      <w:marTop w:val="0"/>
      <w:marBottom w:val="0"/>
      <w:divBdr>
        <w:top w:val="none" w:sz="0" w:space="0" w:color="auto"/>
        <w:left w:val="none" w:sz="0" w:space="0" w:color="auto"/>
        <w:bottom w:val="none" w:sz="0" w:space="0" w:color="auto"/>
        <w:right w:val="none" w:sz="0" w:space="0" w:color="auto"/>
      </w:divBdr>
    </w:div>
    <w:div w:id="1939101567">
      <w:marLeft w:val="480"/>
      <w:marRight w:val="0"/>
      <w:marTop w:val="0"/>
      <w:marBottom w:val="0"/>
      <w:divBdr>
        <w:top w:val="none" w:sz="0" w:space="0" w:color="auto"/>
        <w:left w:val="none" w:sz="0" w:space="0" w:color="auto"/>
        <w:bottom w:val="none" w:sz="0" w:space="0" w:color="auto"/>
        <w:right w:val="none" w:sz="0" w:space="0" w:color="auto"/>
      </w:divBdr>
    </w:div>
    <w:div w:id="2040616438">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Layout" Target="diagrams/layout3.xml"/><Relationship Id="rId7" Type="http://schemas.openxmlformats.org/officeDocument/2006/relationships/settings" Target="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numbering" Target="numbering.xml"/><Relationship Id="rId15" Type="http://schemas.openxmlformats.org/officeDocument/2006/relationships/diagramData" Target="diagrams/data2.xml"/><Relationship Id="rId23" Type="http://schemas.openxmlformats.org/officeDocument/2006/relationships/diagramColors" Target="diagrams/colors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customXml" Target="../customXml/item4.xml"/><Relationship Id="rId9" Type="http://schemas.openxmlformats.org/officeDocument/2006/relationships/hyperlink" Target="mailto:nbarbosa@fctic.org" TargetMode="External"/><Relationship Id="rId14" Type="http://schemas.microsoft.com/office/2007/relationships/diagramDrawing" Target="diagrams/drawing1.xml"/><Relationship Id="rId22" Type="http://schemas.openxmlformats.org/officeDocument/2006/relationships/diagramQuickStyle" Target="diagrams/quickStyle3.xm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diagrams/_rels/data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 Id="rId5" Type="http://schemas.openxmlformats.org/officeDocument/2006/relationships/image" Target="../media/image10.png"/><Relationship Id="rId4" Type="http://schemas.openxmlformats.org/officeDocument/2006/relationships/image" Target="../media/image9.png"/></Relationships>
</file>

<file path=word/diagrams/_rels/data3.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jpg"/></Relationships>
</file>

<file path=word/diagram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 Id="rId5" Type="http://schemas.openxmlformats.org/officeDocument/2006/relationships/image" Target="../media/image10.png"/><Relationship Id="rId4" Type="http://schemas.openxmlformats.org/officeDocument/2006/relationships/image" Target="../media/image9.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jpg"/></Relationships>
</file>

<file path=word/diagrams/colors1.xml><?xml version="1.0" encoding="utf-8"?>
<dgm:colorsDef xmlns:dgm="http://schemas.openxmlformats.org/drawingml/2006/diagram" xmlns:a="http://schemas.openxmlformats.org/drawingml/2006/main" uniqueId="urn:microsoft.com/office/officeart/2005/8/colors/accent0_1#10">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12">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3F7E4F-830B-4120-8132-D376397F546F}" type="doc">
      <dgm:prSet loTypeId="urn:microsoft.com/office/officeart/2005/8/layout/hProcess10" loCatId="process" qsTypeId="urn:microsoft.com/office/officeart/2005/8/quickstyle/simple1#10" qsCatId="simple" csTypeId="urn:microsoft.com/office/officeart/2005/8/colors/accent0_1#10" csCatId="mainScheme" phldr="1"/>
      <dgm:spPr/>
      <dgm:t>
        <a:bodyPr/>
        <a:lstStyle/>
        <a:p>
          <a:endParaRPr lang="es-CO"/>
        </a:p>
      </dgm:t>
    </dgm:pt>
    <dgm:pt modelId="{96E41C26-9A66-4C15-B3CB-D652E9BDF3D6}">
      <dgm:prSet phldrT="[Text]"/>
      <dgm:spPr/>
      <dgm:t>
        <a:bodyPr/>
        <a:lstStyle/>
        <a:p>
          <a:pPr algn="r"/>
          <a:r>
            <a:rPr lang="es-CO"/>
            <a:t>Withdraw 2 mL contrast media (300 mg I/mL) with 3 mL syringe</a:t>
          </a:r>
          <a:endParaRPr lang="en-AU"/>
        </a:p>
      </dgm:t>
    </dgm:pt>
    <dgm:pt modelId="{4908A1C1-58D5-4167-9132-CD441524E00C}" type="parTrans" cxnId="{B5E2F6AC-2CEA-4B65-A3C5-A630D67BF12B}">
      <dgm:prSet/>
      <dgm:spPr/>
      <dgm:t>
        <a:bodyPr/>
        <a:lstStyle/>
        <a:p>
          <a:pPr algn="r"/>
          <a:endParaRPr lang="en-AU"/>
        </a:p>
      </dgm:t>
    </dgm:pt>
    <dgm:pt modelId="{4960E63E-3F84-45BB-841C-D46EABCB8F28}" type="sibTrans" cxnId="{B5E2F6AC-2CEA-4B65-A3C5-A630D67BF12B}">
      <dgm:prSet/>
      <dgm:spPr/>
      <dgm:t>
        <a:bodyPr/>
        <a:lstStyle/>
        <a:p>
          <a:pPr algn="r"/>
          <a:endParaRPr lang="en-AU"/>
        </a:p>
      </dgm:t>
    </dgm:pt>
    <dgm:pt modelId="{3BAC3DDC-8F67-4B00-8B3C-640394FAB8A2}">
      <dgm:prSet phldrT="[Text]"/>
      <dgm:spPr/>
      <dgm:t>
        <a:bodyPr/>
        <a:lstStyle/>
        <a:p>
          <a:pPr algn="r"/>
          <a:r>
            <a:rPr lang="es-CO"/>
            <a:t>Transfer to 20 mL syringe; pump plunger for full transfer</a:t>
          </a:r>
          <a:endParaRPr lang="en-AU"/>
        </a:p>
      </dgm:t>
    </dgm:pt>
    <dgm:pt modelId="{66C8570D-C92D-416C-88F4-36B7E96CED1C}" type="parTrans" cxnId="{46CC4871-EBEB-4BBB-AF56-1EFE19A84B54}">
      <dgm:prSet/>
      <dgm:spPr/>
      <dgm:t>
        <a:bodyPr/>
        <a:lstStyle/>
        <a:p>
          <a:pPr algn="r"/>
          <a:endParaRPr lang="en-AU"/>
        </a:p>
      </dgm:t>
    </dgm:pt>
    <dgm:pt modelId="{4E2FCE4B-FDDF-4DEE-B8D0-66C0EB44EDE9}" type="sibTrans" cxnId="{46CC4871-EBEB-4BBB-AF56-1EFE19A84B54}">
      <dgm:prSet/>
      <dgm:spPr/>
      <dgm:t>
        <a:bodyPr/>
        <a:lstStyle/>
        <a:p>
          <a:pPr algn="r"/>
          <a:endParaRPr lang="en-AU"/>
        </a:p>
      </dgm:t>
    </dgm:pt>
    <dgm:pt modelId="{7D5D307D-106D-4CD6-9D81-4AE479657EF6}">
      <dgm:prSet phldrT="[Text]"/>
      <dgm:spPr/>
      <dgm:t>
        <a:bodyPr/>
        <a:lstStyle/>
        <a:p>
          <a:pPr algn="r"/>
          <a:r>
            <a:rPr lang="es-CO"/>
            <a:t>Dilute with sterile water using 10 mL syringe up to 20 mL</a:t>
          </a:r>
          <a:endParaRPr lang="en-AU"/>
        </a:p>
      </dgm:t>
    </dgm:pt>
    <dgm:pt modelId="{04E8081C-8D67-4AD0-B0B2-6A78E295AC1B}" type="parTrans" cxnId="{8ED8523D-3B27-4EE6-94BF-B5BB1179C3F1}">
      <dgm:prSet/>
      <dgm:spPr/>
      <dgm:t>
        <a:bodyPr/>
        <a:lstStyle/>
        <a:p>
          <a:pPr algn="r"/>
          <a:endParaRPr lang="en-AU"/>
        </a:p>
      </dgm:t>
    </dgm:pt>
    <dgm:pt modelId="{E0F07E59-F03E-424F-8DBB-79A73B04B86C}" type="sibTrans" cxnId="{8ED8523D-3B27-4EE6-94BF-B5BB1179C3F1}">
      <dgm:prSet/>
      <dgm:spPr/>
      <dgm:t>
        <a:bodyPr/>
        <a:lstStyle/>
        <a:p>
          <a:pPr algn="r"/>
          <a:endParaRPr lang="en-AU"/>
        </a:p>
      </dgm:t>
    </dgm:pt>
    <dgm:pt modelId="{750F3924-3D8B-4E43-8C24-5932BA8659BA}">
      <dgm:prSet/>
      <dgm:spPr/>
      <dgm:t>
        <a:bodyPr/>
        <a:lstStyle/>
        <a:p>
          <a:pPr algn="r"/>
          <a:r>
            <a:rPr lang="es-CO"/>
            <a:t>Leave a small air bubble and mix gently by slow inversion or rolling</a:t>
          </a:r>
          <a:endParaRPr lang="en-AU"/>
        </a:p>
      </dgm:t>
    </dgm:pt>
    <dgm:pt modelId="{C6BDF1AE-8128-4459-8C97-30F35BED49DF}" type="parTrans" cxnId="{584DF5D5-42F3-4D01-A52D-4B2A578FC347}">
      <dgm:prSet/>
      <dgm:spPr/>
      <dgm:t>
        <a:bodyPr/>
        <a:lstStyle/>
        <a:p>
          <a:pPr algn="r"/>
          <a:endParaRPr lang="en-AU"/>
        </a:p>
      </dgm:t>
    </dgm:pt>
    <dgm:pt modelId="{66360E84-DFF7-4642-A7F1-F0E1AD6EF2C5}" type="sibTrans" cxnId="{584DF5D5-42F3-4D01-A52D-4B2A578FC347}">
      <dgm:prSet/>
      <dgm:spPr/>
      <dgm:t>
        <a:bodyPr/>
        <a:lstStyle/>
        <a:p>
          <a:pPr algn="r"/>
          <a:endParaRPr lang="en-AU"/>
        </a:p>
      </dgm:t>
    </dgm:pt>
    <dgm:pt modelId="{546D8E46-3508-4832-957A-6FB81E34658B}">
      <dgm:prSet/>
      <dgm:spPr/>
      <dgm:t>
        <a:bodyPr/>
        <a:lstStyle/>
        <a:p>
          <a:pPr algn="l">
            <a:buNone/>
          </a:pPr>
          <a:r>
            <a:rPr lang="es-CO"/>
            <a:t>RESULT</a:t>
          </a:r>
        </a:p>
        <a:p>
          <a:pPr algn="l">
            <a:buNone/>
          </a:pPr>
          <a:r>
            <a:rPr lang="es-CO"/>
            <a:t> 30 mg I/mL parent stock solution</a:t>
          </a:r>
          <a:endParaRPr lang="en-AU"/>
        </a:p>
      </dgm:t>
    </dgm:pt>
    <dgm:pt modelId="{E031CD86-B442-4BEF-818E-6F0DEE50E742}" type="parTrans" cxnId="{39EC6410-3A32-41E5-AA91-5F3CCB137612}">
      <dgm:prSet/>
      <dgm:spPr/>
      <dgm:t>
        <a:bodyPr/>
        <a:lstStyle/>
        <a:p>
          <a:endParaRPr lang="es-CO"/>
        </a:p>
      </dgm:t>
    </dgm:pt>
    <dgm:pt modelId="{CBFD6BB0-CF0A-4CED-85FD-35206924649C}" type="sibTrans" cxnId="{39EC6410-3A32-41E5-AA91-5F3CCB137612}">
      <dgm:prSet/>
      <dgm:spPr/>
      <dgm:t>
        <a:bodyPr/>
        <a:lstStyle/>
        <a:p>
          <a:endParaRPr lang="es-CO"/>
        </a:p>
      </dgm:t>
    </dgm:pt>
    <dgm:pt modelId="{E57FD07B-D196-4923-B797-6E8D051BFA37}" type="pres">
      <dgm:prSet presAssocID="{023F7E4F-830B-4120-8132-D376397F546F}" presName="Name0" presStyleCnt="0">
        <dgm:presLayoutVars>
          <dgm:dir/>
          <dgm:resizeHandles val="exact"/>
        </dgm:presLayoutVars>
      </dgm:prSet>
      <dgm:spPr/>
    </dgm:pt>
    <dgm:pt modelId="{1E1448A9-B88C-4448-B95B-E1CF9537B99C}" type="pres">
      <dgm:prSet presAssocID="{96E41C26-9A66-4C15-B3CB-D652E9BDF3D6}" presName="composite" presStyleCnt="0"/>
      <dgm:spPr/>
    </dgm:pt>
    <dgm:pt modelId="{DCE50D4A-5D04-44C0-9233-513AD407EFBF}" type="pres">
      <dgm:prSet presAssocID="{96E41C26-9A66-4C15-B3CB-D652E9BDF3D6}" presName="imagSh" presStyleLbl="bgImgPlace1" presStyleIdx="0" presStyleCnt="5"/>
      <dgm:spPr>
        <a:blipFill rotWithShape="1">
          <a:blip xmlns:r="http://schemas.openxmlformats.org/officeDocument/2006/relationships" r:embed="rId1"/>
          <a:srcRect/>
          <a:stretch>
            <a:fillRect t="-30000" b="-30000"/>
          </a:stretch>
        </a:blipFill>
      </dgm:spPr>
    </dgm:pt>
    <dgm:pt modelId="{A71745EE-40FA-4894-894C-F0A751E8A989}" type="pres">
      <dgm:prSet presAssocID="{96E41C26-9A66-4C15-B3CB-D652E9BDF3D6}" presName="txNode" presStyleLbl="node1" presStyleIdx="0" presStyleCnt="5" custLinFactNeighborX="20123" custLinFactNeighborY="32248">
        <dgm:presLayoutVars>
          <dgm:bulletEnabled val="1"/>
        </dgm:presLayoutVars>
      </dgm:prSet>
      <dgm:spPr/>
    </dgm:pt>
    <dgm:pt modelId="{56D08345-8393-4CD1-938F-06B38E7D07E1}" type="pres">
      <dgm:prSet presAssocID="{4960E63E-3F84-45BB-841C-D46EABCB8F28}" presName="sibTrans" presStyleLbl="sibTrans2D1" presStyleIdx="0" presStyleCnt="4"/>
      <dgm:spPr/>
    </dgm:pt>
    <dgm:pt modelId="{F16343D2-473F-4589-BF67-8CCFF49EAE0A}" type="pres">
      <dgm:prSet presAssocID="{4960E63E-3F84-45BB-841C-D46EABCB8F28}" presName="connTx" presStyleLbl="sibTrans2D1" presStyleIdx="0" presStyleCnt="4"/>
      <dgm:spPr/>
    </dgm:pt>
    <dgm:pt modelId="{A310B944-971C-48C1-9159-0FDE36F49D13}" type="pres">
      <dgm:prSet presAssocID="{3BAC3DDC-8F67-4B00-8B3C-640394FAB8A2}" presName="composite" presStyleCnt="0"/>
      <dgm:spPr/>
    </dgm:pt>
    <dgm:pt modelId="{A73568B0-4BB6-4A44-B768-F5FDA86D9CAD}" type="pres">
      <dgm:prSet presAssocID="{3BAC3DDC-8F67-4B00-8B3C-640394FAB8A2}" presName="imagSh" presStyleLbl="bgImgPlace1" presStyleIdx="1" presStyleCnt="5"/>
      <dgm:spPr>
        <a:blipFill rotWithShape="1">
          <a:blip xmlns:r="http://schemas.openxmlformats.org/officeDocument/2006/relationships" r:embed="rId2"/>
          <a:srcRect/>
          <a:stretch>
            <a:fillRect t="-38000" b="-38000"/>
          </a:stretch>
        </a:blipFill>
      </dgm:spPr>
    </dgm:pt>
    <dgm:pt modelId="{E85993A2-1597-489A-AB63-B6D7FBB5C691}" type="pres">
      <dgm:prSet presAssocID="{3BAC3DDC-8F67-4B00-8B3C-640394FAB8A2}" presName="txNode" presStyleLbl="node1" presStyleIdx="1" presStyleCnt="5" custLinFactNeighborX="10473" custLinFactNeighborY="32248">
        <dgm:presLayoutVars>
          <dgm:bulletEnabled val="1"/>
        </dgm:presLayoutVars>
      </dgm:prSet>
      <dgm:spPr/>
    </dgm:pt>
    <dgm:pt modelId="{B8676DEF-3C30-4DAE-B421-169F7637CF58}" type="pres">
      <dgm:prSet presAssocID="{4E2FCE4B-FDDF-4DEE-B8D0-66C0EB44EDE9}" presName="sibTrans" presStyleLbl="sibTrans2D1" presStyleIdx="1" presStyleCnt="4"/>
      <dgm:spPr/>
    </dgm:pt>
    <dgm:pt modelId="{6476CDE9-86F8-41B6-B6B0-D02FE8361C26}" type="pres">
      <dgm:prSet presAssocID="{4E2FCE4B-FDDF-4DEE-B8D0-66C0EB44EDE9}" presName="connTx" presStyleLbl="sibTrans2D1" presStyleIdx="1" presStyleCnt="4"/>
      <dgm:spPr/>
    </dgm:pt>
    <dgm:pt modelId="{0EF5D88A-7D09-4836-8D1E-3F94EAAE259D}" type="pres">
      <dgm:prSet presAssocID="{7D5D307D-106D-4CD6-9D81-4AE479657EF6}" presName="composite" presStyleCnt="0"/>
      <dgm:spPr/>
    </dgm:pt>
    <dgm:pt modelId="{4D5D9936-6783-4AA4-BC19-A64405FD807F}" type="pres">
      <dgm:prSet presAssocID="{7D5D307D-106D-4CD6-9D81-4AE479657EF6}" presName="imagSh" presStyleLbl="bgImgPlace1" presStyleIdx="2" presStyleCnt="5"/>
      <dgm:spPr>
        <a:blipFill rotWithShape="1">
          <a:blip xmlns:r="http://schemas.openxmlformats.org/officeDocument/2006/relationships" r:embed="rId3"/>
          <a:srcRect/>
          <a:stretch>
            <a:fillRect t="-32000" b="-32000"/>
          </a:stretch>
        </a:blipFill>
      </dgm:spPr>
    </dgm:pt>
    <dgm:pt modelId="{4185DDC0-C3A9-4C94-B9AC-8C953BD8D132}" type="pres">
      <dgm:prSet presAssocID="{7D5D307D-106D-4CD6-9D81-4AE479657EF6}" presName="txNode" presStyleLbl="node1" presStyleIdx="2" presStyleCnt="5" custLinFactNeighborX="12938" custLinFactNeighborY="32248">
        <dgm:presLayoutVars>
          <dgm:bulletEnabled val="1"/>
        </dgm:presLayoutVars>
      </dgm:prSet>
      <dgm:spPr/>
    </dgm:pt>
    <dgm:pt modelId="{3AD5EE02-6352-43CD-BDC5-F0000368F5EA}" type="pres">
      <dgm:prSet presAssocID="{E0F07E59-F03E-424F-8DBB-79A73B04B86C}" presName="sibTrans" presStyleLbl="sibTrans2D1" presStyleIdx="2" presStyleCnt="4"/>
      <dgm:spPr/>
    </dgm:pt>
    <dgm:pt modelId="{1FD487A6-B26B-406D-B6C9-97C3DD8531B4}" type="pres">
      <dgm:prSet presAssocID="{E0F07E59-F03E-424F-8DBB-79A73B04B86C}" presName="connTx" presStyleLbl="sibTrans2D1" presStyleIdx="2" presStyleCnt="4"/>
      <dgm:spPr/>
    </dgm:pt>
    <dgm:pt modelId="{5A3FC204-39F5-4238-BEBD-C29FAFE74AD9}" type="pres">
      <dgm:prSet presAssocID="{750F3924-3D8B-4E43-8C24-5932BA8659BA}" presName="composite" presStyleCnt="0"/>
      <dgm:spPr/>
    </dgm:pt>
    <dgm:pt modelId="{E80F67B5-D775-4D9A-82D2-C342181ABE29}" type="pres">
      <dgm:prSet presAssocID="{750F3924-3D8B-4E43-8C24-5932BA8659BA}" presName="imagSh" presStyleLbl="bgImgPlace1" presStyleIdx="3" presStyleCnt="5"/>
      <dgm:spPr>
        <a:blipFill rotWithShape="1">
          <a:blip xmlns:r="http://schemas.openxmlformats.org/officeDocument/2006/relationships" r:embed="rId4"/>
          <a:srcRect/>
          <a:stretch>
            <a:fillRect t="-25000" b="-25000"/>
          </a:stretch>
        </a:blipFill>
      </dgm:spPr>
    </dgm:pt>
    <dgm:pt modelId="{26342ABF-46FC-4E4A-9F70-518D623654A1}" type="pres">
      <dgm:prSet presAssocID="{750F3924-3D8B-4E43-8C24-5932BA8659BA}" presName="txNode" presStyleLbl="node1" presStyleIdx="3" presStyleCnt="5" custLinFactNeighborX="15402" custLinFactNeighborY="32248">
        <dgm:presLayoutVars>
          <dgm:bulletEnabled val="1"/>
        </dgm:presLayoutVars>
      </dgm:prSet>
      <dgm:spPr/>
    </dgm:pt>
    <dgm:pt modelId="{30CDD8E0-A192-4CB7-A3BF-5808F677587F}" type="pres">
      <dgm:prSet presAssocID="{66360E84-DFF7-4642-A7F1-F0E1AD6EF2C5}" presName="sibTrans" presStyleLbl="sibTrans2D1" presStyleIdx="3" presStyleCnt="4"/>
      <dgm:spPr/>
    </dgm:pt>
    <dgm:pt modelId="{82BD7892-DAB8-408A-8CCE-FE724DE47A06}" type="pres">
      <dgm:prSet presAssocID="{66360E84-DFF7-4642-A7F1-F0E1AD6EF2C5}" presName="connTx" presStyleLbl="sibTrans2D1" presStyleIdx="3" presStyleCnt="4"/>
      <dgm:spPr/>
    </dgm:pt>
    <dgm:pt modelId="{AD1560C9-52EA-4F2A-9D93-EDF0597EB43A}" type="pres">
      <dgm:prSet presAssocID="{546D8E46-3508-4832-957A-6FB81E34658B}" presName="composite" presStyleCnt="0"/>
      <dgm:spPr/>
    </dgm:pt>
    <dgm:pt modelId="{76F69F84-6693-4989-BECA-901BBBEADAB0}" type="pres">
      <dgm:prSet presAssocID="{546D8E46-3508-4832-957A-6FB81E34658B}" presName="imagSh" presStyleLbl="bgImgPlace1" presStyleIdx="4" presStyleCnt="5"/>
      <dgm:spPr>
        <a:blipFill rotWithShape="1">
          <a:blip xmlns:r="http://schemas.openxmlformats.org/officeDocument/2006/relationships" r:embed="rId5"/>
          <a:srcRect/>
          <a:stretch>
            <a:fillRect t="-17000" b="-17000"/>
          </a:stretch>
        </a:blipFill>
      </dgm:spPr>
    </dgm:pt>
    <dgm:pt modelId="{4C122142-0368-437C-9368-99F0A4A94649}" type="pres">
      <dgm:prSet presAssocID="{546D8E46-3508-4832-957A-6FB81E34658B}" presName="txNode" presStyleLbl="node1" presStyleIdx="4" presStyleCnt="5" custLinFactNeighborX="17251" custLinFactNeighborY="28526">
        <dgm:presLayoutVars>
          <dgm:bulletEnabled val="1"/>
        </dgm:presLayoutVars>
      </dgm:prSet>
      <dgm:spPr/>
    </dgm:pt>
  </dgm:ptLst>
  <dgm:cxnLst>
    <dgm:cxn modelId="{39EC6410-3A32-41E5-AA91-5F3CCB137612}" srcId="{023F7E4F-830B-4120-8132-D376397F546F}" destId="{546D8E46-3508-4832-957A-6FB81E34658B}" srcOrd="4" destOrd="0" parTransId="{E031CD86-B442-4BEF-818E-6F0DEE50E742}" sibTransId="{CBFD6BB0-CF0A-4CED-85FD-35206924649C}"/>
    <dgm:cxn modelId="{A7CFFE11-8444-4EB0-AB05-7F5203ED7976}" type="presOf" srcId="{3BAC3DDC-8F67-4B00-8B3C-640394FAB8A2}" destId="{E85993A2-1597-489A-AB63-B6D7FBB5C691}" srcOrd="0" destOrd="0" presId="urn:microsoft.com/office/officeart/2005/8/layout/hProcess10"/>
    <dgm:cxn modelId="{4A69E32B-77EA-4472-B01F-E9B063934ACF}" type="presOf" srcId="{E0F07E59-F03E-424F-8DBB-79A73B04B86C}" destId="{3AD5EE02-6352-43CD-BDC5-F0000368F5EA}" srcOrd="0" destOrd="0" presId="urn:microsoft.com/office/officeart/2005/8/layout/hProcess10"/>
    <dgm:cxn modelId="{8ED8523D-3B27-4EE6-94BF-B5BB1179C3F1}" srcId="{023F7E4F-830B-4120-8132-D376397F546F}" destId="{7D5D307D-106D-4CD6-9D81-4AE479657EF6}" srcOrd="2" destOrd="0" parTransId="{04E8081C-8D67-4AD0-B0B2-6A78E295AC1B}" sibTransId="{E0F07E59-F03E-424F-8DBB-79A73B04B86C}"/>
    <dgm:cxn modelId="{1A48965E-4CA6-4644-868D-33A7D8294089}" type="presOf" srcId="{4960E63E-3F84-45BB-841C-D46EABCB8F28}" destId="{F16343D2-473F-4589-BF67-8CCFF49EAE0A}" srcOrd="1" destOrd="0" presId="urn:microsoft.com/office/officeart/2005/8/layout/hProcess10"/>
    <dgm:cxn modelId="{61BEE241-9641-4863-ACAA-842E0A55825C}" type="presOf" srcId="{023F7E4F-830B-4120-8132-D376397F546F}" destId="{E57FD07B-D196-4923-B797-6E8D051BFA37}" srcOrd="0" destOrd="0" presId="urn:microsoft.com/office/officeart/2005/8/layout/hProcess10"/>
    <dgm:cxn modelId="{46CC4871-EBEB-4BBB-AF56-1EFE19A84B54}" srcId="{023F7E4F-830B-4120-8132-D376397F546F}" destId="{3BAC3DDC-8F67-4B00-8B3C-640394FAB8A2}" srcOrd="1" destOrd="0" parTransId="{66C8570D-C92D-416C-88F4-36B7E96CED1C}" sibTransId="{4E2FCE4B-FDDF-4DEE-B8D0-66C0EB44EDE9}"/>
    <dgm:cxn modelId="{72129179-44CE-4329-B766-08CD072EB9F8}" type="presOf" srcId="{96E41C26-9A66-4C15-B3CB-D652E9BDF3D6}" destId="{A71745EE-40FA-4894-894C-F0A751E8A989}" srcOrd="0" destOrd="0" presId="urn:microsoft.com/office/officeart/2005/8/layout/hProcess10"/>
    <dgm:cxn modelId="{6167F87C-005F-4C73-BD3A-24399EBFAF78}" type="presOf" srcId="{7D5D307D-106D-4CD6-9D81-4AE479657EF6}" destId="{4185DDC0-C3A9-4C94-B9AC-8C953BD8D132}" srcOrd="0" destOrd="0" presId="urn:microsoft.com/office/officeart/2005/8/layout/hProcess10"/>
    <dgm:cxn modelId="{8901447F-6A24-4252-9081-3CDA7B60BC4D}" type="presOf" srcId="{4960E63E-3F84-45BB-841C-D46EABCB8F28}" destId="{56D08345-8393-4CD1-938F-06B38E7D07E1}" srcOrd="0" destOrd="0" presId="urn:microsoft.com/office/officeart/2005/8/layout/hProcess10"/>
    <dgm:cxn modelId="{66BD008A-570F-462E-BF40-166F3F0D19F8}" type="presOf" srcId="{E0F07E59-F03E-424F-8DBB-79A73B04B86C}" destId="{1FD487A6-B26B-406D-B6C9-97C3DD8531B4}" srcOrd="1" destOrd="0" presId="urn:microsoft.com/office/officeart/2005/8/layout/hProcess10"/>
    <dgm:cxn modelId="{140BC096-43E6-4B31-AFBD-C2B3D58363A2}" type="presOf" srcId="{4E2FCE4B-FDDF-4DEE-B8D0-66C0EB44EDE9}" destId="{B8676DEF-3C30-4DAE-B421-169F7637CF58}" srcOrd="0" destOrd="0" presId="urn:microsoft.com/office/officeart/2005/8/layout/hProcess10"/>
    <dgm:cxn modelId="{3D4FED99-D235-4B13-A4D4-A6BB9A2757EE}" type="presOf" srcId="{750F3924-3D8B-4E43-8C24-5932BA8659BA}" destId="{26342ABF-46FC-4E4A-9F70-518D623654A1}" srcOrd="0" destOrd="0" presId="urn:microsoft.com/office/officeart/2005/8/layout/hProcess10"/>
    <dgm:cxn modelId="{B5E2F6AC-2CEA-4B65-A3C5-A630D67BF12B}" srcId="{023F7E4F-830B-4120-8132-D376397F546F}" destId="{96E41C26-9A66-4C15-B3CB-D652E9BDF3D6}" srcOrd="0" destOrd="0" parTransId="{4908A1C1-58D5-4167-9132-CD441524E00C}" sibTransId="{4960E63E-3F84-45BB-841C-D46EABCB8F28}"/>
    <dgm:cxn modelId="{F11667C5-16CC-426C-A746-8EDEC22E0A60}" type="presOf" srcId="{66360E84-DFF7-4642-A7F1-F0E1AD6EF2C5}" destId="{82BD7892-DAB8-408A-8CCE-FE724DE47A06}" srcOrd="1" destOrd="0" presId="urn:microsoft.com/office/officeart/2005/8/layout/hProcess10"/>
    <dgm:cxn modelId="{584DF5D5-42F3-4D01-A52D-4B2A578FC347}" srcId="{023F7E4F-830B-4120-8132-D376397F546F}" destId="{750F3924-3D8B-4E43-8C24-5932BA8659BA}" srcOrd="3" destOrd="0" parTransId="{C6BDF1AE-8128-4459-8C97-30F35BED49DF}" sibTransId="{66360E84-DFF7-4642-A7F1-F0E1AD6EF2C5}"/>
    <dgm:cxn modelId="{FE0504DE-4FA2-4974-AD6A-3913F8E736B0}" type="presOf" srcId="{66360E84-DFF7-4642-A7F1-F0E1AD6EF2C5}" destId="{30CDD8E0-A192-4CB7-A3BF-5808F677587F}" srcOrd="0" destOrd="0" presId="urn:microsoft.com/office/officeart/2005/8/layout/hProcess10"/>
    <dgm:cxn modelId="{46242FE7-6DA2-4132-9DEA-CC52996A6CA1}" type="presOf" srcId="{4E2FCE4B-FDDF-4DEE-B8D0-66C0EB44EDE9}" destId="{6476CDE9-86F8-41B6-B6B0-D02FE8361C26}" srcOrd="1" destOrd="0" presId="urn:microsoft.com/office/officeart/2005/8/layout/hProcess10"/>
    <dgm:cxn modelId="{D291C5E7-9739-4FAA-86EA-E252AE2C817C}" type="presOf" srcId="{546D8E46-3508-4832-957A-6FB81E34658B}" destId="{4C122142-0368-437C-9368-99F0A4A94649}" srcOrd="0" destOrd="0" presId="urn:microsoft.com/office/officeart/2005/8/layout/hProcess10"/>
    <dgm:cxn modelId="{002C37EA-C2C5-4CE2-B45B-7DAC8A781E9E}" type="presParOf" srcId="{E57FD07B-D196-4923-B797-6E8D051BFA37}" destId="{1E1448A9-B88C-4448-B95B-E1CF9537B99C}" srcOrd="0" destOrd="0" presId="urn:microsoft.com/office/officeart/2005/8/layout/hProcess10"/>
    <dgm:cxn modelId="{B9D9EF3B-8A9E-4A36-B423-1CF2F1682A0F}" type="presParOf" srcId="{1E1448A9-B88C-4448-B95B-E1CF9537B99C}" destId="{DCE50D4A-5D04-44C0-9233-513AD407EFBF}" srcOrd="0" destOrd="0" presId="urn:microsoft.com/office/officeart/2005/8/layout/hProcess10"/>
    <dgm:cxn modelId="{7DB5209F-8E27-4A3F-B664-62E728989EAA}" type="presParOf" srcId="{1E1448A9-B88C-4448-B95B-E1CF9537B99C}" destId="{A71745EE-40FA-4894-894C-F0A751E8A989}" srcOrd="1" destOrd="0" presId="urn:microsoft.com/office/officeart/2005/8/layout/hProcess10"/>
    <dgm:cxn modelId="{783694D8-D184-4EA0-A4A0-F53529CB0101}" type="presParOf" srcId="{E57FD07B-D196-4923-B797-6E8D051BFA37}" destId="{56D08345-8393-4CD1-938F-06B38E7D07E1}" srcOrd="1" destOrd="0" presId="urn:microsoft.com/office/officeart/2005/8/layout/hProcess10"/>
    <dgm:cxn modelId="{E222C6A4-A688-4ABB-9E35-C06B0C137686}" type="presParOf" srcId="{56D08345-8393-4CD1-938F-06B38E7D07E1}" destId="{F16343D2-473F-4589-BF67-8CCFF49EAE0A}" srcOrd="0" destOrd="0" presId="urn:microsoft.com/office/officeart/2005/8/layout/hProcess10"/>
    <dgm:cxn modelId="{A1459979-3858-4E6C-8701-6158F7637803}" type="presParOf" srcId="{E57FD07B-D196-4923-B797-6E8D051BFA37}" destId="{A310B944-971C-48C1-9159-0FDE36F49D13}" srcOrd="2" destOrd="0" presId="urn:microsoft.com/office/officeart/2005/8/layout/hProcess10"/>
    <dgm:cxn modelId="{356F1507-D550-4294-A6A6-B0CFC9971C74}" type="presParOf" srcId="{A310B944-971C-48C1-9159-0FDE36F49D13}" destId="{A73568B0-4BB6-4A44-B768-F5FDA86D9CAD}" srcOrd="0" destOrd="0" presId="urn:microsoft.com/office/officeart/2005/8/layout/hProcess10"/>
    <dgm:cxn modelId="{6A9CB967-2635-49E7-822D-61ECB24CAB6A}" type="presParOf" srcId="{A310B944-971C-48C1-9159-0FDE36F49D13}" destId="{E85993A2-1597-489A-AB63-B6D7FBB5C691}" srcOrd="1" destOrd="0" presId="urn:microsoft.com/office/officeart/2005/8/layout/hProcess10"/>
    <dgm:cxn modelId="{3134972B-12FE-4B41-B6DD-A334871C9720}" type="presParOf" srcId="{E57FD07B-D196-4923-B797-6E8D051BFA37}" destId="{B8676DEF-3C30-4DAE-B421-169F7637CF58}" srcOrd="3" destOrd="0" presId="urn:microsoft.com/office/officeart/2005/8/layout/hProcess10"/>
    <dgm:cxn modelId="{B377A04B-4F0B-4DED-86FA-D4B24D7CCD19}" type="presParOf" srcId="{B8676DEF-3C30-4DAE-B421-169F7637CF58}" destId="{6476CDE9-86F8-41B6-B6B0-D02FE8361C26}" srcOrd="0" destOrd="0" presId="urn:microsoft.com/office/officeart/2005/8/layout/hProcess10"/>
    <dgm:cxn modelId="{BAC242B2-ED3F-4812-920F-496C5A5E5A3E}" type="presParOf" srcId="{E57FD07B-D196-4923-B797-6E8D051BFA37}" destId="{0EF5D88A-7D09-4836-8D1E-3F94EAAE259D}" srcOrd="4" destOrd="0" presId="urn:microsoft.com/office/officeart/2005/8/layout/hProcess10"/>
    <dgm:cxn modelId="{E9FE6C1D-472B-478B-B584-DB450C63A533}" type="presParOf" srcId="{0EF5D88A-7D09-4836-8D1E-3F94EAAE259D}" destId="{4D5D9936-6783-4AA4-BC19-A64405FD807F}" srcOrd="0" destOrd="0" presId="urn:microsoft.com/office/officeart/2005/8/layout/hProcess10"/>
    <dgm:cxn modelId="{DB6A0E6D-3633-4A22-A2A1-6EB030E7EB5B}" type="presParOf" srcId="{0EF5D88A-7D09-4836-8D1E-3F94EAAE259D}" destId="{4185DDC0-C3A9-4C94-B9AC-8C953BD8D132}" srcOrd="1" destOrd="0" presId="urn:microsoft.com/office/officeart/2005/8/layout/hProcess10"/>
    <dgm:cxn modelId="{AB847B44-FC70-4B9A-96D3-DBB4EC91A4B8}" type="presParOf" srcId="{E57FD07B-D196-4923-B797-6E8D051BFA37}" destId="{3AD5EE02-6352-43CD-BDC5-F0000368F5EA}" srcOrd="5" destOrd="0" presId="urn:microsoft.com/office/officeart/2005/8/layout/hProcess10"/>
    <dgm:cxn modelId="{4524AB0D-9E31-47E7-B6DE-A050920E2BED}" type="presParOf" srcId="{3AD5EE02-6352-43CD-BDC5-F0000368F5EA}" destId="{1FD487A6-B26B-406D-B6C9-97C3DD8531B4}" srcOrd="0" destOrd="0" presId="urn:microsoft.com/office/officeart/2005/8/layout/hProcess10"/>
    <dgm:cxn modelId="{6FCB16F4-B2E0-4982-B79A-FD479BF7D2F8}" type="presParOf" srcId="{E57FD07B-D196-4923-B797-6E8D051BFA37}" destId="{5A3FC204-39F5-4238-BEBD-C29FAFE74AD9}" srcOrd="6" destOrd="0" presId="urn:microsoft.com/office/officeart/2005/8/layout/hProcess10"/>
    <dgm:cxn modelId="{4EC6AD42-6883-4D20-9854-A99DA8489D76}" type="presParOf" srcId="{5A3FC204-39F5-4238-BEBD-C29FAFE74AD9}" destId="{E80F67B5-D775-4D9A-82D2-C342181ABE29}" srcOrd="0" destOrd="0" presId="urn:microsoft.com/office/officeart/2005/8/layout/hProcess10"/>
    <dgm:cxn modelId="{E82CCDB3-F899-42FC-A9D6-516F0BBE3BE7}" type="presParOf" srcId="{5A3FC204-39F5-4238-BEBD-C29FAFE74AD9}" destId="{26342ABF-46FC-4E4A-9F70-518D623654A1}" srcOrd="1" destOrd="0" presId="urn:microsoft.com/office/officeart/2005/8/layout/hProcess10"/>
    <dgm:cxn modelId="{50B24F4F-35D7-47F5-81BB-0B2ED1B88DCD}" type="presParOf" srcId="{E57FD07B-D196-4923-B797-6E8D051BFA37}" destId="{30CDD8E0-A192-4CB7-A3BF-5808F677587F}" srcOrd="7" destOrd="0" presId="urn:microsoft.com/office/officeart/2005/8/layout/hProcess10"/>
    <dgm:cxn modelId="{14BC36B6-FF52-4031-92FA-244979B59677}" type="presParOf" srcId="{30CDD8E0-A192-4CB7-A3BF-5808F677587F}" destId="{82BD7892-DAB8-408A-8CCE-FE724DE47A06}" srcOrd="0" destOrd="0" presId="urn:microsoft.com/office/officeart/2005/8/layout/hProcess10"/>
    <dgm:cxn modelId="{A87950F0-940B-41E3-B68A-915F6DE7FFA1}" type="presParOf" srcId="{E57FD07B-D196-4923-B797-6E8D051BFA37}" destId="{AD1560C9-52EA-4F2A-9D93-EDF0597EB43A}" srcOrd="8" destOrd="0" presId="urn:microsoft.com/office/officeart/2005/8/layout/hProcess10"/>
    <dgm:cxn modelId="{F0EF653D-CC21-43A5-A187-2AD7BBD97FAE}" type="presParOf" srcId="{AD1560C9-52EA-4F2A-9D93-EDF0597EB43A}" destId="{76F69F84-6693-4989-BECA-901BBBEADAB0}" srcOrd="0" destOrd="0" presId="urn:microsoft.com/office/officeart/2005/8/layout/hProcess10"/>
    <dgm:cxn modelId="{0E41B790-1E19-42FC-981D-D20719FBAB7F}" type="presParOf" srcId="{AD1560C9-52EA-4F2A-9D93-EDF0597EB43A}" destId="{4C122142-0368-437C-9368-99F0A4A94649}" srcOrd="1" destOrd="0" presId="urn:microsoft.com/office/officeart/2005/8/layout/hProcess10"/>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23F7E4F-830B-4120-8132-D376397F546F}" type="doc">
      <dgm:prSet loTypeId="urn:microsoft.com/office/officeart/2005/8/layout/hProcess10" loCatId="process" qsTypeId="urn:microsoft.com/office/officeart/2005/8/quickstyle/simple1#11" qsCatId="simple" csTypeId="urn:microsoft.com/office/officeart/2005/8/colors/accent0_1#11" csCatId="mainScheme" phldr="1"/>
      <dgm:spPr/>
      <dgm:t>
        <a:bodyPr/>
        <a:lstStyle/>
        <a:p>
          <a:endParaRPr lang="es-CO"/>
        </a:p>
      </dgm:t>
    </dgm:pt>
    <dgm:pt modelId="{96E41C26-9A66-4C15-B3CB-D652E9BDF3D6}">
      <dgm:prSet phldrT="[Text]" custT="1"/>
      <dgm:spPr/>
      <dgm:t>
        <a:bodyPr/>
        <a:lstStyle/>
        <a:p>
          <a:pPr algn="r"/>
          <a:r>
            <a:rPr lang="en-US" sz="800" dirty="0"/>
            <a:t>Draw the required stock volume using a 3 mL syringe</a:t>
          </a:r>
          <a:endParaRPr lang="en-AU" sz="800"/>
        </a:p>
      </dgm:t>
    </dgm:pt>
    <dgm:pt modelId="{4908A1C1-58D5-4167-9132-CD441524E00C}" type="parTrans" cxnId="{B5E2F6AC-2CEA-4B65-A3C5-A630D67BF12B}">
      <dgm:prSet/>
      <dgm:spPr/>
      <dgm:t>
        <a:bodyPr/>
        <a:lstStyle/>
        <a:p>
          <a:pPr algn="r"/>
          <a:endParaRPr lang="en-AU"/>
        </a:p>
      </dgm:t>
    </dgm:pt>
    <dgm:pt modelId="{4960E63E-3F84-45BB-841C-D46EABCB8F28}" type="sibTrans" cxnId="{B5E2F6AC-2CEA-4B65-A3C5-A630D67BF12B}">
      <dgm:prSet/>
      <dgm:spPr/>
      <dgm:t>
        <a:bodyPr/>
        <a:lstStyle/>
        <a:p>
          <a:pPr algn="r"/>
          <a:endParaRPr lang="en-AU"/>
        </a:p>
      </dgm:t>
    </dgm:pt>
    <dgm:pt modelId="{3BAC3DDC-8F67-4B00-8B3C-640394FAB8A2}">
      <dgm:prSet phldrT="[Text]" custT="1"/>
      <dgm:spPr/>
      <dgm:t>
        <a:bodyPr/>
        <a:lstStyle/>
        <a:p>
          <a:pPr algn="r"/>
          <a:r>
            <a:rPr lang="en-US" sz="800" dirty="0"/>
            <a:t>Dispense slowly into the </a:t>
          </a:r>
          <a:r>
            <a:rPr lang="en-US" sz="800" dirty="0" err="1"/>
            <a:t>Perspex</a:t>
          </a:r>
          <a:r>
            <a:rPr lang="en-US" sz="800" dirty="0"/>
            <a:t> tube, moving the plunger to release all iodine.</a:t>
          </a:r>
          <a:endParaRPr lang="en-AU" sz="800"/>
        </a:p>
      </dgm:t>
    </dgm:pt>
    <dgm:pt modelId="{66C8570D-C92D-416C-88F4-36B7E96CED1C}" type="parTrans" cxnId="{46CC4871-EBEB-4BBB-AF56-1EFE19A84B54}">
      <dgm:prSet/>
      <dgm:spPr/>
      <dgm:t>
        <a:bodyPr/>
        <a:lstStyle/>
        <a:p>
          <a:pPr algn="r"/>
          <a:endParaRPr lang="en-AU"/>
        </a:p>
      </dgm:t>
    </dgm:pt>
    <dgm:pt modelId="{4E2FCE4B-FDDF-4DEE-B8D0-66C0EB44EDE9}" type="sibTrans" cxnId="{46CC4871-EBEB-4BBB-AF56-1EFE19A84B54}">
      <dgm:prSet/>
      <dgm:spPr/>
      <dgm:t>
        <a:bodyPr/>
        <a:lstStyle/>
        <a:p>
          <a:pPr algn="r"/>
          <a:endParaRPr lang="en-AU"/>
        </a:p>
      </dgm:t>
    </dgm:pt>
    <dgm:pt modelId="{7D5D307D-106D-4CD6-9D81-4AE479657EF6}">
      <dgm:prSet phldrT="[Text]"/>
      <dgm:spPr/>
      <dgm:t>
        <a:bodyPr/>
        <a:lstStyle/>
        <a:p>
          <a:pPr algn="r"/>
          <a:r>
            <a:rPr lang="en-US" dirty="0"/>
            <a:t>Add sterile water up to 14 mL total using a new 20 mL syringe</a:t>
          </a:r>
          <a:endParaRPr lang="en-AU"/>
        </a:p>
      </dgm:t>
    </dgm:pt>
    <dgm:pt modelId="{04E8081C-8D67-4AD0-B0B2-6A78E295AC1B}" type="parTrans" cxnId="{8ED8523D-3B27-4EE6-94BF-B5BB1179C3F1}">
      <dgm:prSet/>
      <dgm:spPr/>
      <dgm:t>
        <a:bodyPr/>
        <a:lstStyle/>
        <a:p>
          <a:pPr algn="r"/>
          <a:endParaRPr lang="en-AU"/>
        </a:p>
      </dgm:t>
    </dgm:pt>
    <dgm:pt modelId="{E0F07E59-F03E-424F-8DBB-79A73B04B86C}" type="sibTrans" cxnId="{8ED8523D-3B27-4EE6-94BF-B5BB1179C3F1}">
      <dgm:prSet/>
      <dgm:spPr/>
      <dgm:t>
        <a:bodyPr/>
        <a:lstStyle/>
        <a:p>
          <a:pPr algn="r"/>
          <a:endParaRPr lang="en-AU"/>
        </a:p>
      </dgm:t>
    </dgm:pt>
    <dgm:pt modelId="{750F3924-3D8B-4E43-8C24-5932BA8659BA}">
      <dgm:prSet/>
      <dgm:spPr/>
      <dgm:t>
        <a:bodyPr/>
        <a:lstStyle/>
        <a:p>
          <a:pPr algn="r"/>
          <a:r>
            <a:rPr lang="es-CO"/>
            <a:t>Leave a small air bubble &amp; shake gently to homogenize</a:t>
          </a:r>
          <a:endParaRPr lang="en-AU"/>
        </a:p>
      </dgm:t>
    </dgm:pt>
    <dgm:pt modelId="{C6BDF1AE-8128-4459-8C97-30F35BED49DF}" type="parTrans" cxnId="{584DF5D5-42F3-4D01-A52D-4B2A578FC347}">
      <dgm:prSet/>
      <dgm:spPr/>
      <dgm:t>
        <a:bodyPr/>
        <a:lstStyle/>
        <a:p>
          <a:pPr algn="r"/>
          <a:endParaRPr lang="en-AU"/>
        </a:p>
      </dgm:t>
    </dgm:pt>
    <dgm:pt modelId="{66360E84-DFF7-4642-A7F1-F0E1AD6EF2C5}" type="sibTrans" cxnId="{584DF5D5-42F3-4D01-A52D-4B2A578FC347}">
      <dgm:prSet/>
      <dgm:spPr/>
      <dgm:t>
        <a:bodyPr/>
        <a:lstStyle/>
        <a:p>
          <a:pPr algn="r"/>
          <a:endParaRPr lang="en-AU"/>
        </a:p>
      </dgm:t>
    </dgm:pt>
    <dgm:pt modelId="{546D8E46-3508-4832-957A-6FB81E34658B}">
      <dgm:prSet/>
      <dgm:spPr/>
      <dgm:t>
        <a:bodyPr/>
        <a:lstStyle/>
        <a:p>
          <a:pPr algn="r">
            <a:buNone/>
          </a:pPr>
          <a:r>
            <a:rPr lang="en-US" dirty="0"/>
            <a:t>Label each tube with its final concentration</a:t>
          </a:r>
          <a:endParaRPr lang="en-AU"/>
        </a:p>
      </dgm:t>
    </dgm:pt>
    <dgm:pt modelId="{E031CD86-B442-4BEF-818E-6F0DEE50E742}" type="parTrans" cxnId="{39EC6410-3A32-41E5-AA91-5F3CCB137612}">
      <dgm:prSet/>
      <dgm:spPr/>
      <dgm:t>
        <a:bodyPr/>
        <a:lstStyle/>
        <a:p>
          <a:endParaRPr lang="es-CO"/>
        </a:p>
      </dgm:t>
    </dgm:pt>
    <dgm:pt modelId="{CBFD6BB0-CF0A-4CED-85FD-35206924649C}" type="sibTrans" cxnId="{39EC6410-3A32-41E5-AA91-5F3CCB137612}">
      <dgm:prSet/>
      <dgm:spPr/>
      <dgm:t>
        <a:bodyPr/>
        <a:lstStyle/>
        <a:p>
          <a:endParaRPr lang="es-CO"/>
        </a:p>
      </dgm:t>
    </dgm:pt>
    <dgm:pt modelId="{E57FD07B-D196-4923-B797-6E8D051BFA37}" type="pres">
      <dgm:prSet presAssocID="{023F7E4F-830B-4120-8132-D376397F546F}" presName="Name0" presStyleCnt="0">
        <dgm:presLayoutVars>
          <dgm:dir/>
          <dgm:resizeHandles val="exact"/>
        </dgm:presLayoutVars>
      </dgm:prSet>
      <dgm:spPr/>
    </dgm:pt>
    <dgm:pt modelId="{1E1448A9-B88C-4448-B95B-E1CF9537B99C}" type="pres">
      <dgm:prSet presAssocID="{96E41C26-9A66-4C15-B3CB-D652E9BDF3D6}" presName="composite" presStyleCnt="0"/>
      <dgm:spPr/>
    </dgm:pt>
    <dgm:pt modelId="{DCE50D4A-5D04-44C0-9233-513AD407EFBF}" type="pres">
      <dgm:prSet presAssocID="{96E41C26-9A66-4C15-B3CB-D652E9BDF3D6}" presName="imagSh" presStyleLbl="bgImgPlace1" presStyleIdx="0" presStyleCnt="5"/>
      <dgm:spPr>
        <a:blipFill rotWithShape="1">
          <a:blip xmlns:r="http://schemas.openxmlformats.org/officeDocument/2006/relationships" r:embed="rId1"/>
          <a:srcRect/>
          <a:stretch>
            <a:fillRect t="-17000" b="-17000"/>
          </a:stretch>
        </a:blipFill>
      </dgm:spPr>
    </dgm:pt>
    <dgm:pt modelId="{A71745EE-40FA-4894-894C-F0A751E8A989}" type="pres">
      <dgm:prSet presAssocID="{96E41C26-9A66-4C15-B3CB-D652E9BDF3D6}" presName="txNode" presStyleLbl="node1" presStyleIdx="0" presStyleCnt="5" custLinFactNeighborX="20123" custLinFactNeighborY="32248">
        <dgm:presLayoutVars>
          <dgm:bulletEnabled val="1"/>
        </dgm:presLayoutVars>
      </dgm:prSet>
      <dgm:spPr/>
    </dgm:pt>
    <dgm:pt modelId="{56D08345-8393-4CD1-938F-06B38E7D07E1}" type="pres">
      <dgm:prSet presAssocID="{4960E63E-3F84-45BB-841C-D46EABCB8F28}" presName="sibTrans" presStyleLbl="sibTrans2D1" presStyleIdx="0" presStyleCnt="4"/>
      <dgm:spPr/>
    </dgm:pt>
    <dgm:pt modelId="{F16343D2-473F-4589-BF67-8CCFF49EAE0A}" type="pres">
      <dgm:prSet presAssocID="{4960E63E-3F84-45BB-841C-D46EABCB8F28}" presName="connTx" presStyleLbl="sibTrans2D1" presStyleIdx="0" presStyleCnt="4"/>
      <dgm:spPr/>
    </dgm:pt>
    <dgm:pt modelId="{A310B944-971C-48C1-9159-0FDE36F49D13}" type="pres">
      <dgm:prSet presAssocID="{3BAC3DDC-8F67-4B00-8B3C-640394FAB8A2}" presName="composite" presStyleCnt="0"/>
      <dgm:spPr/>
    </dgm:pt>
    <dgm:pt modelId="{A73568B0-4BB6-4A44-B768-F5FDA86D9CAD}" type="pres">
      <dgm:prSet presAssocID="{3BAC3DDC-8F67-4B00-8B3C-640394FAB8A2}" presName="imagSh" presStyleLbl="bgImgPlace1" presStyleIdx="1" presStyleCnt="5"/>
      <dgm:spPr>
        <a:blipFill rotWithShape="1">
          <a:blip xmlns:r="http://schemas.openxmlformats.org/officeDocument/2006/relationships" r:embed="rId2"/>
          <a:srcRect/>
          <a:stretch>
            <a:fillRect t="-27000" b="-27000"/>
          </a:stretch>
        </a:blipFill>
      </dgm:spPr>
    </dgm:pt>
    <dgm:pt modelId="{E85993A2-1597-489A-AB63-B6D7FBB5C691}" type="pres">
      <dgm:prSet presAssocID="{3BAC3DDC-8F67-4B00-8B3C-640394FAB8A2}" presName="txNode" presStyleLbl="node1" presStyleIdx="1" presStyleCnt="5" custLinFactNeighborX="10473" custLinFactNeighborY="32248">
        <dgm:presLayoutVars>
          <dgm:bulletEnabled val="1"/>
        </dgm:presLayoutVars>
      </dgm:prSet>
      <dgm:spPr/>
    </dgm:pt>
    <dgm:pt modelId="{B8676DEF-3C30-4DAE-B421-169F7637CF58}" type="pres">
      <dgm:prSet presAssocID="{4E2FCE4B-FDDF-4DEE-B8D0-66C0EB44EDE9}" presName="sibTrans" presStyleLbl="sibTrans2D1" presStyleIdx="1" presStyleCnt="4"/>
      <dgm:spPr/>
    </dgm:pt>
    <dgm:pt modelId="{6476CDE9-86F8-41B6-B6B0-D02FE8361C26}" type="pres">
      <dgm:prSet presAssocID="{4E2FCE4B-FDDF-4DEE-B8D0-66C0EB44EDE9}" presName="connTx" presStyleLbl="sibTrans2D1" presStyleIdx="1" presStyleCnt="4"/>
      <dgm:spPr/>
    </dgm:pt>
    <dgm:pt modelId="{0EF5D88A-7D09-4836-8D1E-3F94EAAE259D}" type="pres">
      <dgm:prSet presAssocID="{7D5D307D-106D-4CD6-9D81-4AE479657EF6}" presName="composite" presStyleCnt="0"/>
      <dgm:spPr/>
    </dgm:pt>
    <dgm:pt modelId="{4D5D9936-6783-4AA4-BC19-A64405FD807F}" type="pres">
      <dgm:prSet presAssocID="{7D5D307D-106D-4CD6-9D81-4AE479657EF6}" presName="imagSh" presStyleLbl="bgImgPlace1" presStyleIdx="2" presStyleCnt="5"/>
      <dgm:spPr>
        <a:blipFill rotWithShape="1">
          <a:blip xmlns:r="http://schemas.openxmlformats.org/officeDocument/2006/relationships" r:embed="rId3"/>
          <a:srcRect/>
          <a:stretch>
            <a:fillRect t="-38000" b="-38000"/>
          </a:stretch>
        </a:blipFill>
      </dgm:spPr>
    </dgm:pt>
    <dgm:pt modelId="{4185DDC0-C3A9-4C94-B9AC-8C953BD8D132}" type="pres">
      <dgm:prSet presAssocID="{7D5D307D-106D-4CD6-9D81-4AE479657EF6}" presName="txNode" presStyleLbl="node1" presStyleIdx="2" presStyleCnt="5" custLinFactNeighborX="12938" custLinFactNeighborY="32248">
        <dgm:presLayoutVars>
          <dgm:bulletEnabled val="1"/>
        </dgm:presLayoutVars>
      </dgm:prSet>
      <dgm:spPr/>
    </dgm:pt>
    <dgm:pt modelId="{3AD5EE02-6352-43CD-BDC5-F0000368F5EA}" type="pres">
      <dgm:prSet presAssocID="{E0F07E59-F03E-424F-8DBB-79A73B04B86C}" presName="sibTrans" presStyleLbl="sibTrans2D1" presStyleIdx="2" presStyleCnt="4"/>
      <dgm:spPr/>
    </dgm:pt>
    <dgm:pt modelId="{1FD487A6-B26B-406D-B6C9-97C3DD8531B4}" type="pres">
      <dgm:prSet presAssocID="{E0F07E59-F03E-424F-8DBB-79A73B04B86C}" presName="connTx" presStyleLbl="sibTrans2D1" presStyleIdx="2" presStyleCnt="4"/>
      <dgm:spPr/>
    </dgm:pt>
    <dgm:pt modelId="{5A3FC204-39F5-4238-BEBD-C29FAFE74AD9}" type="pres">
      <dgm:prSet presAssocID="{750F3924-3D8B-4E43-8C24-5932BA8659BA}" presName="composite" presStyleCnt="0"/>
      <dgm:spPr/>
    </dgm:pt>
    <dgm:pt modelId="{E80F67B5-D775-4D9A-82D2-C342181ABE29}" type="pres">
      <dgm:prSet presAssocID="{750F3924-3D8B-4E43-8C24-5932BA8659BA}" presName="imagSh" presStyleLbl="bgImgPlace1" presStyleIdx="3" presStyleCnt="5"/>
      <dgm:spPr>
        <a:blipFill rotWithShape="1">
          <a:blip xmlns:r="http://schemas.openxmlformats.org/officeDocument/2006/relationships" r:embed="rId4"/>
          <a:srcRect/>
          <a:stretch>
            <a:fillRect t="-28000" b="-28000"/>
          </a:stretch>
        </a:blipFill>
      </dgm:spPr>
    </dgm:pt>
    <dgm:pt modelId="{26342ABF-46FC-4E4A-9F70-518D623654A1}" type="pres">
      <dgm:prSet presAssocID="{750F3924-3D8B-4E43-8C24-5932BA8659BA}" presName="txNode" presStyleLbl="node1" presStyleIdx="3" presStyleCnt="5" custLinFactNeighborX="15402" custLinFactNeighborY="32248">
        <dgm:presLayoutVars>
          <dgm:bulletEnabled val="1"/>
        </dgm:presLayoutVars>
      </dgm:prSet>
      <dgm:spPr/>
    </dgm:pt>
    <dgm:pt modelId="{30CDD8E0-A192-4CB7-A3BF-5808F677587F}" type="pres">
      <dgm:prSet presAssocID="{66360E84-DFF7-4642-A7F1-F0E1AD6EF2C5}" presName="sibTrans" presStyleLbl="sibTrans2D1" presStyleIdx="3" presStyleCnt="4"/>
      <dgm:spPr/>
    </dgm:pt>
    <dgm:pt modelId="{82BD7892-DAB8-408A-8CCE-FE724DE47A06}" type="pres">
      <dgm:prSet presAssocID="{66360E84-DFF7-4642-A7F1-F0E1AD6EF2C5}" presName="connTx" presStyleLbl="sibTrans2D1" presStyleIdx="3" presStyleCnt="4"/>
      <dgm:spPr/>
    </dgm:pt>
    <dgm:pt modelId="{AD1560C9-52EA-4F2A-9D93-EDF0597EB43A}" type="pres">
      <dgm:prSet presAssocID="{546D8E46-3508-4832-957A-6FB81E34658B}" presName="composite" presStyleCnt="0"/>
      <dgm:spPr/>
    </dgm:pt>
    <dgm:pt modelId="{76F69F84-6693-4989-BECA-901BBBEADAB0}" type="pres">
      <dgm:prSet presAssocID="{546D8E46-3508-4832-957A-6FB81E34658B}" presName="imagSh" presStyleLbl="bgImgPlace1" presStyleIdx="4" presStyleCnt="5"/>
      <dgm:spPr>
        <a:blipFill rotWithShape="1">
          <a:blip xmlns:r="http://schemas.openxmlformats.org/officeDocument/2006/relationships" r:embed="rId5"/>
          <a:srcRect/>
          <a:stretch>
            <a:fillRect t="-10000" b="-10000"/>
          </a:stretch>
        </a:blipFill>
      </dgm:spPr>
    </dgm:pt>
    <dgm:pt modelId="{4C122142-0368-437C-9368-99F0A4A94649}" type="pres">
      <dgm:prSet presAssocID="{546D8E46-3508-4832-957A-6FB81E34658B}" presName="txNode" presStyleLbl="node1" presStyleIdx="4" presStyleCnt="5" custLinFactNeighborX="17251" custLinFactNeighborY="28526">
        <dgm:presLayoutVars>
          <dgm:bulletEnabled val="1"/>
        </dgm:presLayoutVars>
      </dgm:prSet>
      <dgm:spPr/>
    </dgm:pt>
  </dgm:ptLst>
  <dgm:cxnLst>
    <dgm:cxn modelId="{39EC6410-3A32-41E5-AA91-5F3CCB137612}" srcId="{023F7E4F-830B-4120-8132-D376397F546F}" destId="{546D8E46-3508-4832-957A-6FB81E34658B}" srcOrd="4" destOrd="0" parTransId="{E031CD86-B442-4BEF-818E-6F0DEE50E742}" sibTransId="{CBFD6BB0-CF0A-4CED-85FD-35206924649C}"/>
    <dgm:cxn modelId="{A7CFFE11-8444-4EB0-AB05-7F5203ED7976}" type="presOf" srcId="{3BAC3DDC-8F67-4B00-8B3C-640394FAB8A2}" destId="{E85993A2-1597-489A-AB63-B6D7FBB5C691}" srcOrd="0" destOrd="0" presId="urn:microsoft.com/office/officeart/2005/8/layout/hProcess10"/>
    <dgm:cxn modelId="{4A69E32B-77EA-4472-B01F-E9B063934ACF}" type="presOf" srcId="{E0F07E59-F03E-424F-8DBB-79A73B04B86C}" destId="{3AD5EE02-6352-43CD-BDC5-F0000368F5EA}" srcOrd="0" destOrd="0" presId="urn:microsoft.com/office/officeart/2005/8/layout/hProcess10"/>
    <dgm:cxn modelId="{8ED8523D-3B27-4EE6-94BF-B5BB1179C3F1}" srcId="{023F7E4F-830B-4120-8132-D376397F546F}" destId="{7D5D307D-106D-4CD6-9D81-4AE479657EF6}" srcOrd="2" destOrd="0" parTransId="{04E8081C-8D67-4AD0-B0B2-6A78E295AC1B}" sibTransId="{E0F07E59-F03E-424F-8DBB-79A73B04B86C}"/>
    <dgm:cxn modelId="{1A48965E-4CA6-4644-868D-33A7D8294089}" type="presOf" srcId="{4960E63E-3F84-45BB-841C-D46EABCB8F28}" destId="{F16343D2-473F-4589-BF67-8CCFF49EAE0A}" srcOrd="1" destOrd="0" presId="urn:microsoft.com/office/officeart/2005/8/layout/hProcess10"/>
    <dgm:cxn modelId="{61BEE241-9641-4863-ACAA-842E0A55825C}" type="presOf" srcId="{023F7E4F-830B-4120-8132-D376397F546F}" destId="{E57FD07B-D196-4923-B797-6E8D051BFA37}" srcOrd="0" destOrd="0" presId="urn:microsoft.com/office/officeart/2005/8/layout/hProcess10"/>
    <dgm:cxn modelId="{46CC4871-EBEB-4BBB-AF56-1EFE19A84B54}" srcId="{023F7E4F-830B-4120-8132-D376397F546F}" destId="{3BAC3DDC-8F67-4B00-8B3C-640394FAB8A2}" srcOrd="1" destOrd="0" parTransId="{66C8570D-C92D-416C-88F4-36B7E96CED1C}" sibTransId="{4E2FCE4B-FDDF-4DEE-B8D0-66C0EB44EDE9}"/>
    <dgm:cxn modelId="{72129179-44CE-4329-B766-08CD072EB9F8}" type="presOf" srcId="{96E41C26-9A66-4C15-B3CB-D652E9BDF3D6}" destId="{A71745EE-40FA-4894-894C-F0A751E8A989}" srcOrd="0" destOrd="0" presId="urn:microsoft.com/office/officeart/2005/8/layout/hProcess10"/>
    <dgm:cxn modelId="{6167F87C-005F-4C73-BD3A-24399EBFAF78}" type="presOf" srcId="{7D5D307D-106D-4CD6-9D81-4AE479657EF6}" destId="{4185DDC0-C3A9-4C94-B9AC-8C953BD8D132}" srcOrd="0" destOrd="0" presId="urn:microsoft.com/office/officeart/2005/8/layout/hProcess10"/>
    <dgm:cxn modelId="{8901447F-6A24-4252-9081-3CDA7B60BC4D}" type="presOf" srcId="{4960E63E-3F84-45BB-841C-D46EABCB8F28}" destId="{56D08345-8393-4CD1-938F-06B38E7D07E1}" srcOrd="0" destOrd="0" presId="urn:microsoft.com/office/officeart/2005/8/layout/hProcess10"/>
    <dgm:cxn modelId="{66BD008A-570F-462E-BF40-166F3F0D19F8}" type="presOf" srcId="{E0F07E59-F03E-424F-8DBB-79A73B04B86C}" destId="{1FD487A6-B26B-406D-B6C9-97C3DD8531B4}" srcOrd="1" destOrd="0" presId="urn:microsoft.com/office/officeart/2005/8/layout/hProcess10"/>
    <dgm:cxn modelId="{140BC096-43E6-4B31-AFBD-C2B3D58363A2}" type="presOf" srcId="{4E2FCE4B-FDDF-4DEE-B8D0-66C0EB44EDE9}" destId="{B8676DEF-3C30-4DAE-B421-169F7637CF58}" srcOrd="0" destOrd="0" presId="urn:microsoft.com/office/officeart/2005/8/layout/hProcess10"/>
    <dgm:cxn modelId="{3D4FED99-D235-4B13-A4D4-A6BB9A2757EE}" type="presOf" srcId="{750F3924-3D8B-4E43-8C24-5932BA8659BA}" destId="{26342ABF-46FC-4E4A-9F70-518D623654A1}" srcOrd="0" destOrd="0" presId="urn:microsoft.com/office/officeart/2005/8/layout/hProcess10"/>
    <dgm:cxn modelId="{B5E2F6AC-2CEA-4B65-A3C5-A630D67BF12B}" srcId="{023F7E4F-830B-4120-8132-D376397F546F}" destId="{96E41C26-9A66-4C15-B3CB-D652E9BDF3D6}" srcOrd="0" destOrd="0" parTransId="{4908A1C1-58D5-4167-9132-CD441524E00C}" sibTransId="{4960E63E-3F84-45BB-841C-D46EABCB8F28}"/>
    <dgm:cxn modelId="{F11667C5-16CC-426C-A746-8EDEC22E0A60}" type="presOf" srcId="{66360E84-DFF7-4642-A7F1-F0E1AD6EF2C5}" destId="{82BD7892-DAB8-408A-8CCE-FE724DE47A06}" srcOrd="1" destOrd="0" presId="urn:microsoft.com/office/officeart/2005/8/layout/hProcess10"/>
    <dgm:cxn modelId="{584DF5D5-42F3-4D01-A52D-4B2A578FC347}" srcId="{023F7E4F-830B-4120-8132-D376397F546F}" destId="{750F3924-3D8B-4E43-8C24-5932BA8659BA}" srcOrd="3" destOrd="0" parTransId="{C6BDF1AE-8128-4459-8C97-30F35BED49DF}" sibTransId="{66360E84-DFF7-4642-A7F1-F0E1AD6EF2C5}"/>
    <dgm:cxn modelId="{FE0504DE-4FA2-4974-AD6A-3913F8E736B0}" type="presOf" srcId="{66360E84-DFF7-4642-A7F1-F0E1AD6EF2C5}" destId="{30CDD8E0-A192-4CB7-A3BF-5808F677587F}" srcOrd="0" destOrd="0" presId="urn:microsoft.com/office/officeart/2005/8/layout/hProcess10"/>
    <dgm:cxn modelId="{46242FE7-6DA2-4132-9DEA-CC52996A6CA1}" type="presOf" srcId="{4E2FCE4B-FDDF-4DEE-B8D0-66C0EB44EDE9}" destId="{6476CDE9-86F8-41B6-B6B0-D02FE8361C26}" srcOrd="1" destOrd="0" presId="urn:microsoft.com/office/officeart/2005/8/layout/hProcess10"/>
    <dgm:cxn modelId="{D291C5E7-9739-4FAA-86EA-E252AE2C817C}" type="presOf" srcId="{546D8E46-3508-4832-957A-6FB81E34658B}" destId="{4C122142-0368-437C-9368-99F0A4A94649}" srcOrd="0" destOrd="0" presId="urn:microsoft.com/office/officeart/2005/8/layout/hProcess10"/>
    <dgm:cxn modelId="{002C37EA-C2C5-4CE2-B45B-7DAC8A781E9E}" type="presParOf" srcId="{E57FD07B-D196-4923-B797-6E8D051BFA37}" destId="{1E1448A9-B88C-4448-B95B-E1CF9537B99C}" srcOrd="0" destOrd="0" presId="urn:microsoft.com/office/officeart/2005/8/layout/hProcess10"/>
    <dgm:cxn modelId="{B9D9EF3B-8A9E-4A36-B423-1CF2F1682A0F}" type="presParOf" srcId="{1E1448A9-B88C-4448-B95B-E1CF9537B99C}" destId="{DCE50D4A-5D04-44C0-9233-513AD407EFBF}" srcOrd="0" destOrd="0" presId="urn:microsoft.com/office/officeart/2005/8/layout/hProcess10"/>
    <dgm:cxn modelId="{7DB5209F-8E27-4A3F-B664-62E728989EAA}" type="presParOf" srcId="{1E1448A9-B88C-4448-B95B-E1CF9537B99C}" destId="{A71745EE-40FA-4894-894C-F0A751E8A989}" srcOrd="1" destOrd="0" presId="urn:microsoft.com/office/officeart/2005/8/layout/hProcess10"/>
    <dgm:cxn modelId="{783694D8-D184-4EA0-A4A0-F53529CB0101}" type="presParOf" srcId="{E57FD07B-D196-4923-B797-6E8D051BFA37}" destId="{56D08345-8393-4CD1-938F-06B38E7D07E1}" srcOrd="1" destOrd="0" presId="urn:microsoft.com/office/officeart/2005/8/layout/hProcess10"/>
    <dgm:cxn modelId="{E222C6A4-A688-4ABB-9E35-C06B0C137686}" type="presParOf" srcId="{56D08345-8393-4CD1-938F-06B38E7D07E1}" destId="{F16343D2-473F-4589-BF67-8CCFF49EAE0A}" srcOrd="0" destOrd="0" presId="urn:microsoft.com/office/officeart/2005/8/layout/hProcess10"/>
    <dgm:cxn modelId="{A1459979-3858-4E6C-8701-6158F7637803}" type="presParOf" srcId="{E57FD07B-D196-4923-B797-6E8D051BFA37}" destId="{A310B944-971C-48C1-9159-0FDE36F49D13}" srcOrd="2" destOrd="0" presId="urn:microsoft.com/office/officeart/2005/8/layout/hProcess10"/>
    <dgm:cxn modelId="{356F1507-D550-4294-A6A6-B0CFC9971C74}" type="presParOf" srcId="{A310B944-971C-48C1-9159-0FDE36F49D13}" destId="{A73568B0-4BB6-4A44-B768-F5FDA86D9CAD}" srcOrd="0" destOrd="0" presId="urn:microsoft.com/office/officeart/2005/8/layout/hProcess10"/>
    <dgm:cxn modelId="{6A9CB967-2635-49E7-822D-61ECB24CAB6A}" type="presParOf" srcId="{A310B944-971C-48C1-9159-0FDE36F49D13}" destId="{E85993A2-1597-489A-AB63-B6D7FBB5C691}" srcOrd="1" destOrd="0" presId="urn:microsoft.com/office/officeart/2005/8/layout/hProcess10"/>
    <dgm:cxn modelId="{3134972B-12FE-4B41-B6DD-A334871C9720}" type="presParOf" srcId="{E57FD07B-D196-4923-B797-6E8D051BFA37}" destId="{B8676DEF-3C30-4DAE-B421-169F7637CF58}" srcOrd="3" destOrd="0" presId="urn:microsoft.com/office/officeart/2005/8/layout/hProcess10"/>
    <dgm:cxn modelId="{B377A04B-4F0B-4DED-86FA-D4B24D7CCD19}" type="presParOf" srcId="{B8676DEF-3C30-4DAE-B421-169F7637CF58}" destId="{6476CDE9-86F8-41B6-B6B0-D02FE8361C26}" srcOrd="0" destOrd="0" presId="urn:microsoft.com/office/officeart/2005/8/layout/hProcess10"/>
    <dgm:cxn modelId="{BAC242B2-ED3F-4812-920F-496C5A5E5A3E}" type="presParOf" srcId="{E57FD07B-D196-4923-B797-6E8D051BFA37}" destId="{0EF5D88A-7D09-4836-8D1E-3F94EAAE259D}" srcOrd="4" destOrd="0" presId="urn:microsoft.com/office/officeart/2005/8/layout/hProcess10"/>
    <dgm:cxn modelId="{E9FE6C1D-472B-478B-B584-DB450C63A533}" type="presParOf" srcId="{0EF5D88A-7D09-4836-8D1E-3F94EAAE259D}" destId="{4D5D9936-6783-4AA4-BC19-A64405FD807F}" srcOrd="0" destOrd="0" presId="urn:microsoft.com/office/officeart/2005/8/layout/hProcess10"/>
    <dgm:cxn modelId="{DB6A0E6D-3633-4A22-A2A1-6EB030E7EB5B}" type="presParOf" srcId="{0EF5D88A-7D09-4836-8D1E-3F94EAAE259D}" destId="{4185DDC0-C3A9-4C94-B9AC-8C953BD8D132}" srcOrd="1" destOrd="0" presId="urn:microsoft.com/office/officeart/2005/8/layout/hProcess10"/>
    <dgm:cxn modelId="{AB847B44-FC70-4B9A-96D3-DBB4EC91A4B8}" type="presParOf" srcId="{E57FD07B-D196-4923-B797-6E8D051BFA37}" destId="{3AD5EE02-6352-43CD-BDC5-F0000368F5EA}" srcOrd="5" destOrd="0" presId="urn:microsoft.com/office/officeart/2005/8/layout/hProcess10"/>
    <dgm:cxn modelId="{4524AB0D-9E31-47E7-B6DE-A050920E2BED}" type="presParOf" srcId="{3AD5EE02-6352-43CD-BDC5-F0000368F5EA}" destId="{1FD487A6-B26B-406D-B6C9-97C3DD8531B4}" srcOrd="0" destOrd="0" presId="urn:microsoft.com/office/officeart/2005/8/layout/hProcess10"/>
    <dgm:cxn modelId="{6FCB16F4-B2E0-4982-B79A-FD479BF7D2F8}" type="presParOf" srcId="{E57FD07B-D196-4923-B797-6E8D051BFA37}" destId="{5A3FC204-39F5-4238-BEBD-C29FAFE74AD9}" srcOrd="6" destOrd="0" presId="urn:microsoft.com/office/officeart/2005/8/layout/hProcess10"/>
    <dgm:cxn modelId="{4EC6AD42-6883-4D20-9854-A99DA8489D76}" type="presParOf" srcId="{5A3FC204-39F5-4238-BEBD-C29FAFE74AD9}" destId="{E80F67B5-D775-4D9A-82D2-C342181ABE29}" srcOrd="0" destOrd="0" presId="urn:microsoft.com/office/officeart/2005/8/layout/hProcess10"/>
    <dgm:cxn modelId="{E82CCDB3-F899-42FC-A9D6-516F0BBE3BE7}" type="presParOf" srcId="{5A3FC204-39F5-4238-BEBD-C29FAFE74AD9}" destId="{26342ABF-46FC-4E4A-9F70-518D623654A1}" srcOrd="1" destOrd="0" presId="urn:microsoft.com/office/officeart/2005/8/layout/hProcess10"/>
    <dgm:cxn modelId="{50B24F4F-35D7-47F5-81BB-0B2ED1B88DCD}" type="presParOf" srcId="{E57FD07B-D196-4923-B797-6E8D051BFA37}" destId="{30CDD8E0-A192-4CB7-A3BF-5808F677587F}" srcOrd="7" destOrd="0" presId="urn:microsoft.com/office/officeart/2005/8/layout/hProcess10"/>
    <dgm:cxn modelId="{14BC36B6-FF52-4031-92FA-244979B59677}" type="presParOf" srcId="{30CDD8E0-A192-4CB7-A3BF-5808F677587F}" destId="{82BD7892-DAB8-408A-8CCE-FE724DE47A06}" srcOrd="0" destOrd="0" presId="urn:microsoft.com/office/officeart/2005/8/layout/hProcess10"/>
    <dgm:cxn modelId="{A87950F0-940B-41E3-B68A-915F6DE7FFA1}" type="presParOf" srcId="{E57FD07B-D196-4923-B797-6E8D051BFA37}" destId="{AD1560C9-52EA-4F2A-9D93-EDF0597EB43A}" srcOrd="8" destOrd="0" presId="urn:microsoft.com/office/officeart/2005/8/layout/hProcess10"/>
    <dgm:cxn modelId="{F0EF653D-CC21-43A5-A187-2AD7BBD97FAE}" type="presParOf" srcId="{AD1560C9-52EA-4F2A-9D93-EDF0597EB43A}" destId="{76F69F84-6693-4989-BECA-901BBBEADAB0}" srcOrd="0" destOrd="0" presId="urn:microsoft.com/office/officeart/2005/8/layout/hProcess10"/>
    <dgm:cxn modelId="{0E41B790-1E19-42FC-981D-D20719FBAB7F}" type="presParOf" srcId="{AD1560C9-52EA-4F2A-9D93-EDF0597EB43A}" destId="{4C122142-0368-437C-9368-99F0A4A94649}" srcOrd="1" destOrd="0" presId="urn:microsoft.com/office/officeart/2005/8/layout/hProcess10"/>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23F7E4F-830B-4120-8132-D376397F546F}" type="doc">
      <dgm:prSet loTypeId="urn:microsoft.com/office/officeart/2005/8/layout/hProcess10" loCatId="process" qsTypeId="urn:microsoft.com/office/officeart/2005/8/quickstyle/simple1#12" qsCatId="simple" csTypeId="urn:microsoft.com/office/officeart/2005/8/colors/accent0_1#12" csCatId="mainScheme" phldr="1"/>
      <dgm:spPr/>
    </dgm:pt>
    <dgm:pt modelId="{3BAC3DDC-8F67-4B00-8B3C-640394FAB8A2}">
      <dgm:prSet phldrT="[Text]"/>
      <dgm:spPr/>
      <dgm:t>
        <a:bodyPr/>
        <a:lstStyle/>
        <a:p>
          <a:pPr algn="ctr"/>
          <a:r>
            <a:rPr lang="en-AU"/>
            <a:t>Fix the Perspex tube to the cup</a:t>
          </a:r>
        </a:p>
      </dgm:t>
    </dgm:pt>
    <dgm:pt modelId="{66C8570D-C92D-416C-88F4-36B7E96CED1C}" type="parTrans" cxnId="{46CC4871-EBEB-4BBB-AF56-1EFE19A84B54}">
      <dgm:prSet/>
      <dgm:spPr/>
      <dgm:t>
        <a:bodyPr/>
        <a:lstStyle/>
        <a:p>
          <a:pPr algn="ctr"/>
          <a:endParaRPr lang="en-AU"/>
        </a:p>
      </dgm:t>
    </dgm:pt>
    <dgm:pt modelId="{4E2FCE4B-FDDF-4DEE-B8D0-66C0EB44EDE9}" type="sibTrans" cxnId="{46CC4871-EBEB-4BBB-AF56-1EFE19A84B54}">
      <dgm:prSet/>
      <dgm:spPr/>
      <dgm:t>
        <a:bodyPr/>
        <a:lstStyle/>
        <a:p>
          <a:pPr algn="ctr"/>
          <a:endParaRPr lang="en-AU"/>
        </a:p>
      </dgm:t>
    </dgm:pt>
    <dgm:pt modelId="{7D5D307D-106D-4CD6-9D81-4AE479657EF6}">
      <dgm:prSet phldrT="[Text]"/>
      <dgm:spPr/>
      <dgm:t>
        <a:bodyPr/>
        <a:lstStyle/>
        <a:p>
          <a:pPr algn="ctr"/>
          <a:r>
            <a:rPr lang="en-AU"/>
            <a:t>Insertion of each vial into a bottle of water</a:t>
          </a:r>
        </a:p>
      </dgm:t>
    </dgm:pt>
    <dgm:pt modelId="{04E8081C-8D67-4AD0-B0B2-6A78E295AC1B}" type="parTrans" cxnId="{8ED8523D-3B27-4EE6-94BF-B5BB1179C3F1}">
      <dgm:prSet/>
      <dgm:spPr/>
      <dgm:t>
        <a:bodyPr/>
        <a:lstStyle/>
        <a:p>
          <a:pPr algn="ctr"/>
          <a:endParaRPr lang="en-AU"/>
        </a:p>
      </dgm:t>
    </dgm:pt>
    <dgm:pt modelId="{E0F07E59-F03E-424F-8DBB-79A73B04B86C}" type="sibTrans" cxnId="{8ED8523D-3B27-4EE6-94BF-B5BB1179C3F1}">
      <dgm:prSet/>
      <dgm:spPr/>
      <dgm:t>
        <a:bodyPr/>
        <a:lstStyle/>
        <a:p>
          <a:pPr algn="ctr"/>
          <a:endParaRPr lang="en-AU"/>
        </a:p>
      </dgm:t>
    </dgm:pt>
    <dgm:pt modelId="{750F3924-3D8B-4E43-8C24-5932BA8659BA}">
      <dgm:prSet/>
      <dgm:spPr/>
      <dgm:t>
        <a:bodyPr/>
        <a:lstStyle/>
        <a:p>
          <a:pPr algn="ctr"/>
          <a:r>
            <a:rPr lang="en-AU"/>
            <a:t>Construction of multi-bottle phantom</a:t>
          </a:r>
        </a:p>
      </dgm:t>
    </dgm:pt>
    <dgm:pt modelId="{C6BDF1AE-8128-4459-8C97-30F35BED49DF}" type="parTrans" cxnId="{584DF5D5-42F3-4D01-A52D-4B2A578FC347}">
      <dgm:prSet/>
      <dgm:spPr/>
      <dgm:t>
        <a:bodyPr/>
        <a:lstStyle/>
        <a:p>
          <a:pPr algn="ctr"/>
          <a:endParaRPr lang="en-AU"/>
        </a:p>
      </dgm:t>
    </dgm:pt>
    <dgm:pt modelId="{66360E84-DFF7-4642-A7F1-F0E1AD6EF2C5}" type="sibTrans" cxnId="{584DF5D5-42F3-4D01-A52D-4B2A578FC347}">
      <dgm:prSet/>
      <dgm:spPr/>
      <dgm:t>
        <a:bodyPr/>
        <a:lstStyle/>
        <a:p>
          <a:pPr algn="ctr"/>
          <a:endParaRPr lang="en-AU"/>
        </a:p>
      </dgm:t>
    </dgm:pt>
    <dgm:pt modelId="{E57FD07B-D196-4923-B797-6E8D051BFA37}" type="pres">
      <dgm:prSet presAssocID="{023F7E4F-830B-4120-8132-D376397F546F}" presName="Name0" presStyleCnt="0">
        <dgm:presLayoutVars>
          <dgm:dir/>
          <dgm:resizeHandles val="exact"/>
        </dgm:presLayoutVars>
      </dgm:prSet>
      <dgm:spPr/>
    </dgm:pt>
    <dgm:pt modelId="{A310B944-971C-48C1-9159-0FDE36F49D13}" type="pres">
      <dgm:prSet presAssocID="{3BAC3DDC-8F67-4B00-8B3C-640394FAB8A2}" presName="composite" presStyleCnt="0"/>
      <dgm:spPr/>
    </dgm:pt>
    <dgm:pt modelId="{A73568B0-4BB6-4A44-B768-F5FDA86D9CAD}" type="pres">
      <dgm:prSet presAssocID="{3BAC3DDC-8F67-4B00-8B3C-640394FAB8A2}" presName="imagSh" presStyleLbl="bgImgPlace1" presStyleIdx="0" presStyleCnt="3"/>
      <dgm:spPr>
        <a:blipFill>
          <a:blip xmlns:r="http://schemas.openxmlformats.org/officeDocument/2006/relationships" r:embed="rId1"/>
          <a:srcRect/>
          <a:stretch>
            <a:fillRect l="-17000" r="-17000"/>
          </a:stretch>
        </a:blipFill>
      </dgm:spPr>
    </dgm:pt>
    <dgm:pt modelId="{E85993A2-1597-489A-AB63-B6D7FBB5C691}" type="pres">
      <dgm:prSet presAssocID="{3BAC3DDC-8F67-4B00-8B3C-640394FAB8A2}" presName="txNode" presStyleLbl="node1" presStyleIdx="0" presStyleCnt="3" custLinFactNeighborX="10473" custLinFactNeighborY="32248">
        <dgm:presLayoutVars>
          <dgm:bulletEnabled val="1"/>
        </dgm:presLayoutVars>
      </dgm:prSet>
      <dgm:spPr/>
    </dgm:pt>
    <dgm:pt modelId="{B8676DEF-3C30-4DAE-B421-169F7637CF58}" type="pres">
      <dgm:prSet presAssocID="{4E2FCE4B-FDDF-4DEE-B8D0-66C0EB44EDE9}" presName="sibTrans" presStyleLbl="sibTrans2D1" presStyleIdx="0" presStyleCnt="2"/>
      <dgm:spPr/>
    </dgm:pt>
    <dgm:pt modelId="{6476CDE9-86F8-41B6-B6B0-D02FE8361C26}" type="pres">
      <dgm:prSet presAssocID="{4E2FCE4B-FDDF-4DEE-B8D0-66C0EB44EDE9}" presName="connTx" presStyleLbl="sibTrans2D1" presStyleIdx="0" presStyleCnt="2"/>
      <dgm:spPr/>
    </dgm:pt>
    <dgm:pt modelId="{0EF5D88A-7D09-4836-8D1E-3F94EAAE259D}" type="pres">
      <dgm:prSet presAssocID="{7D5D307D-106D-4CD6-9D81-4AE479657EF6}" presName="composite" presStyleCnt="0"/>
      <dgm:spPr/>
    </dgm:pt>
    <dgm:pt modelId="{4D5D9936-6783-4AA4-BC19-A64405FD807F}" type="pres">
      <dgm:prSet presAssocID="{7D5D307D-106D-4CD6-9D81-4AE479657EF6}" presName="imagSh" presStyleLbl="bgImgPlace1" presStyleIdx="1" presStyleCnt="3"/>
      <dgm:spPr>
        <a:blipFill rotWithShape="1">
          <a:blip xmlns:r="http://schemas.openxmlformats.org/officeDocument/2006/relationships" r:embed="rId2">
            <a:extLst>
              <a:ext uri="{28A0092B-C50C-407E-A947-70E740481C1C}">
                <a14:useLocalDpi xmlns:a14="http://schemas.microsoft.com/office/drawing/2010/main" val="0"/>
              </a:ext>
            </a:extLst>
          </a:blip>
          <a:srcRect/>
          <a:stretch>
            <a:fillRect t="-5000" b="-5000"/>
          </a:stretch>
        </a:blipFill>
      </dgm:spPr>
    </dgm:pt>
    <dgm:pt modelId="{4185DDC0-C3A9-4C94-B9AC-8C953BD8D132}" type="pres">
      <dgm:prSet presAssocID="{7D5D307D-106D-4CD6-9D81-4AE479657EF6}" presName="txNode" presStyleLbl="node1" presStyleIdx="1" presStyleCnt="3" custLinFactNeighborX="12938" custLinFactNeighborY="32248">
        <dgm:presLayoutVars>
          <dgm:bulletEnabled val="1"/>
        </dgm:presLayoutVars>
      </dgm:prSet>
      <dgm:spPr/>
    </dgm:pt>
    <dgm:pt modelId="{3AD5EE02-6352-43CD-BDC5-F0000368F5EA}" type="pres">
      <dgm:prSet presAssocID="{E0F07E59-F03E-424F-8DBB-79A73B04B86C}" presName="sibTrans" presStyleLbl="sibTrans2D1" presStyleIdx="1" presStyleCnt="2"/>
      <dgm:spPr/>
    </dgm:pt>
    <dgm:pt modelId="{1FD487A6-B26B-406D-B6C9-97C3DD8531B4}" type="pres">
      <dgm:prSet presAssocID="{E0F07E59-F03E-424F-8DBB-79A73B04B86C}" presName="connTx" presStyleLbl="sibTrans2D1" presStyleIdx="1" presStyleCnt="2"/>
      <dgm:spPr/>
    </dgm:pt>
    <dgm:pt modelId="{5A3FC204-39F5-4238-BEBD-C29FAFE74AD9}" type="pres">
      <dgm:prSet presAssocID="{750F3924-3D8B-4E43-8C24-5932BA8659BA}" presName="composite" presStyleCnt="0"/>
      <dgm:spPr/>
    </dgm:pt>
    <dgm:pt modelId="{E80F67B5-D775-4D9A-82D2-C342181ABE29}" type="pres">
      <dgm:prSet presAssocID="{750F3924-3D8B-4E43-8C24-5932BA8659BA}" presName="imagSh" presStyleLbl="bgImgPlace1" presStyleIdx="2" presStyleCnt="3"/>
      <dgm:spPr>
        <a:blipFill rotWithShape="1">
          <a:blip xmlns:r="http://schemas.openxmlformats.org/officeDocument/2006/relationships" r:embed="rId3">
            <a:extLst>
              <a:ext uri="{28A0092B-C50C-407E-A947-70E740481C1C}">
                <a14:useLocalDpi xmlns:a14="http://schemas.microsoft.com/office/drawing/2010/main" val="0"/>
              </a:ext>
            </a:extLst>
          </a:blip>
          <a:srcRect/>
          <a:stretch>
            <a:fillRect t="-13000" b="-13000"/>
          </a:stretch>
        </a:blipFill>
      </dgm:spPr>
    </dgm:pt>
    <dgm:pt modelId="{26342ABF-46FC-4E4A-9F70-518D623654A1}" type="pres">
      <dgm:prSet presAssocID="{750F3924-3D8B-4E43-8C24-5932BA8659BA}" presName="txNode" presStyleLbl="node1" presStyleIdx="2" presStyleCnt="3" custLinFactNeighborX="15402" custLinFactNeighborY="32248">
        <dgm:presLayoutVars>
          <dgm:bulletEnabled val="1"/>
        </dgm:presLayoutVars>
      </dgm:prSet>
      <dgm:spPr/>
    </dgm:pt>
  </dgm:ptLst>
  <dgm:cxnLst>
    <dgm:cxn modelId="{A7CFFE11-8444-4EB0-AB05-7F5203ED7976}" type="presOf" srcId="{3BAC3DDC-8F67-4B00-8B3C-640394FAB8A2}" destId="{E85993A2-1597-489A-AB63-B6D7FBB5C691}" srcOrd="0" destOrd="0" presId="urn:microsoft.com/office/officeart/2005/8/layout/hProcess10"/>
    <dgm:cxn modelId="{4A69E32B-77EA-4472-B01F-E9B063934ACF}" type="presOf" srcId="{E0F07E59-F03E-424F-8DBB-79A73B04B86C}" destId="{3AD5EE02-6352-43CD-BDC5-F0000368F5EA}" srcOrd="0" destOrd="0" presId="urn:microsoft.com/office/officeart/2005/8/layout/hProcess10"/>
    <dgm:cxn modelId="{8ED8523D-3B27-4EE6-94BF-B5BB1179C3F1}" srcId="{023F7E4F-830B-4120-8132-D376397F546F}" destId="{7D5D307D-106D-4CD6-9D81-4AE479657EF6}" srcOrd="1" destOrd="0" parTransId="{04E8081C-8D67-4AD0-B0B2-6A78E295AC1B}" sibTransId="{E0F07E59-F03E-424F-8DBB-79A73B04B86C}"/>
    <dgm:cxn modelId="{61BEE241-9641-4863-ACAA-842E0A55825C}" type="presOf" srcId="{023F7E4F-830B-4120-8132-D376397F546F}" destId="{E57FD07B-D196-4923-B797-6E8D051BFA37}" srcOrd="0" destOrd="0" presId="urn:microsoft.com/office/officeart/2005/8/layout/hProcess10"/>
    <dgm:cxn modelId="{46CC4871-EBEB-4BBB-AF56-1EFE19A84B54}" srcId="{023F7E4F-830B-4120-8132-D376397F546F}" destId="{3BAC3DDC-8F67-4B00-8B3C-640394FAB8A2}" srcOrd="0" destOrd="0" parTransId="{66C8570D-C92D-416C-88F4-36B7E96CED1C}" sibTransId="{4E2FCE4B-FDDF-4DEE-B8D0-66C0EB44EDE9}"/>
    <dgm:cxn modelId="{6167F87C-005F-4C73-BD3A-24399EBFAF78}" type="presOf" srcId="{7D5D307D-106D-4CD6-9D81-4AE479657EF6}" destId="{4185DDC0-C3A9-4C94-B9AC-8C953BD8D132}" srcOrd="0" destOrd="0" presId="urn:microsoft.com/office/officeart/2005/8/layout/hProcess10"/>
    <dgm:cxn modelId="{66BD008A-570F-462E-BF40-166F3F0D19F8}" type="presOf" srcId="{E0F07E59-F03E-424F-8DBB-79A73B04B86C}" destId="{1FD487A6-B26B-406D-B6C9-97C3DD8531B4}" srcOrd="1" destOrd="0" presId="urn:microsoft.com/office/officeart/2005/8/layout/hProcess10"/>
    <dgm:cxn modelId="{140BC096-43E6-4B31-AFBD-C2B3D58363A2}" type="presOf" srcId="{4E2FCE4B-FDDF-4DEE-B8D0-66C0EB44EDE9}" destId="{B8676DEF-3C30-4DAE-B421-169F7637CF58}" srcOrd="0" destOrd="0" presId="urn:microsoft.com/office/officeart/2005/8/layout/hProcess10"/>
    <dgm:cxn modelId="{3D4FED99-D235-4B13-A4D4-A6BB9A2757EE}" type="presOf" srcId="{750F3924-3D8B-4E43-8C24-5932BA8659BA}" destId="{26342ABF-46FC-4E4A-9F70-518D623654A1}" srcOrd="0" destOrd="0" presId="urn:microsoft.com/office/officeart/2005/8/layout/hProcess10"/>
    <dgm:cxn modelId="{584DF5D5-42F3-4D01-A52D-4B2A578FC347}" srcId="{023F7E4F-830B-4120-8132-D376397F546F}" destId="{750F3924-3D8B-4E43-8C24-5932BA8659BA}" srcOrd="2" destOrd="0" parTransId="{C6BDF1AE-8128-4459-8C97-30F35BED49DF}" sibTransId="{66360E84-DFF7-4642-A7F1-F0E1AD6EF2C5}"/>
    <dgm:cxn modelId="{46242FE7-6DA2-4132-9DEA-CC52996A6CA1}" type="presOf" srcId="{4E2FCE4B-FDDF-4DEE-B8D0-66C0EB44EDE9}" destId="{6476CDE9-86F8-41B6-B6B0-D02FE8361C26}" srcOrd="1" destOrd="0" presId="urn:microsoft.com/office/officeart/2005/8/layout/hProcess10"/>
    <dgm:cxn modelId="{A1459979-3858-4E6C-8701-6158F7637803}" type="presParOf" srcId="{E57FD07B-D196-4923-B797-6E8D051BFA37}" destId="{A310B944-971C-48C1-9159-0FDE36F49D13}" srcOrd="0" destOrd="0" presId="urn:microsoft.com/office/officeart/2005/8/layout/hProcess10"/>
    <dgm:cxn modelId="{356F1507-D550-4294-A6A6-B0CFC9971C74}" type="presParOf" srcId="{A310B944-971C-48C1-9159-0FDE36F49D13}" destId="{A73568B0-4BB6-4A44-B768-F5FDA86D9CAD}" srcOrd="0" destOrd="0" presId="urn:microsoft.com/office/officeart/2005/8/layout/hProcess10"/>
    <dgm:cxn modelId="{6A9CB967-2635-49E7-822D-61ECB24CAB6A}" type="presParOf" srcId="{A310B944-971C-48C1-9159-0FDE36F49D13}" destId="{E85993A2-1597-489A-AB63-B6D7FBB5C691}" srcOrd="1" destOrd="0" presId="urn:microsoft.com/office/officeart/2005/8/layout/hProcess10"/>
    <dgm:cxn modelId="{3134972B-12FE-4B41-B6DD-A334871C9720}" type="presParOf" srcId="{E57FD07B-D196-4923-B797-6E8D051BFA37}" destId="{B8676DEF-3C30-4DAE-B421-169F7637CF58}" srcOrd="1" destOrd="0" presId="urn:microsoft.com/office/officeart/2005/8/layout/hProcess10"/>
    <dgm:cxn modelId="{B377A04B-4F0B-4DED-86FA-D4B24D7CCD19}" type="presParOf" srcId="{B8676DEF-3C30-4DAE-B421-169F7637CF58}" destId="{6476CDE9-86F8-41B6-B6B0-D02FE8361C26}" srcOrd="0" destOrd="0" presId="urn:microsoft.com/office/officeart/2005/8/layout/hProcess10"/>
    <dgm:cxn modelId="{BAC242B2-ED3F-4812-920F-496C5A5E5A3E}" type="presParOf" srcId="{E57FD07B-D196-4923-B797-6E8D051BFA37}" destId="{0EF5D88A-7D09-4836-8D1E-3F94EAAE259D}" srcOrd="2" destOrd="0" presId="urn:microsoft.com/office/officeart/2005/8/layout/hProcess10"/>
    <dgm:cxn modelId="{E9FE6C1D-472B-478B-B584-DB450C63A533}" type="presParOf" srcId="{0EF5D88A-7D09-4836-8D1E-3F94EAAE259D}" destId="{4D5D9936-6783-4AA4-BC19-A64405FD807F}" srcOrd="0" destOrd="0" presId="urn:microsoft.com/office/officeart/2005/8/layout/hProcess10"/>
    <dgm:cxn modelId="{DB6A0E6D-3633-4A22-A2A1-6EB030E7EB5B}" type="presParOf" srcId="{0EF5D88A-7D09-4836-8D1E-3F94EAAE259D}" destId="{4185DDC0-C3A9-4C94-B9AC-8C953BD8D132}" srcOrd="1" destOrd="0" presId="urn:microsoft.com/office/officeart/2005/8/layout/hProcess10"/>
    <dgm:cxn modelId="{AB847B44-FC70-4B9A-96D3-DBB4EC91A4B8}" type="presParOf" srcId="{E57FD07B-D196-4923-B797-6E8D051BFA37}" destId="{3AD5EE02-6352-43CD-BDC5-F0000368F5EA}" srcOrd="3" destOrd="0" presId="urn:microsoft.com/office/officeart/2005/8/layout/hProcess10"/>
    <dgm:cxn modelId="{4524AB0D-9E31-47E7-B6DE-A050920E2BED}" type="presParOf" srcId="{3AD5EE02-6352-43CD-BDC5-F0000368F5EA}" destId="{1FD487A6-B26B-406D-B6C9-97C3DD8531B4}" srcOrd="0" destOrd="0" presId="urn:microsoft.com/office/officeart/2005/8/layout/hProcess10"/>
    <dgm:cxn modelId="{6FCB16F4-B2E0-4982-B79A-FD479BF7D2F8}" type="presParOf" srcId="{E57FD07B-D196-4923-B797-6E8D051BFA37}" destId="{5A3FC204-39F5-4238-BEBD-C29FAFE74AD9}" srcOrd="4" destOrd="0" presId="urn:microsoft.com/office/officeart/2005/8/layout/hProcess10"/>
    <dgm:cxn modelId="{4EC6AD42-6883-4D20-9854-A99DA8489D76}" type="presParOf" srcId="{5A3FC204-39F5-4238-BEBD-C29FAFE74AD9}" destId="{E80F67B5-D775-4D9A-82D2-C342181ABE29}" srcOrd="0" destOrd="0" presId="urn:microsoft.com/office/officeart/2005/8/layout/hProcess10"/>
    <dgm:cxn modelId="{E82CCDB3-F899-42FC-A9D6-516F0BBE3BE7}" type="presParOf" srcId="{5A3FC204-39F5-4238-BEBD-C29FAFE74AD9}" destId="{26342ABF-46FC-4E4A-9F70-518D623654A1}" srcOrd="1" destOrd="0" presId="urn:microsoft.com/office/officeart/2005/8/layout/hProcess10"/>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E50D4A-5D04-44C0-9233-513AD407EFBF}">
      <dsp:nvSpPr>
        <dsp:cNvPr id="0" name=""/>
        <dsp:cNvSpPr/>
      </dsp:nvSpPr>
      <dsp:spPr>
        <a:xfrm>
          <a:off x="3255" y="297344"/>
          <a:ext cx="761113" cy="761113"/>
        </a:xfrm>
        <a:prstGeom prst="roundRect">
          <a:avLst>
            <a:gd name="adj" fmla="val 10000"/>
          </a:avLst>
        </a:prstGeom>
        <a:blipFill rotWithShape="1">
          <a:blip xmlns:r="http://schemas.openxmlformats.org/officeDocument/2006/relationships" r:embed="rId1"/>
          <a:srcRect/>
          <a:stretch>
            <a:fillRect t="-30000" b="-30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1745EE-40FA-4894-894C-F0A751E8A989}">
      <dsp:nvSpPr>
        <dsp:cNvPr id="0" name=""/>
        <dsp:cNvSpPr/>
      </dsp:nvSpPr>
      <dsp:spPr>
        <a:xfrm>
          <a:off x="280316" y="999457"/>
          <a:ext cx="761113" cy="7611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s-CO" sz="800" kern="1200"/>
            <a:t>Withdraw 2 mL contrast media (300 mg I/mL) with 3 mL syringe</a:t>
          </a:r>
          <a:endParaRPr lang="en-AU" sz="800" kern="1200"/>
        </a:p>
      </dsp:txBody>
      <dsp:txXfrm>
        <a:off x="302608" y="1021749"/>
        <a:ext cx="716529" cy="716529"/>
      </dsp:txXfrm>
    </dsp:sp>
    <dsp:sp modelId="{56D08345-8393-4CD1-938F-06B38E7D07E1}">
      <dsp:nvSpPr>
        <dsp:cNvPr id="0" name=""/>
        <dsp:cNvSpPr/>
      </dsp:nvSpPr>
      <dsp:spPr>
        <a:xfrm>
          <a:off x="910976" y="586459"/>
          <a:ext cx="146607" cy="1828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910976" y="623036"/>
        <a:ext cx="102625" cy="109731"/>
      </dsp:txXfrm>
    </dsp:sp>
    <dsp:sp modelId="{A73568B0-4BB6-4A44-B768-F5FDA86D9CAD}">
      <dsp:nvSpPr>
        <dsp:cNvPr id="0" name=""/>
        <dsp:cNvSpPr/>
      </dsp:nvSpPr>
      <dsp:spPr>
        <a:xfrm>
          <a:off x="1183247" y="297344"/>
          <a:ext cx="761113" cy="761113"/>
        </a:xfrm>
        <a:prstGeom prst="roundRect">
          <a:avLst>
            <a:gd name="adj" fmla="val 10000"/>
          </a:avLst>
        </a:prstGeom>
        <a:blipFill rotWithShape="1">
          <a:blip xmlns:r="http://schemas.openxmlformats.org/officeDocument/2006/relationships" r:embed="rId2"/>
          <a:srcRect/>
          <a:stretch>
            <a:fillRect t="-38000" b="-38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85993A2-1597-489A-AB63-B6D7FBB5C691}">
      <dsp:nvSpPr>
        <dsp:cNvPr id="0" name=""/>
        <dsp:cNvSpPr/>
      </dsp:nvSpPr>
      <dsp:spPr>
        <a:xfrm>
          <a:off x="1386861" y="999457"/>
          <a:ext cx="761113" cy="7611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s-CO" sz="800" kern="1200"/>
            <a:t>Transfer to 20 mL syringe; pump plunger for full transfer</a:t>
          </a:r>
          <a:endParaRPr lang="en-AU" sz="800" kern="1200"/>
        </a:p>
      </dsp:txBody>
      <dsp:txXfrm>
        <a:off x="1409153" y="1021749"/>
        <a:ext cx="716529" cy="716529"/>
      </dsp:txXfrm>
    </dsp:sp>
    <dsp:sp modelId="{B8676DEF-3C30-4DAE-B421-169F7637CF58}">
      <dsp:nvSpPr>
        <dsp:cNvPr id="0" name=""/>
        <dsp:cNvSpPr/>
      </dsp:nvSpPr>
      <dsp:spPr>
        <a:xfrm>
          <a:off x="2090968" y="586459"/>
          <a:ext cx="146607" cy="1828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2090968" y="623036"/>
        <a:ext cx="102625" cy="109731"/>
      </dsp:txXfrm>
    </dsp:sp>
    <dsp:sp modelId="{4D5D9936-6783-4AA4-BC19-A64405FD807F}">
      <dsp:nvSpPr>
        <dsp:cNvPr id="0" name=""/>
        <dsp:cNvSpPr/>
      </dsp:nvSpPr>
      <dsp:spPr>
        <a:xfrm>
          <a:off x="2363239" y="297344"/>
          <a:ext cx="761113" cy="761113"/>
        </a:xfrm>
        <a:prstGeom prst="roundRect">
          <a:avLst>
            <a:gd name="adj" fmla="val 10000"/>
          </a:avLst>
        </a:prstGeom>
        <a:blipFill rotWithShape="1">
          <a:blip xmlns:r="http://schemas.openxmlformats.org/officeDocument/2006/relationships" r:embed="rId3"/>
          <a:srcRect/>
          <a:stretch>
            <a:fillRect t="-32000" b="-32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185DDC0-C3A9-4C94-B9AC-8C953BD8D132}">
      <dsp:nvSpPr>
        <dsp:cNvPr id="0" name=""/>
        <dsp:cNvSpPr/>
      </dsp:nvSpPr>
      <dsp:spPr>
        <a:xfrm>
          <a:off x="2585614" y="999457"/>
          <a:ext cx="761113" cy="7611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s-CO" sz="800" kern="1200"/>
            <a:t>Dilute with sterile water using 10 mL syringe up to 20 mL</a:t>
          </a:r>
          <a:endParaRPr lang="en-AU" sz="800" kern="1200"/>
        </a:p>
      </dsp:txBody>
      <dsp:txXfrm>
        <a:off x="2607906" y="1021749"/>
        <a:ext cx="716529" cy="716529"/>
      </dsp:txXfrm>
    </dsp:sp>
    <dsp:sp modelId="{3AD5EE02-6352-43CD-BDC5-F0000368F5EA}">
      <dsp:nvSpPr>
        <dsp:cNvPr id="0" name=""/>
        <dsp:cNvSpPr/>
      </dsp:nvSpPr>
      <dsp:spPr>
        <a:xfrm>
          <a:off x="3270960" y="586459"/>
          <a:ext cx="146607" cy="1828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3270960" y="623036"/>
        <a:ext cx="102625" cy="109731"/>
      </dsp:txXfrm>
    </dsp:sp>
    <dsp:sp modelId="{E80F67B5-D775-4D9A-82D2-C342181ABE29}">
      <dsp:nvSpPr>
        <dsp:cNvPr id="0" name=""/>
        <dsp:cNvSpPr/>
      </dsp:nvSpPr>
      <dsp:spPr>
        <a:xfrm>
          <a:off x="3543231" y="297344"/>
          <a:ext cx="761113" cy="761113"/>
        </a:xfrm>
        <a:prstGeom prst="roundRect">
          <a:avLst>
            <a:gd name="adj" fmla="val 10000"/>
          </a:avLst>
        </a:prstGeom>
        <a:blipFill rotWithShape="1">
          <a:blip xmlns:r="http://schemas.openxmlformats.org/officeDocument/2006/relationships" r:embed="rId4"/>
          <a:srcRect/>
          <a:stretch>
            <a:fillRect t="-25000" b="-25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6342ABF-46FC-4E4A-9F70-518D623654A1}">
      <dsp:nvSpPr>
        <dsp:cNvPr id="0" name=""/>
        <dsp:cNvSpPr/>
      </dsp:nvSpPr>
      <dsp:spPr>
        <a:xfrm>
          <a:off x="3784360" y="999457"/>
          <a:ext cx="761113" cy="7611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s-CO" sz="800" kern="1200"/>
            <a:t>Leave a small air bubble and mix gently by slow inversion or rolling</a:t>
          </a:r>
          <a:endParaRPr lang="en-AU" sz="800" kern="1200"/>
        </a:p>
      </dsp:txBody>
      <dsp:txXfrm>
        <a:off x="3806652" y="1021749"/>
        <a:ext cx="716529" cy="716529"/>
      </dsp:txXfrm>
    </dsp:sp>
    <dsp:sp modelId="{30CDD8E0-A192-4CB7-A3BF-5808F677587F}">
      <dsp:nvSpPr>
        <dsp:cNvPr id="0" name=""/>
        <dsp:cNvSpPr/>
      </dsp:nvSpPr>
      <dsp:spPr>
        <a:xfrm>
          <a:off x="4450952" y="586459"/>
          <a:ext cx="146607" cy="18288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4450952" y="623036"/>
        <a:ext cx="102625" cy="109731"/>
      </dsp:txXfrm>
    </dsp:sp>
    <dsp:sp modelId="{76F69F84-6693-4989-BECA-901BBBEADAB0}">
      <dsp:nvSpPr>
        <dsp:cNvPr id="0" name=""/>
        <dsp:cNvSpPr/>
      </dsp:nvSpPr>
      <dsp:spPr>
        <a:xfrm>
          <a:off x="4723223" y="297344"/>
          <a:ext cx="761113" cy="761113"/>
        </a:xfrm>
        <a:prstGeom prst="roundRect">
          <a:avLst>
            <a:gd name="adj" fmla="val 10000"/>
          </a:avLst>
        </a:prstGeom>
        <a:blipFill rotWithShape="1">
          <a:blip xmlns:r="http://schemas.openxmlformats.org/officeDocument/2006/relationships" r:embed="rId5"/>
          <a:srcRect/>
          <a:stretch>
            <a:fillRect t="-17000" b="-17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C122142-0368-437C-9368-99F0A4A94649}">
      <dsp:nvSpPr>
        <dsp:cNvPr id="0" name=""/>
        <dsp:cNvSpPr/>
      </dsp:nvSpPr>
      <dsp:spPr>
        <a:xfrm>
          <a:off x="4850381" y="971128"/>
          <a:ext cx="761113" cy="7611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l" defTabSz="355600">
            <a:lnSpc>
              <a:spcPct val="90000"/>
            </a:lnSpc>
            <a:spcBef>
              <a:spcPct val="0"/>
            </a:spcBef>
            <a:spcAft>
              <a:spcPct val="35000"/>
            </a:spcAft>
            <a:buNone/>
          </a:pPr>
          <a:r>
            <a:rPr lang="es-CO" sz="800" kern="1200"/>
            <a:t>RESULT</a:t>
          </a:r>
        </a:p>
        <a:p>
          <a:pPr marL="0" lvl="0" indent="0" algn="l" defTabSz="355600">
            <a:lnSpc>
              <a:spcPct val="90000"/>
            </a:lnSpc>
            <a:spcBef>
              <a:spcPct val="0"/>
            </a:spcBef>
            <a:spcAft>
              <a:spcPct val="35000"/>
            </a:spcAft>
            <a:buNone/>
          </a:pPr>
          <a:r>
            <a:rPr lang="es-CO" sz="800" kern="1200"/>
            <a:t> 30 mg I/mL parent stock solution</a:t>
          </a:r>
          <a:endParaRPr lang="en-AU" sz="800" kern="1200"/>
        </a:p>
      </dsp:txBody>
      <dsp:txXfrm>
        <a:off x="4872673" y="993420"/>
        <a:ext cx="716529" cy="71652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E50D4A-5D04-44C0-9233-513AD407EFBF}">
      <dsp:nvSpPr>
        <dsp:cNvPr id="0" name=""/>
        <dsp:cNvSpPr/>
      </dsp:nvSpPr>
      <dsp:spPr>
        <a:xfrm>
          <a:off x="3201" y="168611"/>
          <a:ext cx="748539" cy="748539"/>
        </a:xfrm>
        <a:prstGeom prst="roundRect">
          <a:avLst>
            <a:gd name="adj" fmla="val 10000"/>
          </a:avLst>
        </a:prstGeom>
        <a:blipFill rotWithShape="1">
          <a:blip xmlns:r="http://schemas.openxmlformats.org/officeDocument/2006/relationships" r:embed="rId1"/>
          <a:srcRect/>
          <a:stretch>
            <a:fillRect t="-17000" b="-17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1745EE-40FA-4894-894C-F0A751E8A989}">
      <dsp:nvSpPr>
        <dsp:cNvPr id="0" name=""/>
        <dsp:cNvSpPr/>
      </dsp:nvSpPr>
      <dsp:spPr>
        <a:xfrm>
          <a:off x="275685" y="786346"/>
          <a:ext cx="748539" cy="7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n-US" sz="800" kern="1200" dirty="0"/>
            <a:t>Draw the required stock volume using a 3 mL syringe</a:t>
          </a:r>
          <a:endParaRPr lang="en-AU" sz="800" kern="1200"/>
        </a:p>
      </dsp:txBody>
      <dsp:txXfrm>
        <a:off x="297609" y="808270"/>
        <a:ext cx="704691" cy="704691"/>
      </dsp:txXfrm>
    </dsp:sp>
    <dsp:sp modelId="{56D08345-8393-4CD1-938F-06B38E7D07E1}">
      <dsp:nvSpPr>
        <dsp:cNvPr id="0" name=""/>
        <dsp:cNvSpPr/>
      </dsp:nvSpPr>
      <dsp:spPr>
        <a:xfrm>
          <a:off x="895926" y="452949"/>
          <a:ext cx="144185" cy="1798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895926" y="488922"/>
        <a:ext cx="100930" cy="107917"/>
      </dsp:txXfrm>
    </dsp:sp>
    <dsp:sp modelId="{A73568B0-4BB6-4A44-B768-F5FDA86D9CAD}">
      <dsp:nvSpPr>
        <dsp:cNvPr id="0" name=""/>
        <dsp:cNvSpPr/>
      </dsp:nvSpPr>
      <dsp:spPr>
        <a:xfrm>
          <a:off x="1163698" y="168611"/>
          <a:ext cx="748539" cy="748539"/>
        </a:xfrm>
        <a:prstGeom prst="roundRect">
          <a:avLst>
            <a:gd name="adj" fmla="val 10000"/>
          </a:avLst>
        </a:prstGeom>
        <a:blipFill rotWithShape="1">
          <a:blip xmlns:r="http://schemas.openxmlformats.org/officeDocument/2006/relationships" r:embed="rId2"/>
          <a:srcRect/>
          <a:stretch>
            <a:fillRect t="-27000" b="-27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85993A2-1597-489A-AB63-B6D7FBB5C691}">
      <dsp:nvSpPr>
        <dsp:cNvPr id="0" name=""/>
        <dsp:cNvSpPr/>
      </dsp:nvSpPr>
      <dsp:spPr>
        <a:xfrm>
          <a:off x="1363948" y="786346"/>
          <a:ext cx="748539" cy="7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n-US" sz="800" kern="1200" dirty="0"/>
            <a:t>Dispense slowly into the </a:t>
          </a:r>
          <a:r>
            <a:rPr lang="en-US" sz="800" kern="1200" dirty="0" err="1"/>
            <a:t>Perspex</a:t>
          </a:r>
          <a:r>
            <a:rPr lang="en-US" sz="800" kern="1200" dirty="0"/>
            <a:t> tube, moving the plunger to release all iodine.</a:t>
          </a:r>
          <a:endParaRPr lang="en-AU" sz="800" kern="1200"/>
        </a:p>
      </dsp:txBody>
      <dsp:txXfrm>
        <a:off x="1385872" y="808270"/>
        <a:ext cx="704691" cy="704691"/>
      </dsp:txXfrm>
    </dsp:sp>
    <dsp:sp modelId="{B8676DEF-3C30-4DAE-B421-169F7637CF58}">
      <dsp:nvSpPr>
        <dsp:cNvPr id="0" name=""/>
        <dsp:cNvSpPr/>
      </dsp:nvSpPr>
      <dsp:spPr>
        <a:xfrm>
          <a:off x="2056422" y="452949"/>
          <a:ext cx="144185" cy="1798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2056422" y="488922"/>
        <a:ext cx="100930" cy="107917"/>
      </dsp:txXfrm>
    </dsp:sp>
    <dsp:sp modelId="{4D5D9936-6783-4AA4-BC19-A64405FD807F}">
      <dsp:nvSpPr>
        <dsp:cNvPr id="0" name=""/>
        <dsp:cNvSpPr/>
      </dsp:nvSpPr>
      <dsp:spPr>
        <a:xfrm>
          <a:off x="2324195" y="168611"/>
          <a:ext cx="748539" cy="748539"/>
        </a:xfrm>
        <a:prstGeom prst="roundRect">
          <a:avLst>
            <a:gd name="adj" fmla="val 10000"/>
          </a:avLst>
        </a:prstGeom>
        <a:blipFill rotWithShape="1">
          <a:blip xmlns:r="http://schemas.openxmlformats.org/officeDocument/2006/relationships" r:embed="rId3"/>
          <a:srcRect/>
          <a:stretch>
            <a:fillRect t="-38000" b="-38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185DDC0-C3A9-4C94-B9AC-8C953BD8D132}">
      <dsp:nvSpPr>
        <dsp:cNvPr id="0" name=""/>
        <dsp:cNvSpPr/>
      </dsp:nvSpPr>
      <dsp:spPr>
        <a:xfrm>
          <a:off x="2542896" y="786346"/>
          <a:ext cx="748539" cy="7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n-US" sz="800" kern="1200" dirty="0"/>
            <a:t>Add sterile water up to 14 mL total using a new 20 mL syringe</a:t>
          </a:r>
          <a:endParaRPr lang="en-AU" sz="800" kern="1200"/>
        </a:p>
      </dsp:txBody>
      <dsp:txXfrm>
        <a:off x="2564820" y="808270"/>
        <a:ext cx="704691" cy="704691"/>
      </dsp:txXfrm>
    </dsp:sp>
    <dsp:sp modelId="{3AD5EE02-6352-43CD-BDC5-F0000368F5EA}">
      <dsp:nvSpPr>
        <dsp:cNvPr id="0" name=""/>
        <dsp:cNvSpPr/>
      </dsp:nvSpPr>
      <dsp:spPr>
        <a:xfrm>
          <a:off x="3216919" y="452949"/>
          <a:ext cx="144185" cy="1798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3216919" y="488922"/>
        <a:ext cx="100930" cy="107917"/>
      </dsp:txXfrm>
    </dsp:sp>
    <dsp:sp modelId="{E80F67B5-D775-4D9A-82D2-C342181ABE29}">
      <dsp:nvSpPr>
        <dsp:cNvPr id="0" name=""/>
        <dsp:cNvSpPr/>
      </dsp:nvSpPr>
      <dsp:spPr>
        <a:xfrm>
          <a:off x="3484692" y="168611"/>
          <a:ext cx="748539" cy="748539"/>
        </a:xfrm>
        <a:prstGeom prst="roundRect">
          <a:avLst>
            <a:gd name="adj" fmla="val 10000"/>
          </a:avLst>
        </a:prstGeom>
        <a:blipFill rotWithShape="1">
          <a:blip xmlns:r="http://schemas.openxmlformats.org/officeDocument/2006/relationships" r:embed="rId4"/>
          <a:srcRect/>
          <a:stretch>
            <a:fillRect t="-28000" b="-28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6342ABF-46FC-4E4A-9F70-518D623654A1}">
      <dsp:nvSpPr>
        <dsp:cNvPr id="0" name=""/>
        <dsp:cNvSpPr/>
      </dsp:nvSpPr>
      <dsp:spPr>
        <a:xfrm>
          <a:off x="3721837" y="786346"/>
          <a:ext cx="748539" cy="7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s-CO" sz="800" kern="1200"/>
            <a:t>Leave a small air bubble &amp; shake gently to homogenize</a:t>
          </a:r>
          <a:endParaRPr lang="en-AU" sz="800" kern="1200"/>
        </a:p>
      </dsp:txBody>
      <dsp:txXfrm>
        <a:off x="3743761" y="808270"/>
        <a:ext cx="704691" cy="704691"/>
      </dsp:txXfrm>
    </dsp:sp>
    <dsp:sp modelId="{30CDD8E0-A192-4CB7-A3BF-5808F677587F}">
      <dsp:nvSpPr>
        <dsp:cNvPr id="0" name=""/>
        <dsp:cNvSpPr/>
      </dsp:nvSpPr>
      <dsp:spPr>
        <a:xfrm>
          <a:off x="4377416" y="452949"/>
          <a:ext cx="144185" cy="1798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r" defTabSz="266700">
            <a:lnSpc>
              <a:spcPct val="90000"/>
            </a:lnSpc>
            <a:spcBef>
              <a:spcPct val="0"/>
            </a:spcBef>
            <a:spcAft>
              <a:spcPct val="35000"/>
            </a:spcAft>
            <a:buNone/>
          </a:pPr>
          <a:endParaRPr lang="en-AU" sz="600" kern="1200"/>
        </a:p>
      </dsp:txBody>
      <dsp:txXfrm>
        <a:off x="4377416" y="488922"/>
        <a:ext cx="100930" cy="107917"/>
      </dsp:txXfrm>
    </dsp:sp>
    <dsp:sp modelId="{76F69F84-6693-4989-BECA-901BBBEADAB0}">
      <dsp:nvSpPr>
        <dsp:cNvPr id="0" name=""/>
        <dsp:cNvSpPr/>
      </dsp:nvSpPr>
      <dsp:spPr>
        <a:xfrm>
          <a:off x="4645188" y="168611"/>
          <a:ext cx="748539" cy="748539"/>
        </a:xfrm>
        <a:prstGeom prst="roundRect">
          <a:avLst>
            <a:gd name="adj" fmla="val 10000"/>
          </a:avLst>
        </a:prstGeom>
        <a:blipFill rotWithShape="1">
          <a:blip xmlns:r="http://schemas.openxmlformats.org/officeDocument/2006/relationships" r:embed="rId5"/>
          <a:srcRect/>
          <a:stretch>
            <a:fillRect t="-10000" b="-10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C122142-0368-437C-9368-99F0A4A94649}">
      <dsp:nvSpPr>
        <dsp:cNvPr id="0" name=""/>
        <dsp:cNvSpPr/>
      </dsp:nvSpPr>
      <dsp:spPr>
        <a:xfrm>
          <a:off x="4770245" y="786346"/>
          <a:ext cx="748539" cy="7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r" defTabSz="355600">
            <a:lnSpc>
              <a:spcPct val="90000"/>
            </a:lnSpc>
            <a:spcBef>
              <a:spcPct val="0"/>
            </a:spcBef>
            <a:spcAft>
              <a:spcPct val="35000"/>
            </a:spcAft>
            <a:buNone/>
          </a:pPr>
          <a:r>
            <a:rPr lang="en-US" sz="800" kern="1200" dirty="0"/>
            <a:t>Label each tube with its final concentration</a:t>
          </a:r>
          <a:endParaRPr lang="en-AU" sz="800" kern="1200"/>
        </a:p>
      </dsp:txBody>
      <dsp:txXfrm>
        <a:off x="4792169" y="808270"/>
        <a:ext cx="704691" cy="70469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3568B0-4BB6-4A44-B768-F5FDA86D9CAD}">
      <dsp:nvSpPr>
        <dsp:cNvPr id="0" name=""/>
        <dsp:cNvSpPr/>
      </dsp:nvSpPr>
      <dsp:spPr>
        <a:xfrm>
          <a:off x="1835" y="81044"/>
          <a:ext cx="864687" cy="864687"/>
        </a:xfrm>
        <a:prstGeom prst="roundRect">
          <a:avLst>
            <a:gd name="adj" fmla="val 10000"/>
          </a:avLst>
        </a:prstGeom>
        <a:blipFill>
          <a:blip xmlns:r="http://schemas.openxmlformats.org/officeDocument/2006/relationships" r:embed="rId1"/>
          <a:srcRect/>
          <a:stretch>
            <a:fillRect l="-17000" r="-17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85993A2-1597-489A-AB63-B6D7FBB5C691}">
      <dsp:nvSpPr>
        <dsp:cNvPr id="0" name=""/>
        <dsp:cNvSpPr/>
      </dsp:nvSpPr>
      <dsp:spPr>
        <a:xfrm>
          <a:off x="233157" y="680902"/>
          <a:ext cx="864687" cy="86468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Fix the Perspex tube to the cup</a:t>
          </a:r>
        </a:p>
      </dsp:txBody>
      <dsp:txXfrm>
        <a:off x="258483" y="706228"/>
        <a:ext cx="814035" cy="814035"/>
      </dsp:txXfrm>
    </dsp:sp>
    <dsp:sp modelId="{B8676DEF-3C30-4DAE-B421-169F7637CF58}">
      <dsp:nvSpPr>
        <dsp:cNvPr id="0" name=""/>
        <dsp:cNvSpPr/>
      </dsp:nvSpPr>
      <dsp:spPr>
        <a:xfrm>
          <a:off x="1033081" y="409502"/>
          <a:ext cx="166557" cy="20777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1033081" y="451056"/>
        <a:ext cx="116590" cy="124664"/>
      </dsp:txXfrm>
    </dsp:sp>
    <dsp:sp modelId="{4D5D9936-6783-4AA4-BC19-A64405FD807F}">
      <dsp:nvSpPr>
        <dsp:cNvPr id="0" name=""/>
        <dsp:cNvSpPr/>
      </dsp:nvSpPr>
      <dsp:spPr>
        <a:xfrm>
          <a:off x="1342403" y="81044"/>
          <a:ext cx="864687" cy="864687"/>
        </a:xfrm>
        <a:prstGeom prst="roundRect">
          <a:avLst>
            <a:gd name="adj" fmla="val 10000"/>
          </a:avLst>
        </a:prstGeom>
        <a:blipFill rotWithShape="1">
          <a:blip xmlns:r="http://schemas.openxmlformats.org/officeDocument/2006/relationships" r:embed="rId2">
            <a:extLst>
              <a:ext uri="{28A0092B-C50C-407E-A947-70E740481C1C}">
                <a14:useLocalDpi xmlns:a14="http://schemas.microsoft.com/office/drawing/2010/main" val="0"/>
              </a:ext>
            </a:extLst>
          </a:blip>
          <a:srcRect/>
          <a:stretch>
            <a:fillRect t="-5000" b="-5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185DDC0-C3A9-4C94-B9AC-8C953BD8D132}">
      <dsp:nvSpPr>
        <dsp:cNvPr id="0" name=""/>
        <dsp:cNvSpPr/>
      </dsp:nvSpPr>
      <dsp:spPr>
        <a:xfrm>
          <a:off x="1595039" y="680902"/>
          <a:ext cx="864687" cy="86468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Insertion of each vial into a bottle of water</a:t>
          </a:r>
        </a:p>
      </dsp:txBody>
      <dsp:txXfrm>
        <a:off x="1620365" y="706228"/>
        <a:ext cx="814035" cy="814035"/>
      </dsp:txXfrm>
    </dsp:sp>
    <dsp:sp modelId="{3AD5EE02-6352-43CD-BDC5-F0000368F5EA}">
      <dsp:nvSpPr>
        <dsp:cNvPr id="0" name=""/>
        <dsp:cNvSpPr/>
      </dsp:nvSpPr>
      <dsp:spPr>
        <a:xfrm>
          <a:off x="2373648" y="409502"/>
          <a:ext cx="166557" cy="20777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AU" sz="800" kern="1200"/>
        </a:p>
      </dsp:txBody>
      <dsp:txXfrm>
        <a:off x="2373648" y="451056"/>
        <a:ext cx="116590" cy="124664"/>
      </dsp:txXfrm>
    </dsp:sp>
    <dsp:sp modelId="{E80F67B5-D775-4D9A-82D2-C342181ABE29}">
      <dsp:nvSpPr>
        <dsp:cNvPr id="0" name=""/>
        <dsp:cNvSpPr/>
      </dsp:nvSpPr>
      <dsp:spPr>
        <a:xfrm>
          <a:off x="2682970" y="81044"/>
          <a:ext cx="864687" cy="864687"/>
        </a:xfrm>
        <a:prstGeom prst="roundRect">
          <a:avLst>
            <a:gd name="adj" fmla="val 10000"/>
          </a:avLst>
        </a:prstGeom>
        <a:blipFill rotWithShape="1">
          <a:blip xmlns:r="http://schemas.openxmlformats.org/officeDocument/2006/relationships" r:embed="rId3">
            <a:extLst>
              <a:ext uri="{28A0092B-C50C-407E-A947-70E740481C1C}">
                <a14:useLocalDpi xmlns:a14="http://schemas.microsoft.com/office/drawing/2010/main" val="0"/>
              </a:ext>
            </a:extLst>
          </a:blip>
          <a:srcRect/>
          <a:stretch>
            <a:fillRect t="-13000" b="-13000"/>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6342ABF-46FC-4E4A-9F70-518D623654A1}">
      <dsp:nvSpPr>
        <dsp:cNvPr id="0" name=""/>
        <dsp:cNvSpPr/>
      </dsp:nvSpPr>
      <dsp:spPr>
        <a:xfrm>
          <a:off x="2825569" y="680902"/>
          <a:ext cx="864687" cy="86468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Construction of multi-bottle phantom</a:t>
          </a:r>
        </a:p>
      </dsp:txBody>
      <dsp:txXfrm>
        <a:off x="2850895" y="706228"/>
        <a:ext cx="814035" cy="81403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0">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 dockstate="right" visibility="0" width="438"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70EE53A-68D6-4F39-8401-783EF54A2182}">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3622201919"/>
    <we:property name="MENDELEY_CITATIONS" value="[{&quot;citationID&quot;:&quot;MENDELEY_CITATION_0595484f-5c84-4371-9db8-85a7494ae03e&quot;,&quot;properties&quot;:{&quot;noteIndex&quot;:0},&quot;isEdited&quot;:false,&quot;manualOverride&quot;:{&quot;isManuallyOverridden&quot;:false,&quot;citeprocText&quot;:&quot;(1)&quot;,&quot;manualOverrideText&quot;:&quot;&quot;},&quot;citationTag&quot;:&quot;MENDELEY_CITATION_v3_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&quot;,&quot;citationItems&quot;:[{&quot;id&quot;:&quot;28c177af-4957-34c7-99d6-d64fee004514&quot;,&quot;itemData&quot;:{&quot;type&quot;:&quot;article-journal&quot;,&quot;id&quot;:&quot;28c177af-4957-34c7-99d6-d64fee004514&quot;,&quot;title&quot;:&quot;Spectral CT in practice: insights from an International Atomic Energy Agency survey&quot;,&quot;author&quot;:[{&quot;family&quot;:&quot;Tsapaki&quot;,&quot;given&quot;:&quot;Virginia&quot;,&quot;parse-names&quot;:false,&quot;dropping-particle&quot;:&quot;&quot;,&quot;non-dropping-particle&quot;:&quot;&quot;},{&quot;family&quot;:&quot;Brady&quot;,&quot;given&quot;:&quot;Zoe&quot;,&quot;parse-names&quot;:false,&quot;dropping-particle&quot;:&quot;&quot;,&quot;non-dropping-particle&quot;:&quot;&quot;},{&quot;family&quot;:&quot;Barbosa&quot;,&quot;given&quot;:&quot;Nathaly&quot;,&quot;parse-names&quot;:false,&quot;dropping-particle&quot;:&quot;&quot;,&quot;non-dropping-particle&quot;:&quot;&quot;},{&quot;family&quot;:&quot;Kachelrieß&quot;,&quot;given&quot;:&quot;Marc&quot;,&quot;parse-names&quot;:false,&quot;dropping-particle&quot;:&quot;&quot;,&quot;non-dropping-particle&quot;:&quot;&quot;},{&quot;family&quot;:&quot;Mahesh&quot;,&quot;given&quot;:&quot;Mahadevappa&quot;,&quot;parse-names&quot;:false,&quot;dropping-particle&quot;:&quot;&quot;,&quot;non-dropping-particle&quot;:&quot;&quot;},{&quot;family&quot;:&quot;Titovich&quot;,&quot;given&quot;:&quot;Egor&quot;,&quot;parse-names&quot;:false,&quot;dropping-particle&quot;:&quot;&quot;,&quot;non-dropping-particle&quot;:&quot;&quot;},{&quot;family&quot;:&quot;Van-Wyk&quot;,&quot;given&quot;:&quot;Bronwin&quot;,&quot;parse-names&quot;:false,&quot;dropping-particle&quot;:&quot;&quot;,&quot;non-dropping-particle&quot;:&quot;&quot;},{&quot;family&quot;:&quot;Carrara&quot;,&quot;given&quot;:&quot;Mauro&quot;,&quot;parse-names&quot;:false,&quot;dropping-particle&quot;:&quot;&quot;,&quot;non-dropping-particle&quot;:&quot;&quot;}],&quot;container-title&quot;:&quot;Insights into Imaging&quot;,&quot;container-title-short&quot;:&quot;Insights Imaging&quot;,&quot;DOI&quot;:&quot;10.1186/s13244-025-02109-z&quot;,&quot;ISSN&quot;:&quot;1869-4101&quot;,&quot;issued&quot;:{&quot;date-parts&quot;:[[2025,10,16]]},&quot;page&quot;:&quot;222&quot;,&quot;issue&quot;:&quot;1&quot;,&quot;volume&quot;:&quot;16&quot;},&quot;isTemporary&quot;:false}]},{&quot;citationID&quot;:&quot;MENDELEY_CITATION_c66e792a-87b4-4617-904b-5a30f75fce13&quot;,&quot;properties&quot;:{&quot;noteIndex&quot;:0},&quot;isEdited&quot;:false,&quot;manualOverride&quot;:{&quot;isManuallyOverridden&quot;:false,&quot;citeprocText&quot;:&quot;(2)&quot;,&quot;manualOverrideText&quot;:&quot;&quot;},&quot;citationTag&quot;:&quot;MENDELEY_CITATION_v3_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&quot;,&quot;citationItems&quot;:[{&quot;id&quot;:&quot;a2cfecef-8601-3db0-9667-4dd60330313f&quot;,&quot;itemData&quot;:{&quot;type&quot;:&quot;article-journal&quot;,&quot;id&quot;:&quot;a2cfecef-8601-3db0-9667-4dd60330313f&quot;,&quot;title&quot;:&quot;Dual- and multi-energy CT: Principles, technical approaches, and clinical applications&quot;,&quot;author&quot;:[{&quot;family&quot;:&quot;McCollough&quot;,&quot;given&quot;:&quot;Cynthia H.&quot;,&quot;parse-names&quot;:false,&quot;dropping-particle&quot;:&quot;&quot;,&quot;non-dropping-particle&quot;:&quot;&quot;},{&quot;family&quot;:&quot;Leng&quot;,&quot;given&quot;:&quot;Shuai&quot;,&quot;parse-names&quot;:false,&quot;dropping-particle&quot;:&quot;&quot;,&quot;non-dropping-particle&quot;:&quot;&quot;},{&quot;family&quot;:&quot;Yu&quot;,&quot;given&quot;:&quot;Lifeng&quot;,&quot;parse-names&quot;:false,&quot;dropping-particle&quot;:&quot;&quot;,&quot;non-dropping-particle&quot;:&quot;&quot;},{&quot;family&quot;:&quot;Fletcher&quot;,&quot;given&quot;:&quot;Joel G.&quot;,&quot;parse-names&quot;:false,&quot;dropping-particle&quot;:&quot;&quot;,&quot;non-dropping-particle&quot;:&quot;&quot;}],&quot;container-title&quot;:&quot;Radiology&quot;,&quot;DOI&quot;:&quot;10.1148/radiol.2015142631&quot;,&quot;ISSN&quot;:&quot;15271315&quot;,&quot;PMID&quot;:&quot;26302388&quot;,&quot;issued&quot;:{&quot;date-parts&quot;:[[2015,9,1]]},&quot;page&quot;:&quot;637-653&quot;,&quot;abstract&quot;:&quot;In x-ray computed tomography (CT), materials having different elemental compositions can be represented by identical pixel values on a CT image (ie, CT numbers), depending on the mass density of the material. Thus, the differentiation and classification of different tissue types and contrast agents can be extremely challenging. In dual-energy CT, an additional attenuation measurement is obtained with a second x-ray spectrum (ie, a second \&quot;energy\&quot;), allowing the differentiation of multiple materials. Alternatively, this allows quantification of the mass density of two or three materials in a mixture with known elemental composition. Recent advances in the use of energy-resolving, photon-counting detectors for CT imaging suggest the ability to acquire data in multiple energy bins, which is expected to further improve the signal-tonoise ratio for material-specific imaging. In this review, the underlying motivation and physical principles of dualor multi-energy CT are reviewed and each of the current technical approaches is described. In addition, current and evolving clinical applications are introduced.&quot;,&quot;publisher&quot;:&quot;Radiological Society of North America Inc.&quot;,&quot;issue&quot;:&quot;3&quot;,&quot;volume&quot;:&quot;276&quot;,&quot;container-title-short&quot;:&quot;Radiology&quot;},&quot;isTemporary&quot;:false}]},{&quot;citationID&quot;:&quot;MENDELEY_CITATION_1ef978e6-08b5-44af-8197-edc57d3fb5de&quot;,&quot;properties&quot;:{&quot;noteIndex&quot;:0},&quot;isEdited&quot;:false,&quot;manualOverride&quot;:{&quot;isManuallyOverridden&quot;:false,&quot;citeprocText&quot;:&quot;(3)&quot;,&quot;manualOverrideText&quot;:&quot;&quot;},&quot;citationTag&quot;:&quot;MENDELEY_CITATION_v3_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&quot;,&quot;citationItems&quot;:[{&quot;id&quot;:&quot;84b9f050-f711-3c3c-8512-1d4957197013&quot;,&quot;itemData&quot;:{&quot;type&quot;:&quot;article-journal&quot;,&quot;id&quot;:&quot;84b9f050-f711-3c3c-8512-1d4957197013&quot;,&quot;title&quot;:&quot;AAPM Task Group Report 299: Quality control in multi-energy computed tomography&quot;,&quot;author&quot;:[{&quot;family&quot;:&quot;Layman&quot;,&quot;given&quot;:&quot;Rick R.&quot;,&quot;parse-names&quot;:false,&quot;dropping-particle&quot;:&quot;&quot;,&quot;non-dropping-particle&quot;:&quot;&quot;},{&quot;family&quot;:&quot;Leng&quot;,&quot;given&quot;:&quot;Shuai&quot;,&quot;parse-names&quot;:false,&quot;dropping-particle&quot;:&quot;&quot;,&quot;non-dropping-particle&quot;:&quot;&quot;},{&quot;family&quot;:&quot;Boedeker&quot;,&quot;given&quot;:&quot;Kirsten L.&quot;,&quot;parse-names&quot;:false,&quot;dropping-particle&quot;:&quot;&quot;,&quot;non-dropping-particle&quot;:&quot;&quot;},{&quot;family&quot;:&quot;Burk&quot;,&quot;given&quot;:&quot;Laurel M.&quot;,&quot;parse-names&quot;:false,&quot;dropping-particle&quot;:&quot;&quot;,&quot;non-dropping-particle&quot;:&quot;&quot;},{&quot;family&quot;:&quot;Dang&quot;,&quot;given&quot;:&quot;Hao&quot;,&quot;parse-names&quot;:false,&quot;dropping-particle&quot;:&quot;&quot;,&quot;non-dropping-particle&quot;:&quot;&quot;},{&quot;family&quot;:&quot;Duan&quot;,&quot;given&quot;:&quot;Xinhui&quot;,&quot;parse-names&quot;:false,&quot;dropping-particle&quot;:&quot;&quot;,&quot;non-dropping-particle&quot;:&quot;&quot;},{&quot;family&quot;:&quot;Jacobsen&quot;,&quot;given&quot;:&quot;Megan C.&quot;,&quot;parse-names&quot;:false,&quot;dropping-particle&quot;:&quot;&quot;,&quot;non-dropping-particle&quot;:&quot;&quot;},{&quot;family&quot;:&quot;Li&quot;,&quot;given&quot;:&quot;Baojun&quot;,&quot;parse-names&quot;:false,&quot;dropping-particle&quot;:&quot;&quot;,&quot;non-dropping-particle&quot;:&quot;&quot;},{&quot;family&quot;:&quot;Li&quot;,&quot;given&quot;:&quot;Ke&quot;,&quot;parse-names&quot;:false,&quot;dropping-particle&quot;:&quot;&quot;,&quot;non-dropping-particle&quot;:&quot;&quot;},{&quot;family&quot;:&quot;Little&quot;,&quot;given&quot;:&quot;Kevin&quot;,&quot;parse-names&quot;:false,&quot;dropping-particle&quot;:&quot;&quot;,&quot;non-dropping-particle&quot;:&quot;&quot;},{&quot;family&quot;:&quot;Madhav&quot;,&quot;given&quot;:&quot;Priti&quot;,&quot;parse-names&quot;:false,&quot;dropping-particle&quot;:&quot;&quot;,&quot;non-dropping-particle&quot;:&quot;&quot;},{&quot;family&quot;:&quot;Miller&quot;,&quot;given&quot;:&quot;Jessica&quot;,&quot;parse-names&quot;:false,&quot;dropping-particle&quot;:&quot;&quot;,&quot;non-dropping-particle&quot;:&quot;&quot;},{&quot;family&quot;:&quot;Nute&quot;,&quot;given&quot;:&quot;Jessica L.&quot;,&quot;parse-names&quot;:false,&quot;dropping-particle&quot;:&quot;&quot;,&quot;non-dropping-particle&quot;:&quot;&quot;},{&quot;family&quot;:&quot;Giraldo&quot;,&quot;given&quot;:&quot;Juan Carlos Ramirez&quot;,&quot;parse-names&quot;:false,&quot;dropping-particle&quot;:&quot;&quot;,&quot;non-dropping-particle&quot;:&quot;&quot;},{&quot;family&quot;:&quot;Ruchala&quot;,&quot;given&quot;:&quot;Kenneth J.&quot;,&quot;parse-names&quot;:false,&quot;dropping-particle&quot;:&quot;&quot;,&quot;non-dropping-particle&quot;:&quot;&quot;},{&quot;family&quot;:&quot;Tao&quot;,&quot;given&quot;:&quot;Shengzhen&quot;,&quot;parse-names&quot;:false,&quot;dropping-particle&quot;:&quot;&quot;,&quot;non-dropping-particle&quot;:&quot;&quot;},{&quot;family&quot;:&quot;Varchena&quot;,&quot;given&quot;:&quot;Vladimir&quot;,&quot;parse-names&quot;:false,&quot;dropping-particle&quot;:&quot;&quot;,&quot;non-dropping-particle&quot;:&quot;&quot;},{&quot;family&quot;:&quot;Vedantham&quot;,&quot;given&quot;:&quot;Srinivasan&quot;,&quot;parse-names&quot;:false,&quot;dropping-particle&quot;:&quot;&quot;,&quot;non-dropping-particle&quot;:&quot;&quot;},{&quot;family&quot;:&quot;Zeng&quot;,&quot;given&quot;:&quot;Rongping&quot;,&quot;parse-names&quot;:false,&quot;dropping-particle&quot;:&quot;&quot;,&quot;non-dropping-particle&quot;:&quot;&quot;},{&quot;family&quot;:&quot;Zhang&quot;,&quot;given&quot;:&quot;Da&quot;,&quot;parse-names&quot;:false,&quot;dropping-particle&quot;:&quot;&quot;,&quot;non-dropping-particle&quot;:&quot;&quot;}],&quot;container-title&quot;:&quot;Medical Physics&quot;,&quot;container-title-short&quot;:&quot;Med. Phys.&quot;,&quot;DOI&quot;:&quot;10.1002/mp.17322&quot;,&quot;ISSN&quot;:&quot;24734209&quot;,&quot;PMID&quot;:&quot;39072826&quot;,&quot;issued&quot;:{&quot;date-parts&quot;:[[2024,10,1]]},&quot;page&quot;:&quot;7012-7037&quot;,&quot;abstract&quot;:&quot;Multi-energy computed tomography (MECT) offers the opportunity for advanced visualization, detection, and quantification of select elements (e.g., iodine) or materials (e.g., fat) beyond the capability of standard single-energy computed tomography (CT). However, the use of MECT requires careful consideration as substantially different hardware and software approaches have been used by manufacturers, including different sets of user-selected or hidden parameters that affect the performance and radiation dose of MECT. Another important consideration when designing MECT protocols is appreciation of the specific tasks being performed; for instance, differentiating between two different materials or quantifying a specific element. For a given task, it is imperative to consider both the radiation dose and task-specific image quality requirements. Development of a quality control (QC) program is essential to ensure the accuracy and reproducibility of these MECT applications. Although standard QC procedures have been well established for conventional single-energy CT, the substantial differences between single-energy CT and MECT in terms of system implementations, imaging protocols, and clinical tasks warrant QC tests specific to MECT. This task group was therefore charged with developing a systematic QC program designed to meet the needs of MECT applications. In this report, we review the various MECT approaches that are commercially available, including information about hardware implementation, MECT image types, image reconstruction, and postprocessing techniques that are unique to MECT. We address the requirements for MECT phantoms, review representative commercial MECT phantoms, and offer guidance regarding homemade MECT phantoms. We discuss the development of MECT protocols, which must be designed carefully with proper consideration of MECT technology, imaging task, and radiation dose. We then outline specific recommended QC tests in terms of general image quality, radiation dose, differentiation and quantification tasks, and diagnostic and therapeutic applications.&quot;,&quot;publisher&quot;:&quot;John Wiley and Sons Ltd&quot;,&quot;issue&quot;:&quot;10&quot;,&quot;volume&quot;:&quot;51&quot;},&quot;isTemporary&quot;:false}]},{&quot;citationID&quot;:&quot;MENDELEY_CITATION_fa1b974f-0c79-47c3-a2d1-1d43df4ac3c3&quot;,&quot;properties&quot;:{&quot;noteIndex&quot;:0},&quot;isEdited&quot;:false,&quot;manualOverride&quot;:{&quot;isManuallyOverridden&quot;:false,&quot;citeprocText&quot;:&quot;(4–6)&quot;,&quot;manualOverrideText&quot;:&quot;&quot;},&quot;citationTag&quot;:&quot;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&quot;,&quot;citationItems&quot;:[{&quot;id&quot;:&quot;30d3d788-f08a-3b9d-9fe7-342f3f931819&quot;,&quot;itemData&quot;:{&quot;type&quot;:&quot;article-journal&quot;,&quot;id&quot;:&quot;30d3d788-f08a-3b9d-9fe7-342f3f931819&quot;,&quot;title&quot;:&quot;Development of a dual-energy computed tomography quality control program: Characterization of scanner response and definition of relevant parameters for a fast-kVp switching dual-energy computed tomography system&quot;,&quot;author&quot;:[{&quot;family&quot;:&quot;Nute&quot;,&quot;given&quot;:&quot;Jessica L.&quot;,&quot;parse-names&quot;:false,&quot;dropping-particle&quot;:&quot;&quot;,&quot;non-dropping-particle&quot;:&quot;&quot;},{&quot;family&quot;:&quot;Jacobsen&quot;,&quot;given&quot;:&quot;Megan C.&quot;,&quot;parse-names&quot;:false,&quot;dropping-particle&quot;:&quot;&quot;,&quot;non-dropping-particle&quot;:&quot;&quot;},{&quot;family&quot;:&quot;Stefan&quot;,&quot;given&quot;:&quot;Wolfgang&quot;,&quot;parse-names&quot;:false,&quot;dropping-particle&quot;:&quot;&quot;,&quot;non-dropping-particle&quot;:&quot;&quot;},{&quot;family&quot;:&quot;Wei&quot;,&quot;given&quot;:&quot;Wei&quot;,&quot;parse-names&quot;:false,&quot;dropping-particle&quot;:&quot;&quot;,&quot;non-dropping-particle&quot;:&quot;&quot;},{&quot;family&quot;:&quot;Cody&quot;,&quot;given&quot;:&quot;Dianna D.&quot;,&quot;parse-names&quot;:false,&quot;dropping-particle&quot;:&quot;&quot;,&quot;non-dropping-particle&quot;:&quot;&quot;}],&quot;container-title&quot;:&quot;Medical Physics&quot;,&quot;container-title-short&quot;:&quot;Med. Phys.&quot;,&quot;DOI&quot;:&quot;10.1002/mp.12812&quot;,&quot;ISSN&quot;:&quot;24734209&quot;,&quot;PMID&quot;:&quot;29446082&quot;,&quot;issued&quot;:{&quot;date-parts&quot;:[[2018,4,1]]},&quot;page&quot;:&quot;1444-1458&quot;,&quot;abstract&quot;:&quot;Purpose: A prototype QC phantom system and analysis process were developed to characterize the spectral capabilities of a fast kV-switching dual-energy computed tomography (DECT) scanner. This work addresses the current lack of quantitative oversight for this technology, with the goal of identifying relevant scan parameters and test metrics instrumental to the development of a dual-energy quality control (DEQC). Methods: A prototype elliptical phantom (effective diameter: 35 cm) was designed with multiple material inserts for DECT imaging. Inserts included tissue equivalent and material rods (including iodine and calcium at varying concentrations). The phantom was scanned on a fast kV-switching DECT system using 16 dual-energy acquisitions (CTDIvol range: 10.3–62 mGy) with varying pitch, rotation time, and tube current. The circular head phantom (22 cm diameter) was scanned using a similar protocol (12 acquisitions; CTDIvol range: 36.7–132.6 mGy). All acquisitions were reconstructed at 50, 70, 110, and 140 keV and using a water-iodine material basis pair. The images were evaluated for iodine quantification accuracy, stability of monoenergetic reconstruction CT number, noise, and positional constancy. Variance component analysis was used to identify technique parameters that drove deviations in test metrics. Variances were compared to thresholds derived from manufacturer tolerances to determine technique parameters that had a nominally significant effect on test metrics. Results: Iodine quantification error was largely unaffected by any of the technique parameters investigated. Monoenergetic HU stability was found to be affected by mAs, with a threshold under which spectral separation was unsuccessful, diminishing the utility of DECT imaging. Noise was found to be affected by CTDIvol in the DEQC body phantom, and CTDIvol and mA in the DEQC head phantom. Positional constancy was found to be affected by mAs in the DEQC body phantom and mA in the DEQC head phantom. Conclusion: A streamlined scan protocol was developed to further investigate the effects of CTDIvol and rotation time while limiting data collection to the DEQC body phantom. Further data collection will be pursued to determine baseline values and statistically based failure thresholds for the validation of long-term DECT scanner performance.&quot;,&quot;publisher&quot;:&quot;John Wiley and Sons Ltd&quot;,&quot;issue&quot;:&quot;4&quot;,&quot;volume&quot;:&quot;45&quot;},&quot;isTemporary&quot;:false},{&quot;id&quot;:&quot;34ec82ce-28ec-38ed-a2bd-93069b578599&quot;,&quot;itemData&quot;:{&quot;type&quot;:&quot;article-journal&quot;,&quot;id&quot;:&quot;34ec82ce-28ec-38ed-a2bd-93069b578599&quot;,&quot;title&quot;:&quot;Design and implementation of a practical quality control program for dual-energy CT&quot;,&quot;author&quot;:[{&quot;family&quot;:&quot;Green&quot;,&quot;given&quot;:&quot;Crystal A.&quot;,&quot;parse-names&quot;:false,&quot;dropping-particle&quot;:&quot;&quot;,&quot;non-dropping-particle&quot;:&quot;&quot;},{&quot;family&quot;:&quot;Solomon&quot;,&quot;given&quot;:&quot;Justin B.&quot;,&quot;parse-names&quot;:false,&quot;dropping-particle&quot;:&quot;&quot;,&quot;non-dropping-particle&quot;:&quot;&quot;},{&quot;family&quot;:&quot;Ruchala&quot;,&quot;given&quot;:&quot;Kenneth J.&quot;,&quot;parse-names&quot;:false,&quot;dropping-particle&quot;:&quot;&quot;,&quot;non-dropping-particle&quot;:&quot;&quot;},{&quot;family&quot;:&quot;Samei&quot;,&quot;given&quot;:&quot;Ehsan&quot;,&quot;parse-names&quot;:false,&quot;dropping-particle&quot;:&quot;&quot;,&quot;non-dropping-particle&quot;:&quot;&quot;}],&quot;container-title&quot;:&quot;Journal of Applied Clinical Medical Physics&quot;,&quot;container-title-short&quot;:&quot;J. Appl. Clin. Med. Phys.&quot;,&quot;DOI&quot;:&quot;10.1002/acm2.13396&quot;,&quot;ISSN&quot;:&quot;15269914&quot;,&quot;PMID&quot;:&quot;34472700&quot;,&quot;issued&quot;:{&quot;date-parts&quot;:[[2021,10,1]]},&quot;page&quot;:&quot;249-260&quot;,&quot;abstract&quot;:&quot;A novel routine dual-energy computed tomography (DECT) quality control (QC) program was developed to address the current deficiency of routine QC for this technology. The dual-energy quality control (DEQC) program features (1) a practical phantom with clinically relevant materials and concentrations, (2) a clinically relevant acquisition, reconstruction, and postprocessing protocol, and (3) a fully automated analysis software to extract quantitative data for database storage and trend analysis. The phantom, designed for easy set up for standalone or adjacent imaging next to the ACR phantom, was made in collaboration with an industry partner and informed by clinical needs to have four iodine inserts (0.5, 1, 2, and 5 mg/ml) and one calcium insert (100 mg/ml) equally spaced in a cylindrical water-equivalent background. The imaging protocol was based on a clinical DECT abdominal protocol capable of producing material specific concentration maps, virtual unenhanced images, and virtual monochromatic images. The QC automated analysis software uses open-source technologies which integrates well with our current automated CT QC database. The QC program was tested on a GE 750 HD scanner and two Siemens SOMATOM FLASH scanners over a 3-month period. The automated algorithm correctly identified the appropriate region of interest (ROI) locations and stores measured values in a database for monitoring and trend analysis. Slight variations in protocol settings were noted based on manufacturer. Overall, the project proved to provide a convenient and dependable clinical tool for routine oversight of DE CT imaging within the clinic.&quot;,&quot;publisher&quot;:&quot;John Wiley and Sons Ltd&quot;,&quot;issue&quot;:&quot;10&quot;,&quot;volume&quot;:&quot;22&quot;},&quot;isTemporary&quot;:false},{&quot;id&quot;:&quot;1308ac7b-7387-3ef1-ac94-f4bd4549d4f9&quot;,&quot;itemData&quot;:{&quot;type&quot;:&quot;article-journal&quot;,&quot;id&quot;:&quot;1308ac7b-7387-3ef1-ac94-f4bd4549d4f9&quot;,&quot;title&quot;:&quot;Threshold-dependent iodine imaging and spectral separation in a whole-body photon-counting CT system&quot;,&quot;author&quot;:[{&quot;family&quot;:&quot;Sawall&quot;,&quot;given&quot;:&quot;S.&quot;,&quot;parse-names&quot;:false,&quot;dropping-particle&quot;:&quot;&quot;,&quot;non-dropping-particle&quot;:&quot;&quot;},{&quot;family&quot;:&quot;Klein&quot;,&quot;given&quot;:&quot;L.&quot;,&quot;parse-names&quot;:false,&quot;dropping-particle&quot;:&quot;&quot;,&quot;non-dropping-particle&quot;:&quot;&quot;},{&quot;family&quot;:&quot;Wehrse&quot;,&quot;given&quot;:&quot;E.&quot;,&quot;parse-names&quot;:false,&quot;dropping-particle&quot;:&quot;&quot;,&quot;non-dropping-particle&quot;:&quot;&quot;},{&quot;family&quot;:&quot;Rotkopf&quot;,&quot;given&quot;:&quot;L. T.&quot;,&quot;parse-names&quot;:false,&quot;dropping-particle&quot;:&quot;&quot;,&quot;non-dropping-particle&quot;:&quot;&quot;},{&quot;family&quot;:&quot;Amato&quot;,&quot;given&quot;:&quot;C.&quot;,&quot;parse-names&quot;:false,&quot;dropping-particle&quot;:&quot;&quot;,&quot;non-dropping-particle&quot;:&quot;&quot;},{&quot;family&quot;:&quot;Maier&quot;,&quot;given&quot;:&quot;J.&quot;,&quot;parse-names&quot;:false,&quot;dropping-particle&quot;:&quot;&quot;,&quot;non-dropping-particle&quot;:&quot;&quot;},{&quot;family&quot;:&quot;Schlemmer&quot;,&quot;given&quot;:&quot;H.-P.&quot;,&quot;parse-names&quot;:false,&quot;dropping-particle&quot;:&quot;&quot;,&quot;non-dropping-particle&quot;:&quot;&quot;},{&quot;family&quot;:&quot;Ziener&quot;,&quot;given&quot;:&quot;C. H.&quot;,&quot;parse-names&quot;:false,&quot;dropping-particle&quot;:&quot;&quot;,&quot;non-dropping-particle&quot;:&quot;&quot;},{&quot;family&quot;:&quot;Heinze&quot;,&quot;given&quot;:&quot;S.&quot;,&quot;parse-names&quot;:false,&quot;dropping-particle&quot;:&quot;&quot;,&quot;non-dropping-particle&quot;:&quot;&quot;},{&quot;family&quot;:&quot;Kachelrieß&quot;,&quot;given&quot;:&quot;M.&quot;,&quot;parse-names&quot;:false,&quot;dropping-particle&quot;:&quot;&quot;,&quot;non-dropping-particle&quot;:&quot;&quot;}],&quot;container-title&quot;:&quot;European Radiology&quot;,&quot;container-title-short&quot;:&quot;Eur. Radiol.&quot;,&quot;DOI&quot;:&quot;10.1007/s00330-021-07786-0&quot;,&quot;ISSN&quot;:&quot;0938-7994&quot;,&quot;issued&quot;:{&quot;date-parts&quot;:[[2021,9,13]]},&quot;page&quot;:&quot;6631-6639&quot;,&quot;issue&quot;:&quot;9&quot;,&quot;volume&quot;:&quot;31&quot;},&quot;isTemporary&quot;:false}]},{&quot;citationID&quot;:&quot;MENDELEY_CITATION_b15951f5-5fb2-48cb-b21c-aedc52ddf3f6&quot;,&quot;properties&quot;:{&quot;noteIndex&quot;:0},&quot;isEdited&quot;:false,&quot;manualOverride&quot;:{&quot;isManuallyOverridden&quot;:false,&quot;citeprocText&quot;:&quot;(7)&quot;,&quot;manualOverrideText&quot;:&quot;&quot;},&quot;citationTag&quot;:&quot;MENDELEY_CITATION_v3_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&quot;,&quot;citationItems&quot;:[{&quot;id&quot;:&quot;6085cf30-90af-30ba-a193-322dcf836de4&quot;,&quot;itemData&quot;:{&quot;type&quot;:&quot;article-journal&quot;,&quot;id&quot;:&quot;6085cf30-90af-30ba-a193-322dcf836de4&quot;,&quot;title&quot;:&quot;Dual-Energy CT: Lower Limits of Iodine Detection and Quantification&quot;,&quot;author&quot;:[{&quot;family&quot;:&quot;Jacobsen&quot;,&quot;given&quot;:&quot;Megan C.&quot;,&quot;parse-names&quot;:false,&quot;dropping-particle&quot;:&quot;&quot;,&quot;non-dropping-particle&quot;:&quot;&quot;},{&quot;family&quot;:&quot;Cressman&quot;,&quot;given&quot;:&quot;Erik N. K.&quot;,&quot;parse-names&quot;:false,&quot;dropping-particle&quot;:&quot;&quot;,&quot;non-dropping-particle&quot;:&quot;&quot;},{&quot;family&quot;:&quot;Tamm&quot;,&quot;given&quot;:&quot;Eric P.&quot;,&quot;parse-names&quot;:false,&quot;dropping-particle&quot;:&quot;&quot;,&quot;non-dropping-particle&quot;:&quot;&quot;},{&quot;family&quot;:&quot;Baluya&quot;,&quot;given&quot;:&quot;Dodge L.&quot;,&quot;parse-names&quot;:false,&quot;dropping-particle&quot;:&quot;&quot;,&quot;non-dropping-particle&quot;:&quot;&quot;},{&quot;family&quot;:&quot;Duan&quot;,&quot;given&quot;:&quot;Xinhui&quot;,&quot;parse-names&quot;:false,&quot;dropping-particle&quot;:&quot;&quot;,&quot;non-dropping-particle&quot;:&quot;&quot;},{&quot;family&quot;:&quot;Cody&quot;,&quot;given&quot;:&quot;Dianna D.&quot;,&quot;parse-names&quot;:false,&quot;dropping-particle&quot;:&quot;&quot;,&quot;non-dropping-particle&quot;:&quot;&quot;},{&quot;family&quot;:&quot;Schellingerhout&quot;,&quot;given&quot;:&quot;Dawid&quot;,&quot;parse-names&quot;:false,&quot;dropping-particle&quot;:&quot;&quot;,&quot;non-dropping-particle&quot;:&quot;&quot;},{&quot;family&quot;:&quot;Layman&quot;,&quot;given&quot;:&quot;Rick R.&quot;,&quot;parse-names&quot;:false,&quot;dropping-particle&quot;:&quot;&quot;,&quot;non-dropping-particle&quot;:&quot;&quot;}],&quot;container-title&quot;:&quot;Radiology&quot;,&quot;container-title-short&quot;:&quot;Radiology&quot;,&quot;DOI&quot;:&quot;10.1148/radiol.2019182870&quot;,&quot;ISSN&quot;:&quot;0033-8419&quot;,&quot;issued&quot;:{&quot;date-parts&quot;:[[2019,8]]},&quot;page&quot;:&quot;414-419&quot;,&quot;issue&quot;:&quot;2&quot;,&quot;volume&quot;:&quot;292&quot;},&quot;isTemporary&quot;:false}]},{&quot;citationID&quot;:&quot;MENDELEY_CITATION_b690ee09-d2b8-4723-8d2d-2c278d7de89d&quot;,&quot;properties&quot;:{&quot;noteIndex&quot;:0},&quot;isEdited&quot;:false,&quot;manualOverride&quot;:{&quot;isManuallyOverridden&quot;:false,&quot;citeprocText&quot;:&quot;(3)&quot;,&quot;manualOverrideText&quot;:&quot;&quot;},&quot;citationTag&quot;:&quot;MENDELEY_CITATION_v3_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&quot;,&quot;citationItems&quot;:[{&quot;id&quot;:&quot;84b9f050-f711-3c3c-8512-1d4957197013&quot;,&quot;itemData&quot;:{&quot;type&quot;:&quot;article-journal&quot;,&quot;id&quot;:&quot;84b9f050-f711-3c3c-8512-1d4957197013&quot;,&quot;title&quot;:&quot;AAPM Task Group Report 299: Quality control in multi-energy computed tomography&quot;,&quot;author&quot;:[{&quot;family&quot;:&quot;Layman&quot;,&quot;given&quot;:&quot;Rick R.&quot;,&quot;parse-names&quot;:false,&quot;dropping-particle&quot;:&quot;&quot;,&quot;non-dropping-particle&quot;:&quot;&quot;},{&quot;family&quot;:&quot;Leng&quot;,&quot;given&quot;:&quot;Shuai&quot;,&quot;parse-names&quot;:false,&quot;dropping-particle&quot;:&quot;&quot;,&quot;non-dropping-particle&quot;:&quot;&quot;},{&quot;family&quot;:&quot;Boedeker&quot;,&quot;given&quot;:&quot;Kirsten L.&quot;,&quot;parse-names&quot;:false,&quot;dropping-particle&quot;:&quot;&quot;,&quot;non-dropping-particle&quot;:&quot;&quot;},{&quot;family&quot;:&quot;Burk&quot;,&quot;given&quot;:&quot;Laurel M.&quot;,&quot;parse-names&quot;:false,&quot;dropping-particle&quot;:&quot;&quot;,&quot;non-dropping-particle&quot;:&quot;&quot;},{&quot;family&quot;:&quot;Dang&quot;,&quot;given&quot;:&quot;Hao&quot;,&quot;parse-names&quot;:false,&quot;dropping-particle&quot;:&quot;&quot;,&quot;non-dropping-particle&quot;:&quot;&quot;},{&quot;family&quot;:&quot;Duan&quot;,&quot;given&quot;:&quot;Xinhui&quot;,&quot;parse-names&quot;:false,&quot;dropping-particle&quot;:&quot;&quot;,&quot;non-dropping-particle&quot;:&quot;&quot;},{&quot;family&quot;:&quot;Jacobsen&quot;,&quot;given&quot;:&quot;Megan C.&quot;,&quot;parse-names&quot;:false,&quot;dropping-particle&quot;:&quot;&quot;,&quot;non-dropping-particle&quot;:&quot;&quot;},{&quot;family&quot;:&quot;Li&quot;,&quot;given&quot;:&quot;Baojun&quot;,&quot;parse-names&quot;:false,&quot;dropping-particle&quot;:&quot;&quot;,&quot;non-dropping-particle&quot;:&quot;&quot;},{&quot;family&quot;:&quot;Li&quot;,&quot;given&quot;:&quot;Ke&quot;,&quot;parse-names&quot;:false,&quot;dropping-particle&quot;:&quot;&quot;,&quot;non-dropping-particle&quot;:&quot;&quot;},{&quot;family&quot;:&quot;Little&quot;,&quot;given&quot;:&quot;Kevin&quot;,&quot;parse-names&quot;:false,&quot;dropping-particle&quot;:&quot;&quot;,&quot;non-dropping-particle&quot;:&quot;&quot;},{&quot;family&quot;:&quot;Madhav&quot;,&quot;given&quot;:&quot;Priti&quot;,&quot;parse-names&quot;:false,&quot;dropping-particle&quot;:&quot;&quot;,&quot;non-dropping-particle&quot;:&quot;&quot;},{&quot;family&quot;:&quot;Miller&quot;,&quot;given&quot;:&quot;Jessica&quot;,&quot;parse-names&quot;:false,&quot;dropping-particle&quot;:&quot;&quot;,&quot;non-dropping-particle&quot;:&quot;&quot;},{&quot;family&quot;:&quot;Nute&quot;,&quot;given&quot;:&quot;Jessica L.&quot;,&quot;parse-names&quot;:false,&quot;dropping-particle&quot;:&quot;&quot;,&quot;non-dropping-particle&quot;:&quot;&quot;},{&quot;family&quot;:&quot;Giraldo&quot;,&quot;given&quot;:&quot;Juan Carlos Ramirez&quot;,&quot;parse-names&quot;:false,&quot;dropping-particle&quot;:&quot;&quot;,&quot;non-dropping-particle&quot;:&quot;&quot;},{&quot;family&quot;:&quot;Ruchala&quot;,&quot;given&quot;:&quot;Kenneth J.&quot;,&quot;parse-names&quot;:false,&quot;dropping-particle&quot;:&quot;&quot;,&quot;non-dropping-particle&quot;:&quot;&quot;},{&quot;family&quot;:&quot;Tao&quot;,&quot;given&quot;:&quot;Shengzhen&quot;,&quot;parse-names&quot;:false,&quot;dropping-particle&quot;:&quot;&quot;,&quot;non-dropping-particle&quot;:&quot;&quot;},{&quot;family&quot;:&quot;Varchena&quot;,&quot;given&quot;:&quot;Vladimir&quot;,&quot;parse-names&quot;:false,&quot;dropping-particle&quot;:&quot;&quot;,&quot;non-dropping-particle&quot;:&quot;&quot;},{&quot;family&quot;:&quot;Vedantham&quot;,&quot;given&quot;:&quot;Srinivasan&quot;,&quot;parse-names&quot;:false,&quot;dropping-particle&quot;:&quot;&quot;,&quot;non-dropping-particle&quot;:&quot;&quot;},{&quot;family&quot;:&quot;Zeng&quot;,&quot;given&quot;:&quot;Rongping&quot;,&quot;parse-names&quot;:false,&quot;dropping-particle&quot;:&quot;&quot;,&quot;non-dropping-particle&quot;:&quot;&quot;},{&quot;family&quot;:&quot;Zhang&quot;,&quot;given&quot;:&quot;Da&quot;,&quot;parse-names&quot;:false,&quot;dropping-particle&quot;:&quot;&quot;,&quot;non-dropping-particle&quot;:&quot;&quot;}],&quot;container-title&quot;:&quot;Medical Physics&quot;,&quot;container-title-short&quot;:&quot;Med. Phys.&quot;,&quot;DOI&quot;:&quot;10.1002/mp.17322&quot;,&quot;ISSN&quot;:&quot;24734209&quot;,&quot;PMID&quot;:&quot;39072826&quot;,&quot;issued&quot;:{&quot;date-parts&quot;:[[2024,10,1]]},&quot;page&quot;:&quot;7012-7037&quot;,&quot;abstract&quot;:&quot;Multi-energy computed tomography (MECT) offers the opportunity for advanced visualization, detection, and quantification of select elements (e.g., iodine) or materials (e.g., fat) beyond the capability of standard single-energy computed tomography (CT). However, the use of MECT requires careful consideration as substantially different hardware and software approaches have been used by manufacturers, including different sets of user-selected or hidden parameters that affect the performance and radiation dose of MECT. Another important consideration when designing MECT protocols is appreciation of the specific tasks being performed; for instance, differentiating between two different materials or quantifying a specific element. For a given task, it is imperative to consider both the radiation dose and task-specific image quality requirements. Development of a quality control (QC) program is essential to ensure the accuracy and reproducibility of these MECT applications. Although standard QC procedures have been well established for conventional single-energy CT, the substantial differences between single-energy CT and MECT in terms of system implementations, imaging protocols, and clinical tasks warrant QC tests specific to MECT. This task group was therefore charged with developing a systematic QC program designed to meet the needs of MECT applications. In this report, we review the various MECT approaches that are commercially available, including information about hardware implementation, MECT image types, image reconstruction, and postprocessing techniques that are unique to MECT. We address the requirements for MECT phantoms, review representative commercial MECT phantoms, and offer guidance regarding homemade MECT phantoms. We discuss the development of MECT protocols, which must be designed carefully with proper consideration of MECT technology, imaging task, and radiation dose. We then outline specific recommended QC tests in terms of general image quality, radiation dose, differentiation and quantification tasks, and diagnostic and therapeutic applications.&quot;,&quot;publisher&quot;:&quot;John Wiley and Sons Ltd&quot;,&quot;issue&quot;:&quot;10&quot;,&quot;volume&quot;:&quot;51&quot;},&quot;isTemporary&quot;:false}]},{&quot;citationID&quot;:&quot;MENDELEY_CITATION_0737f778-8cc9-46df-bea9-bade049167b3&quot;,&quot;properties&quot;:{&quot;noteIndex&quot;:0},&quot;isEdited&quot;:false,&quot;manualOverride&quot;:{&quot;isManuallyOverridden&quot;:false,&quot;citeprocText&quot;:&quot;(7)&quot;,&quot;manualOverrideText&quot;:&quot;&quot;},&quot;citationTag&quot;:&quot;MENDELEY_CITATION_v3_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&quot;,&quot;citationItems&quot;:[{&quot;id&quot;:&quot;6085cf30-90af-30ba-a193-322dcf836de4&quot;,&quot;itemData&quot;:{&quot;type&quot;:&quot;article-journal&quot;,&quot;id&quot;:&quot;6085cf30-90af-30ba-a193-322dcf836de4&quot;,&quot;title&quot;:&quot;Dual-Energy CT: Lower Limits of Iodine Detection and Quantification&quot;,&quot;author&quot;:[{&quot;family&quot;:&quot;Jacobsen&quot;,&quot;given&quot;:&quot;Megan C.&quot;,&quot;parse-names&quot;:false,&quot;dropping-particle&quot;:&quot;&quot;,&quot;non-dropping-particle&quot;:&quot;&quot;},{&quot;family&quot;:&quot;Cressman&quot;,&quot;given&quot;:&quot;Erik N. K.&quot;,&quot;parse-names&quot;:false,&quot;dropping-particle&quot;:&quot;&quot;,&quot;non-dropping-particle&quot;:&quot;&quot;},{&quot;family&quot;:&quot;Tamm&quot;,&quot;given&quot;:&quot;Eric P.&quot;,&quot;parse-names&quot;:false,&quot;dropping-particle&quot;:&quot;&quot;,&quot;non-dropping-particle&quot;:&quot;&quot;},{&quot;family&quot;:&quot;Baluya&quot;,&quot;given&quot;:&quot;Dodge L.&quot;,&quot;parse-names&quot;:false,&quot;dropping-particle&quot;:&quot;&quot;,&quot;non-dropping-particle&quot;:&quot;&quot;},{&quot;family&quot;:&quot;Duan&quot;,&quot;given&quot;:&quot;Xinhui&quot;,&quot;parse-names&quot;:false,&quot;dropping-particle&quot;:&quot;&quot;,&quot;non-dropping-particle&quot;:&quot;&quot;},{&quot;family&quot;:&quot;Cody&quot;,&quot;given&quot;:&quot;Dianna D.&quot;,&quot;parse-names&quot;:false,&quot;dropping-particle&quot;:&quot;&quot;,&quot;non-dropping-particle&quot;:&quot;&quot;},{&quot;family&quot;:&quot;Schellingerhout&quot;,&quot;given&quot;:&quot;Dawid&quot;,&quot;parse-names&quot;:false,&quot;dropping-particle&quot;:&quot;&quot;,&quot;non-dropping-particle&quot;:&quot;&quot;},{&quot;family&quot;:&quot;Layman&quot;,&quot;given&quot;:&quot;Rick R.&quot;,&quot;parse-names&quot;:false,&quot;dropping-particle&quot;:&quot;&quot;,&quot;non-dropping-particle&quot;:&quot;&quot;}],&quot;container-title&quot;:&quot;Radiology&quot;,&quot;container-title-short&quot;:&quot;Radiology&quot;,&quot;DOI&quot;:&quot;10.1148/radiol.2019182870&quot;,&quot;ISSN&quot;:&quot;0033-8419&quot;,&quot;issued&quot;:{&quot;date-parts&quot;:[[2019,8]]},&quot;page&quot;:&quot;414-419&quot;,&quot;issue&quot;:&quot;2&quot;,&quot;volume&quot;:&quot;292&quot;},&quot;isTemporary&quot;:false}]},{&quot;citationID&quot;:&quot;MENDELEY_CITATION_6e5e1118-3e45-4d5a-8d4d-edd0d8ab6838&quot;,&quot;properties&quot;:{&quot;noteIndex&quot;:0},&quot;isEdited&quot;:false,&quot;manualOverride&quot;:{&quot;isManuallyOverridden&quot;:false,&quot;citeprocText&quot;:&quot;(8)&quot;,&quot;manualOverrideText&quot;:&quot;&quot;},&quot;citationTag&quot;:&quot;MENDELEY_CITATION_v3_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&quot;,&quot;citationItems&quot;:[{&quot;id&quot;:&quot;5d4d881b-ad75-399d-bb91-6bc5022a6fb0&quot;,&quot;itemData&quot;:{&quot;type&quot;:&quot;article-journal&quot;,&quot;id&quot;:&quot;5d4d881b-ad75-399d-bb91-6bc5022a6fb0&quot;,&quot;title&quot;:&quot;Accuracy of Dual-Energy CT Virtual Unenhanced and Material-Specific Images: A Phantom Study&quot;,&quot;author&quot;:[{&quot;family&quot;:&quot;Li&quot;,&quot;given&quot;:&quot;Baojun&quot;,&quot;parse-names&quot;:false,&quot;dropping-particle&quot;:&quot;&quot;,&quot;non-dropping-particle&quot;:&quot;&quot;},{&quot;family&quot;:&quot;Pomerleau&quot;,&quot;given&quot;:&quot;Mark&quot;,&quot;parse-names&quot;:false,&quot;dropping-particle&quot;:&quot;&quot;,&quot;non-dropping-particle&quot;:&quot;&quot;},{&quot;family&quot;:&quot;Gupta&quot;,&quot;given&quot;:&quot;Avneesh&quot;,&quot;parse-names&quot;:false,&quot;dropping-particle&quot;:&quot;&quot;,&quot;non-dropping-particle&quot;:&quot;&quot;},{&quot;family&quot;:&quot;Soto&quot;,&quot;given&quot;:&quot;Jorge A.&quot;,&quot;parse-names&quot;:false,&quot;dropping-particle&quot;:&quot;&quot;,&quot;non-dropping-particle&quot;:&quot;&quot;},{&quot;family&quot;:&quot;Anderson&quot;,&quot;given&quot;:&quot;Stephan W.&quot;,&quot;parse-names&quot;:false,&quot;dropping-particle&quot;:&quot;&quot;,&quot;non-dropping-particle&quot;:&quot;&quot;}],&quot;container-title&quot;:&quot;American Journal of Roentgenology&quot;,&quot;DOI&quot;:&quot;10.2214/AJR.19.22372&quot;,&quot;ISSN&quot;:&quot;15463141&quot;,&quot;PMID&quot;:&quot;32877251&quot;,&quot;issued&quot;:{&quot;date-parts&quot;:[[2020,11,1]]},&quot;page&quot;:&quot;1146-1154&quot;,&quot;abstract&quot;:&quot;OBJECTIVE. The purpose of this study was to determine the quantification accuracy of virtual unenhanced images and establish the lower limit of iodine quantification as a function of dose. MATERIALS AND METHODS. A large elliptical and cylindric phantom mimicking the patient abdomen was scanned on two commercial dual-energy CT scanners, an IQon Spectral CT (Philips Healthcare) and a Revolution CT with Gemstone Spectral Imaging Xtream suite (GE Healthcare). The phantom contained simulated soft tissue, blood, and bone with known elemental composition. It also contained simulated iodine concentrations (0.2–15.0 mg/mL) and iodine-enhanced blood (0.5–5.0 mg/mL). The mean absolute error in CT value for virtual unenhanced images and mean absolute percent error in iodine, calcium, and fat-specific images were measured. RESULTS. For virtual unenhanced images, when excluding the simulated bone, the mean absolute error in CT value was 8.0 ± 5.0 (SD) HU and 9.0 ± 6.2 HU for the IQon and the Revolution CT, respectively (p = 0.61). The mean error in CT value of the simulated bone was –90.5 ± 111.6 HU and –98.5 ± 117.8 HU on the IQon and the Revolution CT, respectively (p = 0.08). For iodine-specific images, the mean absolute percent error was 13.7% and 8.3% for the IQon and the Revolution CT, respectively, above 0.5 mg/mL iodine concentration, and 150% and 100% at less than 0.5 mg/mL iodine concentration. The mean absolute percent error increased from 16.2% at 100% radiation dose to 18.9% and 24% at 75% and 50% dose, respectively, on the IQon; and from 8.8% at 100% dose to 11.1% and 17.8% at 75% and 50%, respectively, on the Revolution CT. CONCLUSION. Virtual unenhanced images are reasonably accurate for simulated soft tissues and contrast materials, except for simulated bone. The lower limit of iodine quantification is radiation-dose dependent. For typical dose levels, 0.5 mg/mL iodine concentration is the lower threshold for iodine detection accuracy.&quot;,&quot;publisher&quot;:&quot;American Roentgen Ray Society&quot;,&quot;issue&quot;:&quot;5&quot;,&quot;volume&quot;:&quot;215&quot;,&quot;container-title-short&quot;:&quot;&quot;},&quot;isTemporary&quot;:false}]},{&quot;citationID&quot;:&quot;MENDELEY_CITATION_ae4c8c34-5099-449b-a55f-9e0809c088e4&quot;,&quot;properties&quot;:{&quot;noteIndex&quot;:0},&quot;isEdited&quot;:false,&quot;manualOverride&quot;:{&quot;isManuallyOverridden&quot;:false,&quot;citeprocText&quot;:&quot;(5)&quot;,&quot;manualOverrideText&quot;:&quot;&quot;},&quot;citationTag&quot;:&quot;MENDELEY_CITATION_v3_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&quot;,&quot;citationItems&quot;:[{&quot;id&quot;:&quot;34ec82ce-28ec-38ed-a2bd-93069b578599&quot;,&quot;itemData&quot;:{&quot;type&quot;:&quot;article-journal&quot;,&quot;id&quot;:&quot;34ec82ce-28ec-38ed-a2bd-93069b578599&quot;,&quot;title&quot;:&quot;Design and implementation of a practical quality control program for dual-energy CT&quot;,&quot;author&quot;:[{&quot;family&quot;:&quot;Green&quot;,&quot;given&quot;:&quot;Crystal A.&quot;,&quot;parse-names&quot;:false,&quot;dropping-particle&quot;:&quot;&quot;,&quot;non-dropping-particle&quot;:&quot;&quot;},{&quot;family&quot;:&quot;Solomon&quot;,&quot;given&quot;:&quot;Justin B.&quot;,&quot;parse-names&quot;:false,&quot;dropping-particle&quot;:&quot;&quot;,&quot;non-dropping-particle&quot;:&quot;&quot;},{&quot;family&quot;:&quot;Ruchala&quot;,&quot;given&quot;:&quot;Kenneth J.&quot;,&quot;parse-names&quot;:false,&quot;dropping-particle&quot;:&quot;&quot;,&quot;non-dropping-particle&quot;:&quot;&quot;},{&quot;family&quot;:&quot;Samei&quot;,&quot;given&quot;:&quot;Ehsan&quot;,&quot;parse-names&quot;:false,&quot;dropping-particle&quot;:&quot;&quot;,&quot;non-dropping-particle&quot;:&quot;&quot;}],&quot;container-title&quot;:&quot;Journal of Applied Clinical Medical Physics&quot;,&quot;container-title-short&quot;:&quot;J. Appl. Clin. Med. Phys.&quot;,&quot;DOI&quot;:&quot;10.1002/acm2.13396&quot;,&quot;ISSN&quot;:&quot;15269914&quot;,&quot;PMID&quot;:&quot;34472700&quot;,&quot;issued&quot;:{&quot;date-parts&quot;:[[2021,10,1]]},&quot;page&quot;:&quot;249-260&quot;,&quot;abstract&quot;:&quot;A novel routine dual-energy computed tomography (DECT) quality control (QC) program was developed to address the current deficiency of routine QC for this technology. The dual-energy quality control (DEQC) program features (1) a practical phantom with clinically relevant materials and concentrations, (2) a clinically relevant acquisition, reconstruction, and postprocessing protocol, and (3) a fully automated analysis software to extract quantitative data for database storage and trend analysis. The phantom, designed for easy set up for standalone or adjacent imaging next to the ACR phantom, was made in collaboration with an industry partner and informed by clinical needs to have four iodine inserts (0.5, 1, 2, and 5 mg/ml) and one calcium insert (100 mg/ml) equally spaced in a cylindrical water-equivalent background. The imaging protocol was based on a clinical DECT abdominal protocol capable of producing material specific concentration maps, virtual unenhanced images, and virtual monochromatic images. The QC automated analysis software uses open-source technologies which integrates well with our current automated CT QC database. The QC program was tested on a GE 750 HD scanner and two Siemens SOMATOM FLASH scanners over a 3-month period. The automated algorithm correctly identified the appropriate region of interest (ROI) locations and stores measured values in a database for monitoring and trend analysis. Slight variations in protocol settings were noted based on manufacturer. Overall, the project proved to provide a convenient and dependable clinical tool for routine oversight of DE CT imaging within the clinic.&quot;,&quot;publisher&quot;:&quot;John Wiley and Sons Ltd&quot;,&quot;issue&quot;:&quot;10&quot;,&quot;volume&quot;:&quot;22&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59E90E13-5647-497F-AC14-77C767E59D5F}">
  <we:reference id="WA200001361" version="2.129.3.0" store="Omex" storeType="OMEX"/>
  <we:alternateReferences>
    <we:reference id="WA200001361" version="2.129.3.0" store="WA200001361" storeType="OMEX"/>
  </we:alternateReferences>
  <we:properties>
    <we:property name="paperpal-document-id" value="&quot;04e68777-54b2-4c19-86a8-037c223880f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EF00B8C1CFE45AD30235505DBC847" ma:contentTypeVersion="12" ma:contentTypeDescription="Create a new document." ma:contentTypeScope="" ma:versionID="a02d633000bc3763606b92f11bb3f555">
  <xsd:schema xmlns:xsd="http://www.w3.org/2001/XMLSchema" xmlns:xs="http://www.w3.org/2001/XMLSchema" xmlns:p="http://schemas.microsoft.com/office/2006/metadata/properties" xmlns:ns2="0444a449-4fb8-41db-bc93-a444d4069633" xmlns:ns3="dff7e4a3-c5af-4bf7-89d8-0c86a52337d9" targetNamespace="http://schemas.microsoft.com/office/2006/metadata/properties" ma:root="true" ma:fieldsID="7fa7fcb8f64479d96ff166075b669fba" ns2:_="" ns3:_="">
    <xsd:import namespace="0444a449-4fb8-41db-bc93-a444d4069633"/>
    <xsd:import namespace="dff7e4a3-c5af-4bf7-89d8-0c86a52337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4a449-4fb8-41db-bc93-a444d4069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c7bd71-0de2-450a-8d3d-78c5334383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f7e4a3-c5af-4bf7-89d8-0c86a52337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75a39e-6523-4f1b-acd4-968661f34121}" ma:internalName="TaxCatchAll" ma:showField="CatchAllData" ma:web="dff7e4a3-c5af-4bf7-89d8-0c86a52337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44a449-4fb8-41db-bc93-a444d4069633">
      <Terms xmlns="http://schemas.microsoft.com/office/infopath/2007/PartnerControls"/>
    </lcf76f155ced4ddcb4097134ff3c332f>
    <TaxCatchAll xmlns="dff7e4a3-c5af-4bf7-89d8-0c86a52337d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59AFE-10A4-43E4-8700-D6031E206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4a449-4fb8-41db-bc93-a444d4069633"/>
    <ds:schemaRef ds:uri="dff7e4a3-c5af-4bf7-89d8-0c86a5233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52C74E-0278-470C-94B1-9C9820917628}">
  <ds:schemaRefs>
    <ds:schemaRef ds:uri="http://schemas.microsoft.com/sharepoint/v3/contenttype/forms"/>
  </ds:schemaRefs>
</ds:datastoreItem>
</file>

<file path=customXml/itemProps3.xml><?xml version="1.0" encoding="utf-8"?>
<ds:datastoreItem xmlns:ds="http://schemas.openxmlformats.org/officeDocument/2006/customXml" ds:itemID="{50C1FE87-71C7-427C-8CD5-9504ADCC717F}">
  <ds:schemaRefs>
    <ds:schemaRef ds:uri="http://schemas.microsoft.com/office/2006/metadata/properties"/>
    <ds:schemaRef ds:uri="http://schemas.microsoft.com/office/infopath/2007/PartnerControls"/>
    <ds:schemaRef ds:uri="0444a449-4fb8-41db-bc93-a444d4069633"/>
    <ds:schemaRef ds:uri="dff7e4a3-c5af-4bf7-89d8-0c86a52337d9"/>
  </ds:schemaRefs>
</ds:datastoreItem>
</file>

<file path=customXml/itemProps4.xml><?xml version="1.0" encoding="utf-8"?>
<ds:datastoreItem xmlns:ds="http://schemas.openxmlformats.org/officeDocument/2006/customXml" ds:itemID="{7CBAEBDE-4139-453E-B314-09C327144227}">
  <ds:schemaRefs>
    <ds:schemaRef ds:uri="http://schemas.openxmlformats.org/officeDocument/2006/bibliography"/>
  </ds:schemaRefs>
</ds:datastoreItem>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Template>
  <TotalTime>7</TotalTime>
  <Pages>7</Pages>
  <Words>1791</Words>
  <Characters>9856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11624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Nathaly Barbosa Parada</cp:lastModifiedBy>
  <cp:revision>8</cp:revision>
  <dcterms:created xsi:type="dcterms:W3CDTF">2026-08-05T16:58:00Z</dcterms:created>
  <dcterms:modified xsi:type="dcterms:W3CDTF">2026-09-14T21:30:00Z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cdab8faa-59a9-47f2-b534-139699754f61</vt:lpwstr>
  </property>
  <property fmtid="{D5CDD505-2E9C-101B-9397-08002B2CF9AE}" pid="3" name="MSIP_Label_defa4170-0d19-0005-0004-bc88714345d2_Enabled">
    <vt:lpwstr>true</vt:lpwstr>
  </property>
  <property fmtid="{D5CDD505-2E9C-101B-9397-08002B2CF9AE}" pid="4" name="MSIP_Label_defa4170-0d19-0005-0004-bc88714345d2_SetDate">
    <vt:lpwstr>2026-04-23T20:17:42Z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9db7239d-4d6e-40fb-b997-6b0672cfb068</vt:lpwstr>
  </property>
  <property fmtid="{D5CDD505-2E9C-101B-9397-08002B2CF9AE}" pid="8" name="MSIP_Label_defa4170-0d19-0005-0004-bc88714345d2_ActionId">
    <vt:lpwstr>46da692a-d764-49c6-b9fb-8ac06fb32300</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ontentTypeId">
    <vt:lpwstr>0x010100B42EF00B8C1CFE45AD30235505DBC847</vt:lpwstr>
  </property>
  <property fmtid="{D5CDD505-2E9C-101B-9397-08002B2CF9AE}" pid="12" name="MediaServiceImageTags">
    <vt:lpwstr/>
  </property>
</Properties>
</file>