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1F1D" w14:textId="77777777" w:rsidR="00955DB9" w:rsidRPr="000F5D28" w:rsidRDefault="00955DB9" w:rsidP="00955DB9">
      <w:pPr>
        <w:rPr>
          <w:rFonts w:asciiTheme="minorHAnsi" w:hAnsiTheme="minorHAnsi" w:cstheme="minorHAnsi"/>
          <w:b/>
          <w:bCs/>
          <w:lang w:val="en-CA"/>
        </w:rPr>
      </w:pPr>
      <w:r>
        <w:rPr>
          <w:rFonts w:asciiTheme="minorHAnsi" w:hAnsiTheme="minorHAnsi" w:cstheme="minorHAnsi"/>
          <w:b/>
          <w:bCs/>
          <w:lang w:val="en-CA"/>
        </w:rPr>
        <w:t>Tables:</w:t>
      </w:r>
    </w:p>
    <w:p w14:paraId="6D2A7BD1" w14:textId="77777777" w:rsidR="00955DB9" w:rsidRPr="000F5D28" w:rsidRDefault="00955DB9" w:rsidP="00955DB9">
      <w:pPr>
        <w:rPr>
          <w:rFonts w:asciiTheme="minorHAnsi" w:hAnsiTheme="minorHAnsi" w:cstheme="minorHAnsi"/>
          <w:lang w:val="en-CA"/>
        </w:rPr>
      </w:pPr>
      <w:r w:rsidRPr="000F5D28">
        <w:rPr>
          <w:rFonts w:asciiTheme="minorHAnsi" w:hAnsiTheme="minorHAnsi" w:cstheme="minorHAnsi"/>
          <w:lang w:val="en-CA"/>
        </w:rPr>
        <w:t>Operational definitions of the five-point rating scale used to assess alignment with WHO guidance (1)</w:t>
      </w:r>
    </w:p>
    <w:p w14:paraId="11DCEA6E" w14:textId="77777777" w:rsidR="00955DB9" w:rsidRPr="000F5D28" w:rsidRDefault="00955DB9" w:rsidP="00955DB9">
      <w:pPr>
        <w:rPr>
          <w:rFonts w:asciiTheme="minorHAnsi" w:hAnsiTheme="minorHAnsi" w:cstheme="minorHAnsi"/>
          <w:lang w:val="en-CA"/>
        </w:rPr>
      </w:pPr>
      <w:r w:rsidRPr="000F5D28">
        <w:rPr>
          <w:rFonts w:asciiTheme="minorHAnsi" w:eastAsia="Times New Roman" w:hAnsiTheme="minorHAnsi" w:cstheme="minorHAnsi"/>
          <w:color w:val="000000"/>
          <w:lang w:val="en-CA"/>
        </w:rPr>
        <w:t>WHO Self-Assessment Framework: SafetyNET and CPiRLS system descriptions and consensus ratings by criterion</w:t>
      </w:r>
      <w:r w:rsidRPr="000F5D28">
        <w:rPr>
          <w:rFonts w:asciiTheme="minorHAnsi" w:hAnsiTheme="minorHAnsi" w:cstheme="minorHAnsi"/>
          <w:lang w:val="en-CA"/>
        </w:rPr>
        <w:t xml:space="preserve"> </w:t>
      </w:r>
      <w:r>
        <w:rPr>
          <w:rFonts w:asciiTheme="minorHAnsi" w:hAnsiTheme="minorHAnsi" w:cstheme="minorHAnsi"/>
          <w:lang w:val="en-CA"/>
        </w:rPr>
        <w:t>(</w:t>
      </w:r>
      <w:r w:rsidRPr="000F5D28">
        <w:rPr>
          <w:rFonts w:asciiTheme="minorHAnsi" w:hAnsiTheme="minorHAnsi" w:cstheme="minorHAnsi"/>
          <w:lang w:val="en-CA"/>
        </w:rPr>
        <w:t>2)</w:t>
      </w:r>
    </w:p>
    <w:p w14:paraId="631A27D8" w14:textId="77777777" w:rsidR="00955DB9" w:rsidRPr="000F5D28" w:rsidRDefault="00955DB9" w:rsidP="00955DB9">
      <w:pPr>
        <w:rPr>
          <w:rFonts w:asciiTheme="minorHAnsi" w:hAnsiTheme="minorHAnsi" w:cstheme="minorHAnsi"/>
          <w:lang w:val="en-CA"/>
        </w:rPr>
      </w:pPr>
      <w:r w:rsidRPr="00F919C0">
        <w:rPr>
          <w:rFonts w:asciiTheme="minorHAnsi" w:hAnsiTheme="minorHAnsi" w:cstheme="minorHAnsi"/>
        </w:rPr>
        <w:t>Alignment of SafetyNET and CPiRLS with the Minimal Information Model for Patient Safety categories</w:t>
      </w:r>
      <w:r w:rsidRPr="00F919C0">
        <w:rPr>
          <w:rFonts w:asciiTheme="minorHAnsi" w:hAnsiTheme="minorHAnsi" w:cstheme="minorHAnsi"/>
          <w:lang w:val="en-CA"/>
        </w:rPr>
        <w:t xml:space="preserve"> </w:t>
      </w:r>
      <w:r w:rsidRPr="000F5D28">
        <w:rPr>
          <w:rFonts w:asciiTheme="minorHAnsi" w:hAnsiTheme="minorHAnsi" w:cstheme="minorHAnsi"/>
          <w:lang w:val="en-CA"/>
        </w:rPr>
        <w:t>(3)</w:t>
      </w:r>
    </w:p>
    <w:p w14:paraId="7D7777E9" w14:textId="77777777" w:rsidR="00955DB9" w:rsidRPr="00900D7C" w:rsidRDefault="00955DB9" w:rsidP="00955DB9">
      <w:pPr>
        <w:rPr>
          <w:lang w:val="en-CA"/>
        </w:rPr>
      </w:pPr>
    </w:p>
    <w:p w14:paraId="6B401BCE" w14:textId="77777777" w:rsidR="00955DB9" w:rsidRDefault="00955DB9" w:rsidP="00955DB9">
      <w:pPr>
        <w:pStyle w:val="Bibliography"/>
        <w:ind w:left="0" w:firstLine="0"/>
        <w:sectPr w:rsidR="00955DB9" w:rsidSect="00955DB9">
          <w:pgSz w:w="12240" w:h="15840"/>
          <w:pgMar w:top="1440" w:right="1440" w:bottom="1440" w:left="1440" w:header="708" w:footer="708" w:gutter="0"/>
          <w:cols w:space="708"/>
          <w:docGrid w:linePitch="360"/>
        </w:sectPr>
      </w:pPr>
    </w:p>
    <w:tbl>
      <w:tblPr>
        <w:tblW w:w="12100" w:type="dxa"/>
        <w:tblLook w:val="04A0" w:firstRow="1" w:lastRow="0" w:firstColumn="1" w:lastColumn="0" w:noHBand="0" w:noVBand="1"/>
      </w:tblPr>
      <w:tblGrid>
        <w:gridCol w:w="900"/>
        <w:gridCol w:w="2600"/>
        <w:gridCol w:w="8600"/>
      </w:tblGrid>
      <w:tr w:rsidR="00955DB9" w:rsidRPr="00FB062F" w14:paraId="2831EBDA" w14:textId="77777777" w:rsidTr="005F75FA">
        <w:trPr>
          <w:trHeight w:val="640"/>
        </w:trPr>
        <w:tc>
          <w:tcPr>
            <w:tcW w:w="12100" w:type="dxa"/>
            <w:gridSpan w:val="3"/>
            <w:tcBorders>
              <w:top w:val="nil"/>
              <w:left w:val="nil"/>
              <w:bottom w:val="nil"/>
              <w:right w:val="nil"/>
            </w:tcBorders>
            <w:vAlign w:val="center"/>
            <w:hideMark/>
          </w:tcPr>
          <w:p w14:paraId="157798E9" w14:textId="77777777" w:rsidR="00955DB9" w:rsidRPr="00FB062F" w:rsidRDefault="00955DB9" w:rsidP="005F75FA">
            <w:pPr>
              <w:spacing w:line="240" w:lineRule="auto"/>
              <w:rPr>
                <w:rFonts w:asciiTheme="minorHAnsi" w:eastAsia="Times New Roman" w:hAnsiTheme="minorHAnsi" w:cstheme="minorHAnsi"/>
                <w:b/>
                <w:bCs/>
                <w:color w:val="000000"/>
                <w:lang w:val="en-CA"/>
              </w:rPr>
            </w:pPr>
            <w:r w:rsidRPr="00FB062F">
              <w:rPr>
                <w:rFonts w:asciiTheme="minorHAnsi" w:eastAsia="Times New Roman" w:hAnsiTheme="minorHAnsi" w:cstheme="minorHAnsi"/>
                <w:b/>
                <w:bCs/>
                <w:color w:val="000000"/>
                <w:lang w:val="en-CA"/>
              </w:rPr>
              <w:lastRenderedPageBreak/>
              <w:t>Table 1. Operational definitions of the five-point rating scale used to assess alignment with WHO guidance</w:t>
            </w:r>
          </w:p>
        </w:tc>
      </w:tr>
      <w:tr w:rsidR="00955DB9" w:rsidRPr="00FB062F" w14:paraId="3BBE902A" w14:textId="77777777" w:rsidTr="005F75FA">
        <w:trPr>
          <w:trHeight w:val="280"/>
        </w:trPr>
        <w:tc>
          <w:tcPr>
            <w:tcW w:w="900" w:type="dxa"/>
            <w:tcBorders>
              <w:top w:val="nil"/>
              <w:left w:val="nil"/>
              <w:bottom w:val="nil"/>
              <w:right w:val="nil"/>
            </w:tcBorders>
            <w:noWrap/>
            <w:vAlign w:val="bottom"/>
            <w:hideMark/>
          </w:tcPr>
          <w:p w14:paraId="1E31CF6E" w14:textId="77777777" w:rsidR="00955DB9" w:rsidRPr="00FB062F" w:rsidRDefault="00955DB9" w:rsidP="005F75FA">
            <w:pPr>
              <w:spacing w:line="240" w:lineRule="auto"/>
              <w:rPr>
                <w:rFonts w:asciiTheme="minorHAnsi" w:eastAsia="Times New Roman" w:hAnsiTheme="minorHAnsi" w:cstheme="minorHAnsi"/>
                <w:b/>
                <w:bCs/>
                <w:color w:val="000000"/>
                <w:lang w:val="en-CA"/>
              </w:rPr>
            </w:pPr>
          </w:p>
        </w:tc>
        <w:tc>
          <w:tcPr>
            <w:tcW w:w="2600" w:type="dxa"/>
            <w:tcBorders>
              <w:top w:val="nil"/>
              <w:left w:val="nil"/>
              <w:bottom w:val="nil"/>
              <w:right w:val="nil"/>
            </w:tcBorders>
            <w:noWrap/>
            <w:vAlign w:val="bottom"/>
            <w:hideMark/>
          </w:tcPr>
          <w:p w14:paraId="77EF8281" w14:textId="77777777" w:rsidR="00955DB9" w:rsidRPr="00FB062F" w:rsidRDefault="00955DB9" w:rsidP="005F75FA">
            <w:pPr>
              <w:spacing w:line="240" w:lineRule="auto"/>
              <w:rPr>
                <w:rFonts w:asciiTheme="minorHAnsi" w:eastAsia="Times New Roman" w:hAnsiTheme="minorHAnsi" w:cstheme="minorHAnsi"/>
                <w:sz w:val="20"/>
                <w:szCs w:val="20"/>
                <w:lang w:val="en-CA"/>
              </w:rPr>
            </w:pPr>
          </w:p>
        </w:tc>
        <w:tc>
          <w:tcPr>
            <w:tcW w:w="8600" w:type="dxa"/>
            <w:tcBorders>
              <w:top w:val="nil"/>
              <w:left w:val="nil"/>
              <w:bottom w:val="nil"/>
              <w:right w:val="nil"/>
            </w:tcBorders>
            <w:noWrap/>
            <w:vAlign w:val="bottom"/>
            <w:hideMark/>
          </w:tcPr>
          <w:p w14:paraId="3A6E7D02" w14:textId="77777777" w:rsidR="00955DB9" w:rsidRPr="00FB062F" w:rsidRDefault="00955DB9" w:rsidP="005F75FA">
            <w:pPr>
              <w:spacing w:line="240" w:lineRule="auto"/>
              <w:rPr>
                <w:rFonts w:asciiTheme="minorHAnsi" w:eastAsia="Times New Roman" w:hAnsiTheme="minorHAnsi" w:cstheme="minorHAnsi"/>
                <w:sz w:val="20"/>
                <w:szCs w:val="20"/>
                <w:lang w:val="en-CA"/>
              </w:rPr>
            </w:pPr>
          </w:p>
        </w:tc>
      </w:tr>
      <w:tr w:rsidR="00955DB9" w:rsidRPr="003F371A" w14:paraId="1A519608" w14:textId="77777777" w:rsidTr="005F75FA">
        <w:trPr>
          <w:trHeight w:val="300"/>
        </w:trPr>
        <w:tc>
          <w:tcPr>
            <w:tcW w:w="900" w:type="dxa"/>
            <w:tcBorders>
              <w:top w:val="single" w:sz="8" w:space="0" w:color="003366"/>
              <w:left w:val="single" w:sz="8" w:space="0" w:color="003366"/>
              <w:bottom w:val="single" w:sz="8" w:space="0" w:color="003366"/>
              <w:right w:val="single" w:sz="8" w:space="0" w:color="003366"/>
            </w:tcBorders>
            <w:vAlign w:val="center"/>
            <w:hideMark/>
          </w:tcPr>
          <w:p w14:paraId="18AD7E51" w14:textId="77777777" w:rsidR="00955DB9" w:rsidRPr="003F371A" w:rsidRDefault="00955DB9" w:rsidP="005F75FA">
            <w:pPr>
              <w:spacing w:line="240" w:lineRule="auto"/>
              <w:jc w:val="center"/>
              <w:rPr>
                <w:rFonts w:asciiTheme="minorHAnsi" w:eastAsia="Times New Roman" w:hAnsiTheme="minorHAnsi" w:cstheme="minorHAnsi"/>
                <w:b/>
                <w:bCs/>
                <w:sz w:val="20"/>
                <w:szCs w:val="20"/>
                <w:lang w:val="en-CA"/>
              </w:rPr>
            </w:pPr>
            <w:r w:rsidRPr="003F371A">
              <w:rPr>
                <w:rFonts w:asciiTheme="minorHAnsi" w:eastAsia="Times New Roman" w:hAnsiTheme="minorHAnsi" w:cstheme="minorHAnsi"/>
                <w:b/>
                <w:bCs/>
                <w:sz w:val="20"/>
                <w:szCs w:val="20"/>
                <w:lang w:val="en-CA"/>
              </w:rPr>
              <w:t>Score</w:t>
            </w:r>
          </w:p>
        </w:tc>
        <w:tc>
          <w:tcPr>
            <w:tcW w:w="2600" w:type="dxa"/>
            <w:tcBorders>
              <w:top w:val="single" w:sz="8" w:space="0" w:color="000000"/>
              <w:left w:val="nil"/>
              <w:bottom w:val="single" w:sz="8" w:space="0" w:color="000000"/>
              <w:right w:val="single" w:sz="8" w:space="0" w:color="000000"/>
            </w:tcBorders>
            <w:vAlign w:val="center"/>
            <w:hideMark/>
          </w:tcPr>
          <w:p w14:paraId="52D3A1D9" w14:textId="77777777" w:rsidR="00955DB9" w:rsidRPr="003F371A" w:rsidRDefault="00955DB9" w:rsidP="005F75FA">
            <w:pPr>
              <w:spacing w:line="240" w:lineRule="auto"/>
              <w:jc w:val="center"/>
              <w:rPr>
                <w:rFonts w:asciiTheme="minorHAnsi" w:eastAsia="Times New Roman" w:hAnsiTheme="minorHAnsi" w:cstheme="minorHAnsi"/>
                <w:b/>
                <w:bCs/>
                <w:sz w:val="20"/>
                <w:szCs w:val="20"/>
                <w:lang w:val="en-CA"/>
              </w:rPr>
            </w:pPr>
            <w:r w:rsidRPr="003F371A">
              <w:rPr>
                <w:rFonts w:asciiTheme="minorHAnsi" w:eastAsia="Times New Roman" w:hAnsiTheme="minorHAnsi" w:cstheme="minorHAnsi"/>
                <w:b/>
                <w:bCs/>
                <w:sz w:val="20"/>
                <w:szCs w:val="20"/>
                <w:lang w:val="en-CA"/>
              </w:rPr>
              <w:t>Rating</w:t>
            </w:r>
          </w:p>
        </w:tc>
        <w:tc>
          <w:tcPr>
            <w:tcW w:w="8600" w:type="dxa"/>
            <w:tcBorders>
              <w:top w:val="single" w:sz="8" w:space="0" w:color="000000"/>
              <w:left w:val="nil"/>
              <w:bottom w:val="single" w:sz="8" w:space="0" w:color="000000"/>
              <w:right w:val="single" w:sz="8" w:space="0" w:color="000000"/>
            </w:tcBorders>
            <w:vAlign w:val="center"/>
            <w:hideMark/>
          </w:tcPr>
          <w:p w14:paraId="1BF4D30F" w14:textId="77777777" w:rsidR="00955DB9" w:rsidRPr="003F371A" w:rsidRDefault="00955DB9" w:rsidP="005F75FA">
            <w:pPr>
              <w:spacing w:line="240" w:lineRule="auto"/>
              <w:jc w:val="center"/>
              <w:rPr>
                <w:rFonts w:asciiTheme="minorHAnsi" w:eastAsia="Times New Roman" w:hAnsiTheme="minorHAnsi" w:cstheme="minorHAnsi"/>
                <w:b/>
                <w:bCs/>
                <w:sz w:val="20"/>
                <w:szCs w:val="20"/>
                <w:lang w:val="en-CA"/>
              </w:rPr>
            </w:pPr>
            <w:r w:rsidRPr="003F371A">
              <w:rPr>
                <w:rFonts w:asciiTheme="minorHAnsi" w:eastAsia="Times New Roman" w:hAnsiTheme="minorHAnsi" w:cstheme="minorHAnsi"/>
                <w:b/>
                <w:bCs/>
                <w:sz w:val="20"/>
                <w:szCs w:val="20"/>
                <w:lang w:val="en-CA"/>
              </w:rPr>
              <w:t>In plain terms</w:t>
            </w:r>
          </w:p>
        </w:tc>
      </w:tr>
      <w:tr w:rsidR="00955DB9" w:rsidRPr="003F371A" w14:paraId="05559501" w14:textId="77777777" w:rsidTr="005F75FA">
        <w:trPr>
          <w:trHeight w:val="860"/>
        </w:trPr>
        <w:tc>
          <w:tcPr>
            <w:tcW w:w="900" w:type="dxa"/>
            <w:tcBorders>
              <w:top w:val="nil"/>
              <w:left w:val="single" w:sz="8" w:space="0" w:color="000000"/>
              <w:bottom w:val="single" w:sz="8" w:space="0" w:color="000000"/>
              <w:right w:val="single" w:sz="8" w:space="0" w:color="000000"/>
            </w:tcBorders>
            <w:vAlign w:val="center"/>
            <w:hideMark/>
          </w:tcPr>
          <w:p w14:paraId="46F5717F" w14:textId="77777777" w:rsidR="00955DB9" w:rsidRPr="003F371A" w:rsidRDefault="00955DB9" w:rsidP="005F75FA">
            <w:pPr>
              <w:spacing w:line="240" w:lineRule="auto"/>
              <w:jc w:val="center"/>
              <w:rPr>
                <w:rFonts w:asciiTheme="minorHAnsi" w:eastAsia="Times New Roman" w:hAnsiTheme="minorHAnsi" w:cstheme="minorHAnsi"/>
                <w:lang w:val="en-CA"/>
              </w:rPr>
            </w:pPr>
            <w:r w:rsidRPr="003F371A">
              <w:rPr>
                <w:rFonts w:asciiTheme="minorHAnsi" w:eastAsia="Times New Roman" w:hAnsiTheme="minorHAnsi" w:cstheme="minorHAnsi"/>
                <w:lang w:val="en-CA"/>
              </w:rPr>
              <w:t>1</w:t>
            </w:r>
          </w:p>
        </w:tc>
        <w:tc>
          <w:tcPr>
            <w:tcW w:w="2600" w:type="dxa"/>
            <w:tcBorders>
              <w:top w:val="nil"/>
              <w:left w:val="nil"/>
              <w:bottom w:val="single" w:sz="8" w:space="0" w:color="000000"/>
              <w:right w:val="single" w:sz="8" w:space="0" w:color="000000"/>
            </w:tcBorders>
            <w:vAlign w:val="center"/>
            <w:hideMark/>
          </w:tcPr>
          <w:p w14:paraId="510FDEA4" w14:textId="77777777" w:rsidR="00955DB9" w:rsidRPr="003F371A" w:rsidRDefault="00955DB9" w:rsidP="005F75FA">
            <w:pPr>
              <w:spacing w:line="240" w:lineRule="auto"/>
              <w:jc w:val="center"/>
              <w:rPr>
                <w:rFonts w:asciiTheme="minorHAnsi" w:eastAsia="Times New Roman" w:hAnsiTheme="minorHAnsi" w:cstheme="minorHAnsi"/>
                <w:sz w:val="20"/>
                <w:szCs w:val="20"/>
                <w:lang w:val="en-CA"/>
              </w:rPr>
            </w:pPr>
            <w:r w:rsidRPr="003F371A">
              <w:rPr>
                <w:rFonts w:asciiTheme="minorHAnsi" w:eastAsia="Times New Roman" w:hAnsiTheme="minorHAnsi" w:cstheme="minorHAnsi"/>
                <w:sz w:val="20"/>
                <w:szCs w:val="20"/>
                <w:lang w:val="en-CA"/>
              </w:rPr>
              <w:t>Strongly Disagree</w:t>
            </w:r>
          </w:p>
        </w:tc>
        <w:tc>
          <w:tcPr>
            <w:tcW w:w="8600" w:type="dxa"/>
            <w:tcBorders>
              <w:top w:val="nil"/>
              <w:left w:val="nil"/>
              <w:bottom w:val="single" w:sz="8" w:space="0" w:color="000000"/>
              <w:right w:val="single" w:sz="8" w:space="0" w:color="000000"/>
            </w:tcBorders>
            <w:vAlign w:val="center"/>
            <w:hideMark/>
          </w:tcPr>
          <w:p w14:paraId="68DD1AAF" w14:textId="77777777" w:rsidR="00955DB9" w:rsidRPr="003F371A" w:rsidRDefault="00955DB9" w:rsidP="005F75FA">
            <w:pPr>
              <w:spacing w:line="240" w:lineRule="auto"/>
              <w:rPr>
                <w:rFonts w:asciiTheme="minorHAnsi" w:eastAsia="Times New Roman" w:hAnsiTheme="minorHAnsi" w:cstheme="minorHAnsi"/>
                <w:color w:val="1A1A1A"/>
                <w:sz w:val="20"/>
                <w:szCs w:val="20"/>
                <w:lang w:val="en-CA"/>
              </w:rPr>
            </w:pPr>
            <w:r w:rsidRPr="003F371A">
              <w:rPr>
                <w:rFonts w:asciiTheme="minorHAnsi" w:eastAsia="Times New Roman" w:hAnsiTheme="minorHAnsi" w:cstheme="minorHAnsi"/>
                <w:color w:val="1A1A1A"/>
                <w:sz w:val="20"/>
                <w:szCs w:val="20"/>
                <w:lang w:val="en-CA"/>
              </w:rPr>
              <w:t>No capacity exists — The system has no established infrastructure, policy, mechanism, or resource to address this criterion. There is no evidence that this element has been considered or developed. A meaningful effort to meet this criterion has not begun.</w:t>
            </w:r>
          </w:p>
        </w:tc>
      </w:tr>
      <w:tr w:rsidR="00955DB9" w:rsidRPr="003F371A" w14:paraId="18C2DCFE" w14:textId="77777777" w:rsidTr="005F75FA">
        <w:trPr>
          <w:trHeight w:val="860"/>
        </w:trPr>
        <w:tc>
          <w:tcPr>
            <w:tcW w:w="900" w:type="dxa"/>
            <w:tcBorders>
              <w:top w:val="nil"/>
              <w:left w:val="single" w:sz="8" w:space="0" w:color="000000"/>
              <w:bottom w:val="single" w:sz="8" w:space="0" w:color="000000"/>
              <w:right w:val="single" w:sz="8" w:space="0" w:color="000000"/>
            </w:tcBorders>
            <w:vAlign w:val="center"/>
            <w:hideMark/>
          </w:tcPr>
          <w:p w14:paraId="3F41EA48" w14:textId="77777777" w:rsidR="00955DB9" w:rsidRPr="003F371A" w:rsidRDefault="00955DB9" w:rsidP="005F75FA">
            <w:pPr>
              <w:spacing w:line="240" w:lineRule="auto"/>
              <w:jc w:val="center"/>
              <w:rPr>
                <w:rFonts w:asciiTheme="minorHAnsi" w:eastAsia="Times New Roman" w:hAnsiTheme="minorHAnsi" w:cstheme="minorHAnsi"/>
                <w:lang w:val="en-CA"/>
              </w:rPr>
            </w:pPr>
            <w:r w:rsidRPr="003F371A">
              <w:rPr>
                <w:rFonts w:asciiTheme="minorHAnsi" w:eastAsia="Times New Roman" w:hAnsiTheme="minorHAnsi" w:cstheme="minorHAnsi"/>
                <w:lang w:val="en-CA"/>
              </w:rPr>
              <w:t>2</w:t>
            </w:r>
          </w:p>
        </w:tc>
        <w:tc>
          <w:tcPr>
            <w:tcW w:w="2600" w:type="dxa"/>
            <w:tcBorders>
              <w:top w:val="nil"/>
              <w:left w:val="nil"/>
              <w:bottom w:val="single" w:sz="8" w:space="0" w:color="000000"/>
              <w:right w:val="single" w:sz="8" w:space="0" w:color="000000"/>
            </w:tcBorders>
            <w:vAlign w:val="center"/>
            <w:hideMark/>
          </w:tcPr>
          <w:p w14:paraId="5EC5985B" w14:textId="77777777" w:rsidR="00955DB9" w:rsidRPr="003F371A" w:rsidRDefault="00955DB9" w:rsidP="005F75FA">
            <w:pPr>
              <w:spacing w:line="240" w:lineRule="auto"/>
              <w:jc w:val="center"/>
              <w:rPr>
                <w:rFonts w:asciiTheme="minorHAnsi" w:eastAsia="Times New Roman" w:hAnsiTheme="minorHAnsi" w:cstheme="minorHAnsi"/>
                <w:sz w:val="20"/>
                <w:szCs w:val="20"/>
                <w:lang w:val="en-CA"/>
              </w:rPr>
            </w:pPr>
            <w:r w:rsidRPr="003F371A">
              <w:rPr>
                <w:rFonts w:asciiTheme="minorHAnsi" w:eastAsia="Times New Roman" w:hAnsiTheme="minorHAnsi" w:cstheme="minorHAnsi"/>
                <w:sz w:val="20"/>
                <w:szCs w:val="20"/>
                <w:lang w:val="en-CA"/>
              </w:rPr>
              <w:t>Disagree</w:t>
            </w:r>
          </w:p>
        </w:tc>
        <w:tc>
          <w:tcPr>
            <w:tcW w:w="8600" w:type="dxa"/>
            <w:tcBorders>
              <w:top w:val="nil"/>
              <w:left w:val="nil"/>
              <w:bottom w:val="single" w:sz="8" w:space="0" w:color="000000"/>
              <w:right w:val="single" w:sz="8" w:space="0" w:color="000000"/>
            </w:tcBorders>
            <w:vAlign w:val="center"/>
            <w:hideMark/>
          </w:tcPr>
          <w:p w14:paraId="5D72D0D8" w14:textId="77777777" w:rsidR="00955DB9" w:rsidRPr="003F371A" w:rsidRDefault="00955DB9" w:rsidP="005F75FA">
            <w:pPr>
              <w:spacing w:line="240" w:lineRule="auto"/>
              <w:rPr>
                <w:rFonts w:asciiTheme="minorHAnsi" w:eastAsia="Times New Roman" w:hAnsiTheme="minorHAnsi" w:cstheme="minorHAnsi"/>
                <w:color w:val="1A1A1A"/>
                <w:sz w:val="20"/>
                <w:szCs w:val="20"/>
                <w:lang w:val="en-CA"/>
              </w:rPr>
            </w:pPr>
            <w:r w:rsidRPr="003F371A">
              <w:rPr>
                <w:rFonts w:asciiTheme="minorHAnsi" w:eastAsia="Times New Roman" w:hAnsiTheme="minorHAnsi" w:cstheme="minorHAnsi"/>
                <w:color w:val="1A1A1A"/>
                <w:sz w:val="20"/>
                <w:szCs w:val="20"/>
                <w:lang w:val="en-CA"/>
              </w:rPr>
              <w:t>Capacity exists, but not being used — The infrastructure, policy, or mechanism to address this criterion exists in some form, but is not currently active, operational, or consistently applied. The potential is present, but it is not being realized in practice.</w:t>
            </w:r>
          </w:p>
        </w:tc>
      </w:tr>
      <w:tr w:rsidR="00955DB9" w:rsidRPr="003F371A" w14:paraId="74B9D209" w14:textId="77777777" w:rsidTr="005F75FA">
        <w:trPr>
          <w:trHeight w:val="1140"/>
        </w:trPr>
        <w:tc>
          <w:tcPr>
            <w:tcW w:w="900" w:type="dxa"/>
            <w:tcBorders>
              <w:top w:val="nil"/>
              <w:left w:val="single" w:sz="8" w:space="0" w:color="000000"/>
              <w:bottom w:val="single" w:sz="8" w:space="0" w:color="000000"/>
              <w:right w:val="single" w:sz="8" w:space="0" w:color="000000"/>
            </w:tcBorders>
            <w:vAlign w:val="center"/>
            <w:hideMark/>
          </w:tcPr>
          <w:p w14:paraId="06A4ACAE" w14:textId="77777777" w:rsidR="00955DB9" w:rsidRPr="003F371A" w:rsidRDefault="00955DB9" w:rsidP="005F75FA">
            <w:pPr>
              <w:spacing w:line="240" w:lineRule="auto"/>
              <w:jc w:val="center"/>
              <w:rPr>
                <w:rFonts w:asciiTheme="minorHAnsi" w:eastAsia="Times New Roman" w:hAnsiTheme="minorHAnsi" w:cstheme="minorHAnsi"/>
                <w:lang w:val="en-CA"/>
              </w:rPr>
            </w:pPr>
            <w:r w:rsidRPr="003F371A">
              <w:rPr>
                <w:rFonts w:asciiTheme="minorHAnsi" w:eastAsia="Times New Roman" w:hAnsiTheme="minorHAnsi" w:cstheme="minorHAnsi"/>
                <w:lang w:val="en-CA"/>
              </w:rPr>
              <w:t>3</w:t>
            </w:r>
          </w:p>
        </w:tc>
        <w:tc>
          <w:tcPr>
            <w:tcW w:w="2600" w:type="dxa"/>
            <w:tcBorders>
              <w:top w:val="nil"/>
              <w:left w:val="nil"/>
              <w:bottom w:val="single" w:sz="8" w:space="0" w:color="000000"/>
              <w:right w:val="single" w:sz="8" w:space="0" w:color="000000"/>
            </w:tcBorders>
            <w:vAlign w:val="center"/>
            <w:hideMark/>
          </w:tcPr>
          <w:p w14:paraId="76814FB9" w14:textId="77777777" w:rsidR="00955DB9" w:rsidRPr="003F371A" w:rsidRDefault="00955DB9" w:rsidP="005F75FA">
            <w:pPr>
              <w:spacing w:line="240" w:lineRule="auto"/>
              <w:jc w:val="center"/>
              <w:rPr>
                <w:rFonts w:asciiTheme="minorHAnsi" w:eastAsia="Times New Roman" w:hAnsiTheme="minorHAnsi" w:cstheme="minorHAnsi"/>
                <w:sz w:val="20"/>
                <w:szCs w:val="20"/>
                <w:lang w:val="en-CA"/>
              </w:rPr>
            </w:pPr>
            <w:r w:rsidRPr="003F371A">
              <w:rPr>
                <w:rFonts w:asciiTheme="minorHAnsi" w:eastAsia="Times New Roman" w:hAnsiTheme="minorHAnsi" w:cstheme="minorHAnsi"/>
                <w:sz w:val="20"/>
                <w:szCs w:val="20"/>
                <w:lang w:val="en-CA"/>
              </w:rPr>
              <w:t>Neither Agree nor Disagree</w:t>
            </w:r>
          </w:p>
        </w:tc>
        <w:tc>
          <w:tcPr>
            <w:tcW w:w="8600" w:type="dxa"/>
            <w:tcBorders>
              <w:top w:val="nil"/>
              <w:left w:val="nil"/>
              <w:bottom w:val="single" w:sz="8" w:space="0" w:color="000000"/>
              <w:right w:val="single" w:sz="8" w:space="0" w:color="000000"/>
            </w:tcBorders>
            <w:vAlign w:val="center"/>
            <w:hideMark/>
          </w:tcPr>
          <w:p w14:paraId="59DC551B" w14:textId="77777777" w:rsidR="00955DB9" w:rsidRPr="003F371A" w:rsidRDefault="00955DB9" w:rsidP="005F75FA">
            <w:pPr>
              <w:spacing w:line="240" w:lineRule="auto"/>
              <w:rPr>
                <w:rFonts w:asciiTheme="minorHAnsi" w:eastAsia="Times New Roman" w:hAnsiTheme="minorHAnsi" w:cstheme="minorHAnsi"/>
                <w:color w:val="1A1A1A"/>
                <w:sz w:val="20"/>
                <w:szCs w:val="20"/>
                <w:lang w:val="en-CA"/>
              </w:rPr>
            </w:pPr>
            <w:r w:rsidRPr="003F371A">
              <w:rPr>
                <w:rFonts w:asciiTheme="minorHAnsi" w:eastAsia="Times New Roman" w:hAnsiTheme="minorHAnsi" w:cstheme="minorHAnsi"/>
                <w:color w:val="1A1A1A"/>
                <w:sz w:val="20"/>
                <w:szCs w:val="20"/>
                <w:lang w:val="en-CA"/>
              </w:rPr>
              <w:t>Partial or inconsistent — not yet systematic — This criterion is met in some circumstances, for some elements, or to some degree, but implementation is incomplete, inconsistent, or context-dependent. The system is working towards this criterion but has not yet achieved reliable, systematic compliance.</w:t>
            </w:r>
          </w:p>
        </w:tc>
      </w:tr>
      <w:tr w:rsidR="00955DB9" w:rsidRPr="003F371A" w14:paraId="2EB8FA17" w14:textId="77777777" w:rsidTr="005F75FA">
        <w:trPr>
          <w:trHeight w:val="1140"/>
        </w:trPr>
        <w:tc>
          <w:tcPr>
            <w:tcW w:w="900" w:type="dxa"/>
            <w:tcBorders>
              <w:top w:val="nil"/>
              <w:left w:val="single" w:sz="8" w:space="0" w:color="000000"/>
              <w:bottom w:val="single" w:sz="8" w:space="0" w:color="000000"/>
              <w:right w:val="single" w:sz="8" w:space="0" w:color="000000"/>
            </w:tcBorders>
            <w:vAlign w:val="center"/>
            <w:hideMark/>
          </w:tcPr>
          <w:p w14:paraId="17BB8C52" w14:textId="77777777" w:rsidR="00955DB9" w:rsidRPr="003F371A" w:rsidRDefault="00955DB9" w:rsidP="005F75FA">
            <w:pPr>
              <w:spacing w:line="240" w:lineRule="auto"/>
              <w:jc w:val="center"/>
              <w:rPr>
                <w:rFonts w:asciiTheme="minorHAnsi" w:eastAsia="Times New Roman" w:hAnsiTheme="minorHAnsi" w:cstheme="minorHAnsi"/>
                <w:lang w:val="en-CA"/>
              </w:rPr>
            </w:pPr>
            <w:r w:rsidRPr="003F371A">
              <w:rPr>
                <w:rFonts w:asciiTheme="minorHAnsi" w:eastAsia="Times New Roman" w:hAnsiTheme="minorHAnsi" w:cstheme="minorHAnsi"/>
                <w:lang w:val="en-CA"/>
              </w:rPr>
              <w:t>4</w:t>
            </w:r>
          </w:p>
        </w:tc>
        <w:tc>
          <w:tcPr>
            <w:tcW w:w="2600" w:type="dxa"/>
            <w:tcBorders>
              <w:top w:val="nil"/>
              <w:left w:val="nil"/>
              <w:bottom w:val="single" w:sz="8" w:space="0" w:color="000000"/>
              <w:right w:val="single" w:sz="8" w:space="0" w:color="000000"/>
            </w:tcBorders>
            <w:vAlign w:val="center"/>
            <w:hideMark/>
          </w:tcPr>
          <w:p w14:paraId="1102F2BE" w14:textId="77777777" w:rsidR="00955DB9" w:rsidRPr="003F371A" w:rsidRDefault="00955DB9" w:rsidP="005F75FA">
            <w:pPr>
              <w:spacing w:line="240" w:lineRule="auto"/>
              <w:jc w:val="center"/>
              <w:rPr>
                <w:rFonts w:asciiTheme="minorHAnsi" w:eastAsia="Times New Roman" w:hAnsiTheme="minorHAnsi" w:cstheme="minorHAnsi"/>
                <w:sz w:val="20"/>
                <w:szCs w:val="20"/>
                <w:lang w:val="en-CA"/>
              </w:rPr>
            </w:pPr>
            <w:r w:rsidRPr="003F371A">
              <w:rPr>
                <w:rFonts w:asciiTheme="minorHAnsi" w:eastAsia="Times New Roman" w:hAnsiTheme="minorHAnsi" w:cstheme="minorHAnsi"/>
                <w:sz w:val="20"/>
                <w:szCs w:val="20"/>
                <w:lang w:val="en-CA"/>
              </w:rPr>
              <w:t>Agree</w:t>
            </w:r>
          </w:p>
        </w:tc>
        <w:tc>
          <w:tcPr>
            <w:tcW w:w="8600" w:type="dxa"/>
            <w:tcBorders>
              <w:top w:val="nil"/>
              <w:left w:val="nil"/>
              <w:bottom w:val="single" w:sz="8" w:space="0" w:color="000000"/>
              <w:right w:val="single" w:sz="8" w:space="0" w:color="000000"/>
            </w:tcBorders>
            <w:vAlign w:val="center"/>
            <w:hideMark/>
          </w:tcPr>
          <w:p w14:paraId="39272B68" w14:textId="77777777" w:rsidR="00955DB9" w:rsidRPr="003F371A" w:rsidRDefault="00955DB9" w:rsidP="005F75FA">
            <w:pPr>
              <w:spacing w:line="240" w:lineRule="auto"/>
              <w:rPr>
                <w:rFonts w:asciiTheme="minorHAnsi" w:eastAsia="Times New Roman" w:hAnsiTheme="minorHAnsi" w:cstheme="minorHAnsi"/>
                <w:color w:val="1A1A1A"/>
                <w:sz w:val="20"/>
                <w:szCs w:val="20"/>
                <w:lang w:val="en-CA"/>
              </w:rPr>
            </w:pPr>
            <w:r w:rsidRPr="003F371A">
              <w:rPr>
                <w:rFonts w:asciiTheme="minorHAnsi" w:eastAsia="Times New Roman" w:hAnsiTheme="minorHAnsi" w:cstheme="minorHAnsi"/>
                <w:color w:val="1A1A1A"/>
                <w:sz w:val="20"/>
                <w:szCs w:val="20"/>
                <w:lang w:val="en-CA"/>
              </w:rPr>
              <w:t>Operational, with notable gaps — This criterion is actively and consistently met in practice. The system has the necessary infrastructure and is using it. However, there are identifiable gaps, limitations, or areas for improvement that prevent full alignment with WHO guidance.</w:t>
            </w:r>
          </w:p>
        </w:tc>
      </w:tr>
      <w:tr w:rsidR="00955DB9" w:rsidRPr="003F371A" w14:paraId="2D84B467" w14:textId="77777777" w:rsidTr="005F75FA">
        <w:trPr>
          <w:trHeight w:val="1140"/>
        </w:trPr>
        <w:tc>
          <w:tcPr>
            <w:tcW w:w="900" w:type="dxa"/>
            <w:tcBorders>
              <w:top w:val="nil"/>
              <w:left w:val="single" w:sz="8" w:space="0" w:color="000000"/>
              <w:bottom w:val="single" w:sz="8" w:space="0" w:color="000000"/>
              <w:right w:val="single" w:sz="8" w:space="0" w:color="000000"/>
            </w:tcBorders>
            <w:vAlign w:val="center"/>
            <w:hideMark/>
          </w:tcPr>
          <w:p w14:paraId="095F1EDF" w14:textId="77777777" w:rsidR="00955DB9" w:rsidRPr="003F371A" w:rsidRDefault="00955DB9" w:rsidP="005F75FA">
            <w:pPr>
              <w:spacing w:line="240" w:lineRule="auto"/>
              <w:jc w:val="center"/>
              <w:rPr>
                <w:rFonts w:asciiTheme="minorHAnsi" w:eastAsia="Times New Roman" w:hAnsiTheme="minorHAnsi" w:cstheme="minorHAnsi"/>
                <w:lang w:val="en-CA"/>
              </w:rPr>
            </w:pPr>
            <w:r w:rsidRPr="003F371A">
              <w:rPr>
                <w:rFonts w:asciiTheme="minorHAnsi" w:eastAsia="Times New Roman" w:hAnsiTheme="minorHAnsi" w:cstheme="minorHAnsi"/>
                <w:lang w:val="en-CA"/>
              </w:rPr>
              <w:t>5</w:t>
            </w:r>
          </w:p>
        </w:tc>
        <w:tc>
          <w:tcPr>
            <w:tcW w:w="2600" w:type="dxa"/>
            <w:tcBorders>
              <w:top w:val="nil"/>
              <w:left w:val="nil"/>
              <w:bottom w:val="single" w:sz="8" w:space="0" w:color="000000"/>
              <w:right w:val="single" w:sz="8" w:space="0" w:color="000000"/>
            </w:tcBorders>
            <w:vAlign w:val="center"/>
            <w:hideMark/>
          </w:tcPr>
          <w:p w14:paraId="213014AD" w14:textId="77777777" w:rsidR="00955DB9" w:rsidRPr="003F371A" w:rsidRDefault="00955DB9" w:rsidP="005F75FA">
            <w:pPr>
              <w:spacing w:line="240" w:lineRule="auto"/>
              <w:jc w:val="center"/>
              <w:rPr>
                <w:rFonts w:asciiTheme="minorHAnsi" w:eastAsia="Times New Roman" w:hAnsiTheme="minorHAnsi" w:cstheme="minorHAnsi"/>
                <w:sz w:val="20"/>
                <w:szCs w:val="20"/>
                <w:lang w:val="en-CA"/>
              </w:rPr>
            </w:pPr>
            <w:r w:rsidRPr="003F371A">
              <w:rPr>
                <w:rFonts w:asciiTheme="minorHAnsi" w:eastAsia="Times New Roman" w:hAnsiTheme="minorHAnsi" w:cstheme="minorHAnsi"/>
                <w:sz w:val="20"/>
                <w:szCs w:val="20"/>
                <w:lang w:val="en-CA"/>
              </w:rPr>
              <w:t>Strongly Agree</w:t>
            </w:r>
          </w:p>
        </w:tc>
        <w:tc>
          <w:tcPr>
            <w:tcW w:w="8600" w:type="dxa"/>
            <w:tcBorders>
              <w:top w:val="nil"/>
              <w:left w:val="nil"/>
              <w:bottom w:val="single" w:sz="8" w:space="0" w:color="000000"/>
              <w:right w:val="single" w:sz="8" w:space="0" w:color="000000"/>
            </w:tcBorders>
            <w:vAlign w:val="center"/>
            <w:hideMark/>
          </w:tcPr>
          <w:p w14:paraId="4C95E526" w14:textId="77777777" w:rsidR="00955DB9" w:rsidRPr="003F371A" w:rsidRDefault="00955DB9" w:rsidP="005F75FA">
            <w:pPr>
              <w:spacing w:line="240" w:lineRule="auto"/>
              <w:rPr>
                <w:rFonts w:asciiTheme="minorHAnsi" w:eastAsia="Times New Roman" w:hAnsiTheme="minorHAnsi" w:cstheme="minorHAnsi"/>
                <w:color w:val="1A1A1A"/>
                <w:sz w:val="20"/>
                <w:szCs w:val="20"/>
                <w:lang w:val="en-CA"/>
              </w:rPr>
            </w:pPr>
            <w:r w:rsidRPr="003F371A">
              <w:rPr>
                <w:rFonts w:asciiTheme="minorHAnsi" w:eastAsia="Times New Roman" w:hAnsiTheme="minorHAnsi" w:cstheme="minorHAnsi"/>
                <w:color w:val="1A1A1A"/>
                <w:sz w:val="20"/>
                <w:szCs w:val="20"/>
                <w:lang w:val="en-CA"/>
              </w:rPr>
              <w:t>Fully met, with evidence — This criterion is fully and consistently met in practice, supported by documented evidence. The system demonstrates comprehensive alignment with WHO standards for this element, with no significant gaps. Evidence of compliance is available and verifiable.</w:t>
            </w:r>
          </w:p>
        </w:tc>
      </w:tr>
    </w:tbl>
    <w:p w14:paraId="5709A5D7" w14:textId="77777777" w:rsidR="00955DB9" w:rsidRDefault="00955DB9" w:rsidP="00955DB9"/>
    <w:p w14:paraId="282BFB74" w14:textId="77777777" w:rsidR="00955DB9" w:rsidRDefault="00955DB9" w:rsidP="00955DB9"/>
    <w:p w14:paraId="3A5A5C85" w14:textId="77777777" w:rsidR="00955DB9" w:rsidRDefault="00955DB9" w:rsidP="00955DB9"/>
    <w:p w14:paraId="379C29D1" w14:textId="77777777" w:rsidR="00955DB9" w:rsidRDefault="00955DB9" w:rsidP="00955DB9"/>
    <w:p w14:paraId="7CFD060C" w14:textId="77777777" w:rsidR="00955DB9" w:rsidRDefault="00955DB9" w:rsidP="00955DB9"/>
    <w:p w14:paraId="11DDF35F" w14:textId="77777777" w:rsidR="00955DB9" w:rsidRDefault="00955DB9" w:rsidP="00955DB9"/>
    <w:p w14:paraId="0ACE447A" w14:textId="77777777" w:rsidR="00955DB9" w:rsidRDefault="00955DB9" w:rsidP="00955DB9"/>
    <w:p w14:paraId="2625C24E" w14:textId="77777777" w:rsidR="00955DB9" w:rsidRDefault="00955DB9" w:rsidP="00955DB9"/>
    <w:tbl>
      <w:tblPr>
        <w:tblW w:w="141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54"/>
        <w:gridCol w:w="3068"/>
        <w:gridCol w:w="3316"/>
        <w:gridCol w:w="1267"/>
        <w:gridCol w:w="2287"/>
        <w:gridCol w:w="1186"/>
        <w:gridCol w:w="1205"/>
        <w:gridCol w:w="992"/>
      </w:tblGrid>
      <w:tr w:rsidR="00955DB9" w:rsidRPr="00A54929" w14:paraId="2A066CAB" w14:textId="77777777" w:rsidTr="005F75FA">
        <w:trPr>
          <w:gridAfter w:val="3"/>
          <w:wAfter w:w="3383" w:type="dxa"/>
          <w:trHeight w:val="640"/>
        </w:trPr>
        <w:tc>
          <w:tcPr>
            <w:tcW w:w="10792" w:type="dxa"/>
            <w:gridSpan w:val="5"/>
            <w:tcBorders>
              <w:top w:val="nil"/>
              <w:left w:val="nil"/>
              <w:bottom w:val="nil"/>
              <w:right w:val="nil"/>
            </w:tcBorders>
            <w:vAlign w:val="center"/>
            <w:hideMark/>
          </w:tcPr>
          <w:p w14:paraId="119BF6D7" w14:textId="77777777" w:rsidR="00955DB9" w:rsidRPr="00A54929" w:rsidRDefault="00955DB9" w:rsidP="005F75FA">
            <w:pPr>
              <w:spacing w:line="240" w:lineRule="auto"/>
              <w:rPr>
                <w:rFonts w:asciiTheme="minorHAnsi" w:eastAsia="Times New Roman" w:hAnsiTheme="minorHAnsi" w:cstheme="minorHAnsi"/>
                <w:b/>
                <w:bCs/>
                <w:lang w:val="en-CA"/>
              </w:rPr>
            </w:pPr>
            <w:r w:rsidRPr="00A54929">
              <w:rPr>
                <w:rFonts w:asciiTheme="minorHAnsi" w:eastAsia="Times New Roman" w:hAnsiTheme="minorHAnsi" w:cstheme="minorHAnsi"/>
                <w:b/>
                <w:bCs/>
                <w:lang w:val="en-CA"/>
              </w:rPr>
              <w:lastRenderedPageBreak/>
              <w:t>Table 2. WHO Self-Assessment Framework: SafetyNET and CPiRLS system descriptions and consensus ratings by criterion</w:t>
            </w:r>
          </w:p>
          <w:p w14:paraId="27595B0B" w14:textId="77777777" w:rsidR="00955DB9" w:rsidRPr="00A54929" w:rsidRDefault="00955DB9" w:rsidP="005F75FA">
            <w:pPr>
              <w:spacing w:line="240" w:lineRule="auto"/>
              <w:rPr>
                <w:rFonts w:asciiTheme="minorHAnsi" w:eastAsia="Times New Roman" w:hAnsiTheme="minorHAnsi" w:cstheme="minorHAnsi"/>
                <w:b/>
                <w:bCs/>
                <w:lang w:val="en-CA"/>
              </w:rPr>
            </w:pPr>
          </w:p>
        </w:tc>
      </w:tr>
      <w:tr w:rsidR="00955DB9" w:rsidRPr="00A54929" w14:paraId="119BD534" w14:textId="77777777" w:rsidTr="005F75FA">
        <w:trPr>
          <w:trHeight w:val="580"/>
        </w:trPr>
        <w:tc>
          <w:tcPr>
            <w:tcW w:w="854" w:type="dxa"/>
            <w:vAlign w:val="center"/>
            <w:hideMark/>
          </w:tcPr>
          <w:p w14:paraId="5383B46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w:t>
            </w:r>
          </w:p>
        </w:tc>
        <w:tc>
          <w:tcPr>
            <w:tcW w:w="3068" w:type="dxa"/>
            <w:vAlign w:val="center"/>
            <w:hideMark/>
          </w:tcPr>
          <w:p w14:paraId="7EAC12C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Criterion</w:t>
            </w:r>
          </w:p>
        </w:tc>
        <w:tc>
          <w:tcPr>
            <w:tcW w:w="3316" w:type="dxa"/>
            <w:vAlign w:val="center"/>
            <w:hideMark/>
          </w:tcPr>
          <w:p w14:paraId="2A585952"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SafetyNET description</w:t>
            </w:r>
          </w:p>
        </w:tc>
        <w:tc>
          <w:tcPr>
            <w:tcW w:w="1267" w:type="dxa"/>
            <w:vAlign w:val="center"/>
            <w:hideMark/>
          </w:tcPr>
          <w:p w14:paraId="1A67652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SafetyNET rating</w:t>
            </w:r>
          </w:p>
        </w:tc>
        <w:tc>
          <w:tcPr>
            <w:tcW w:w="3473" w:type="dxa"/>
            <w:gridSpan w:val="2"/>
            <w:vAlign w:val="center"/>
            <w:hideMark/>
          </w:tcPr>
          <w:p w14:paraId="0BA02BCA"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CPiRLS description</w:t>
            </w:r>
          </w:p>
        </w:tc>
        <w:tc>
          <w:tcPr>
            <w:tcW w:w="1205" w:type="dxa"/>
            <w:vAlign w:val="center"/>
            <w:hideMark/>
          </w:tcPr>
          <w:p w14:paraId="1ABC94B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CPiRLS rating</w:t>
            </w:r>
          </w:p>
        </w:tc>
        <w:tc>
          <w:tcPr>
            <w:tcW w:w="992" w:type="dxa"/>
            <w:tcBorders>
              <w:top w:val="nil"/>
              <w:bottom w:val="nil"/>
              <w:right w:val="nil"/>
            </w:tcBorders>
            <w:vAlign w:val="center"/>
            <w:hideMark/>
          </w:tcPr>
          <w:p w14:paraId="4FA1EA0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p>
        </w:tc>
      </w:tr>
      <w:tr w:rsidR="00955DB9" w:rsidRPr="00A54929" w14:paraId="503B219B" w14:textId="77777777" w:rsidTr="005F75FA">
        <w:trPr>
          <w:trHeight w:val="300"/>
        </w:trPr>
        <w:tc>
          <w:tcPr>
            <w:tcW w:w="13183" w:type="dxa"/>
            <w:gridSpan w:val="7"/>
            <w:noWrap/>
            <w:vAlign w:val="center"/>
            <w:hideMark/>
          </w:tcPr>
          <w:p w14:paraId="224EEA62" w14:textId="77777777" w:rsidR="00955DB9" w:rsidRPr="00A54929" w:rsidRDefault="00955DB9" w:rsidP="005F75FA">
            <w:pPr>
              <w:spacing w:line="240" w:lineRule="auto"/>
              <w:ind w:firstLineChars="100" w:firstLine="201"/>
              <w:jc w:val="both"/>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ENVIRONMENT FOR REPORTING</w:t>
            </w:r>
          </w:p>
        </w:tc>
        <w:tc>
          <w:tcPr>
            <w:tcW w:w="992" w:type="dxa"/>
            <w:tcBorders>
              <w:top w:val="nil"/>
              <w:bottom w:val="nil"/>
              <w:right w:val="nil"/>
            </w:tcBorders>
            <w:vAlign w:val="center"/>
            <w:hideMark/>
          </w:tcPr>
          <w:p w14:paraId="488277CF" w14:textId="77777777" w:rsidR="00955DB9" w:rsidRPr="00A54929" w:rsidRDefault="00955DB9" w:rsidP="005F75FA">
            <w:pPr>
              <w:spacing w:line="240" w:lineRule="auto"/>
              <w:ind w:firstLineChars="100" w:firstLine="201"/>
              <w:jc w:val="both"/>
              <w:rPr>
                <w:rFonts w:asciiTheme="minorHAnsi" w:eastAsia="Times New Roman" w:hAnsiTheme="minorHAnsi" w:cstheme="minorHAnsi"/>
                <w:b/>
                <w:bCs/>
                <w:sz w:val="20"/>
                <w:szCs w:val="20"/>
                <w:lang w:val="en-CA"/>
              </w:rPr>
            </w:pPr>
          </w:p>
        </w:tc>
      </w:tr>
      <w:tr w:rsidR="00955DB9" w:rsidRPr="00A54929" w14:paraId="214F3E4C" w14:textId="77777777" w:rsidTr="005F75FA">
        <w:trPr>
          <w:trHeight w:val="3390"/>
        </w:trPr>
        <w:tc>
          <w:tcPr>
            <w:tcW w:w="854" w:type="dxa"/>
            <w:noWrap/>
            <w:vAlign w:val="center"/>
            <w:hideMark/>
          </w:tcPr>
          <w:p w14:paraId="0785163F"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w:t>
            </w:r>
          </w:p>
        </w:tc>
        <w:tc>
          <w:tcPr>
            <w:tcW w:w="3068" w:type="dxa"/>
            <w:vAlign w:val="center"/>
            <w:hideMark/>
          </w:tcPr>
          <w:p w14:paraId="17B327A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It is easy for health care professionals to make a report</w:t>
            </w:r>
          </w:p>
        </w:tc>
        <w:tc>
          <w:tcPr>
            <w:tcW w:w="3316" w:type="dxa"/>
            <w:vAlign w:val="center"/>
            <w:hideMark/>
          </w:tcPr>
          <w:p w14:paraId="4F06324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Reporting was generally feasible for participating chiropractors (DCs), with ease of use improving over time as clinics became familiar with the SafetyNET procedures and incorporated reporting into routine workflows.</w:t>
            </w:r>
          </w:p>
        </w:tc>
        <w:tc>
          <w:tcPr>
            <w:tcW w:w="1267" w:type="dxa"/>
            <w:noWrap/>
            <w:vAlign w:val="center"/>
            <w:hideMark/>
          </w:tcPr>
          <w:p w14:paraId="3BC38F22"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5856CDD0"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Reporting is a relatively simple process via the website and is suitable for use on any device. All participating chiropractors must have password access provided through their professional association. The reporting form has been redeveloped following a review and pilot phase to improve ease of use and clarity, and to remove duplication of options. The system now includes several drop-down selection options and limits the use of free text boxes.</w:t>
            </w:r>
          </w:p>
        </w:tc>
        <w:tc>
          <w:tcPr>
            <w:tcW w:w="1205" w:type="dxa"/>
            <w:noWrap/>
            <w:vAlign w:val="center"/>
            <w:hideMark/>
          </w:tcPr>
          <w:p w14:paraId="152282D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68019F75"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49CDE4D9" w14:textId="77777777" w:rsidTr="005F75FA">
        <w:trPr>
          <w:trHeight w:val="2480"/>
        </w:trPr>
        <w:tc>
          <w:tcPr>
            <w:tcW w:w="854" w:type="dxa"/>
            <w:noWrap/>
            <w:vAlign w:val="center"/>
            <w:hideMark/>
          </w:tcPr>
          <w:p w14:paraId="7815A792"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2</w:t>
            </w:r>
          </w:p>
        </w:tc>
        <w:tc>
          <w:tcPr>
            <w:tcW w:w="3068" w:type="dxa"/>
            <w:vAlign w:val="center"/>
            <w:hideMark/>
          </w:tcPr>
          <w:p w14:paraId="71CA948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Staff have time to make a report</w:t>
            </w:r>
          </w:p>
        </w:tc>
        <w:tc>
          <w:tcPr>
            <w:tcW w:w="3316" w:type="dxa"/>
            <w:vAlign w:val="center"/>
            <w:hideMark/>
          </w:tcPr>
          <w:p w14:paraId="03B209F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Time required for reporting was manageable within clinical workflows; however, completion of more detailed adverse event (AE) forms was less consistent, particularly in the initial paper-based system and when reporting was not integrated into routine practice. This has improved with the electronic process.</w:t>
            </w:r>
          </w:p>
        </w:tc>
        <w:tc>
          <w:tcPr>
            <w:tcW w:w="1267" w:type="dxa"/>
            <w:noWrap/>
            <w:vAlign w:val="center"/>
            <w:hideMark/>
          </w:tcPr>
          <w:p w14:paraId="6036193B"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1672E2F9"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507A2B9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time required to complete a report is minimal. However, previous research has shown that time is a barrier to reporting using the system, although this research predated the recent system developments. Chiropractors do not receive additional or reimbursed time to complete a report, meaning that reporting requires additional time alongside routine clinical activity.</w:t>
            </w:r>
          </w:p>
          <w:p w14:paraId="79E653F5"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05" w:type="dxa"/>
            <w:noWrap/>
            <w:vAlign w:val="center"/>
            <w:hideMark/>
          </w:tcPr>
          <w:p w14:paraId="142FC8A1"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08308E40"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70C16847" w14:textId="77777777" w:rsidTr="005F75FA">
        <w:trPr>
          <w:trHeight w:val="2815"/>
        </w:trPr>
        <w:tc>
          <w:tcPr>
            <w:tcW w:w="854" w:type="dxa"/>
            <w:noWrap/>
            <w:vAlign w:val="center"/>
            <w:hideMark/>
          </w:tcPr>
          <w:p w14:paraId="7AD12A20"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3</w:t>
            </w:r>
          </w:p>
        </w:tc>
        <w:tc>
          <w:tcPr>
            <w:tcW w:w="3068" w:type="dxa"/>
            <w:vAlign w:val="center"/>
            <w:hideMark/>
          </w:tcPr>
          <w:p w14:paraId="454A10E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Staff are absolutely clear on what needs to be reported</w:t>
            </w:r>
          </w:p>
        </w:tc>
        <w:tc>
          <w:tcPr>
            <w:tcW w:w="3316" w:type="dxa"/>
            <w:vAlign w:val="center"/>
            <w:hideMark/>
          </w:tcPr>
          <w:p w14:paraId="45772A63"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Reporting expectations were broadly understood, with incidents defined as any new or worsening symptom. Investigative team members were available when/if questions arose.</w:t>
            </w:r>
          </w:p>
        </w:tc>
        <w:tc>
          <w:tcPr>
            <w:tcW w:w="1267" w:type="dxa"/>
            <w:noWrap/>
            <w:vAlign w:val="center"/>
            <w:hideMark/>
          </w:tcPr>
          <w:p w14:paraId="07A1E1D9"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6861F90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CPiRLS website provides clear guidance on reporting requirements and includes a trigger list as a practical aid. Chiropractors are recommended to report an incident if they have reflected on it. Despite this guidance, some uncertainty remains, and chiropractors have previously reported lack of clarity regarding what should be reported.</w:t>
            </w:r>
          </w:p>
        </w:tc>
        <w:tc>
          <w:tcPr>
            <w:tcW w:w="1205" w:type="dxa"/>
            <w:noWrap/>
            <w:vAlign w:val="center"/>
            <w:hideMark/>
          </w:tcPr>
          <w:p w14:paraId="119C62E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378B296F"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4CC56C9" w14:textId="77777777" w:rsidTr="005F75FA">
        <w:trPr>
          <w:trHeight w:val="1678"/>
        </w:trPr>
        <w:tc>
          <w:tcPr>
            <w:tcW w:w="854" w:type="dxa"/>
            <w:noWrap/>
            <w:vAlign w:val="center"/>
            <w:hideMark/>
          </w:tcPr>
          <w:p w14:paraId="46CA6DA5"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4</w:t>
            </w:r>
          </w:p>
        </w:tc>
        <w:tc>
          <w:tcPr>
            <w:tcW w:w="3068" w:type="dxa"/>
            <w:vAlign w:val="center"/>
            <w:hideMark/>
          </w:tcPr>
          <w:p w14:paraId="5EDD248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Staff receive personalized feedback on progress and action resulting from their report</w:t>
            </w:r>
          </w:p>
        </w:tc>
        <w:tc>
          <w:tcPr>
            <w:tcW w:w="3316" w:type="dxa"/>
            <w:vAlign w:val="center"/>
            <w:hideMark/>
          </w:tcPr>
          <w:p w14:paraId="64CF948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Personalized feedback to reporters was not incorporated into the SafetyNET protocol, beyond automated confirmation of report submission.</w:t>
            </w:r>
          </w:p>
        </w:tc>
        <w:tc>
          <w:tcPr>
            <w:tcW w:w="1267" w:type="dxa"/>
            <w:noWrap/>
            <w:vAlign w:val="center"/>
            <w:hideMark/>
          </w:tcPr>
          <w:p w14:paraId="0A82DDF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3473" w:type="dxa"/>
            <w:gridSpan w:val="2"/>
            <w:vAlign w:val="center"/>
            <w:hideMark/>
          </w:tcPr>
          <w:p w14:paraId="5988E533"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Following the 2024 update and review process, chiropractors now receive a response to their report that thanks them for their contribution and directs them to additional resources only.</w:t>
            </w:r>
          </w:p>
        </w:tc>
        <w:tc>
          <w:tcPr>
            <w:tcW w:w="1205" w:type="dxa"/>
            <w:noWrap/>
            <w:vAlign w:val="center"/>
            <w:hideMark/>
          </w:tcPr>
          <w:p w14:paraId="73CDCB6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992" w:type="dxa"/>
            <w:tcBorders>
              <w:top w:val="nil"/>
              <w:bottom w:val="nil"/>
              <w:right w:val="nil"/>
            </w:tcBorders>
            <w:vAlign w:val="center"/>
            <w:hideMark/>
          </w:tcPr>
          <w:p w14:paraId="39008A74"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4108DE3B" w14:textId="77777777" w:rsidTr="005F75FA">
        <w:trPr>
          <w:trHeight w:val="2220"/>
        </w:trPr>
        <w:tc>
          <w:tcPr>
            <w:tcW w:w="854" w:type="dxa"/>
            <w:noWrap/>
            <w:vAlign w:val="center"/>
            <w:hideMark/>
          </w:tcPr>
          <w:p w14:paraId="0E2A4446"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5</w:t>
            </w:r>
          </w:p>
        </w:tc>
        <w:tc>
          <w:tcPr>
            <w:tcW w:w="3068" w:type="dxa"/>
            <w:vAlign w:val="center"/>
            <w:hideMark/>
          </w:tcPr>
          <w:p w14:paraId="0689F073"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Most staff are motivated to make reports</w:t>
            </w:r>
          </w:p>
        </w:tc>
        <w:tc>
          <w:tcPr>
            <w:tcW w:w="3316" w:type="dxa"/>
            <w:vAlign w:val="center"/>
            <w:hideMark/>
          </w:tcPr>
          <w:p w14:paraId="74DA1609"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6D8C423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Reporting motivation was primarily driven by participation in the research study, with DCs demonstrating engagement and compliance with reporting requirements once enrolled. Participant response rates have been found to be increased when DCs share their enthusiasm for the study with their patients who are participating.</w:t>
            </w:r>
          </w:p>
          <w:p w14:paraId="38D4336F"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3FC5F6E0"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67" w:type="dxa"/>
            <w:noWrap/>
            <w:vAlign w:val="center"/>
            <w:hideMark/>
          </w:tcPr>
          <w:p w14:paraId="289CC924"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21DD34C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This is unknown but very unlikely. Incident reporting on systems such as CPiRLS is however encouraged by professional and regulatory bodies.</w:t>
            </w:r>
          </w:p>
        </w:tc>
        <w:tc>
          <w:tcPr>
            <w:tcW w:w="1205" w:type="dxa"/>
            <w:noWrap/>
            <w:vAlign w:val="center"/>
            <w:hideMark/>
          </w:tcPr>
          <w:p w14:paraId="3E3EBA2B"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992" w:type="dxa"/>
            <w:tcBorders>
              <w:top w:val="nil"/>
              <w:bottom w:val="nil"/>
              <w:right w:val="nil"/>
            </w:tcBorders>
            <w:vAlign w:val="center"/>
            <w:hideMark/>
          </w:tcPr>
          <w:p w14:paraId="0778D17A"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262CE88" w14:textId="77777777" w:rsidTr="005F75FA">
        <w:trPr>
          <w:trHeight w:val="3000"/>
        </w:trPr>
        <w:tc>
          <w:tcPr>
            <w:tcW w:w="854" w:type="dxa"/>
            <w:noWrap/>
            <w:vAlign w:val="center"/>
            <w:hideMark/>
          </w:tcPr>
          <w:p w14:paraId="0C425E05"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6</w:t>
            </w:r>
          </w:p>
        </w:tc>
        <w:tc>
          <w:tcPr>
            <w:tcW w:w="3068" w:type="dxa"/>
            <w:vAlign w:val="center"/>
            <w:hideMark/>
          </w:tcPr>
          <w:p w14:paraId="691D9E7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Staff are encouraged to make reports, and blame and disciplinary action are exceptional; leadership has provided and committed to policies that establish a safety culture</w:t>
            </w:r>
          </w:p>
        </w:tc>
        <w:tc>
          <w:tcPr>
            <w:tcW w:w="3316" w:type="dxa"/>
            <w:vAlign w:val="center"/>
            <w:hideMark/>
          </w:tcPr>
          <w:p w14:paraId="3054FAFF"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472DD23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reporting environment was non-punitive within the context of the study, with voluntary participation emphasized and no mechanisms for blame or disciplinary action associated with reporting. A formal organizational safety culture framework was not embedded within SafetyNET as participating clinicians were informed of reporting processes and engaged through study protocols rather than institutional policy structures.</w:t>
            </w:r>
          </w:p>
          <w:p w14:paraId="43E6700E"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67" w:type="dxa"/>
            <w:noWrap/>
            <w:vAlign w:val="center"/>
            <w:hideMark/>
          </w:tcPr>
          <w:p w14:paraId="7A65AE6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29DFFBF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All reports are anonymous, and no blame or disciplinary action has resulted from reporting.</w:t>
            </w:r>
            <w:r w:rsidRPr="00A54929">
              <w:rPr>
                <w:rFonts w:asciiTheme="minorHAnsi" w:eastAsia="Times New Roman" w:hAnsiTheme="minorHAnsi" w:cstheme="minorHAnsi"/>
                <w:sz w:val="20"/>
                <w:szCs w:val="20"/>
                <w:lang w:val="en-CA"/>
              </w:rPr>
              <w:br/>
              <w:t>The leadership structure of the organisation is difficult to define, as it involves multiple professional bodies and associations operating at both national and international levels.</w:t>
            </w:r>
          </w:p>
        </w:tc>
        <w:tc>
          <w:tcPr>
            <w:tcW w:w="1205" w:type="dxa"/>
            <w:noWrap/>
            <w:vAlign w:val="center"/>
            <w:hideMark/>
          </w:tcPr>
          <w:p w14:paraId="10D2BB4E"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7F68611F"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4018B3E1" w14:textId="77777777" w:rsidTr="005F75FA">
        <w:trPr>
          <w:trHeight w:val="420"/>
        </w:trPr>
        <w:tc>
          <w:tcPr>
            <w:tcW w:w="13183" w:type="dxa"/>
            <w:gridSpan w:val="7"/>
            <w:noWrap/>
            <w:vAlign w:val="center"/>
            <w:hideMark/>
          </w:tcPr>
          <w:p w14:paraId="039A2362"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REPORTING RULES AND CONTENT</w:t>
            </w:r>
          </w:p>
        </w:tc>
        <w:tc>
          <w:tcPr>
            <w:tcW w:w="992" w:type="dxa"/>
            <w:tcBorders>
              <w:top w:val="nil"/>
              <w:bottom w:val="nil"/>
              <w:right w:val="nil"/>
            </w:tcBorders>
            <w:vAlign w:val="center"/>
            <w:hideMark/>
          </w:tcPr>
          <w:p w14:paraId="4B4C1043"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p>
        </w:tc>
      </w:tr>
      <w:tr w:rsidR="00955DB9" w:rsidRPr="00A54929" w14:paraId="7B8D55A4" w14:textId="77777777" w:rsidTr="005F75FA">
        <w:trPr>
          <w:trHeight w:val="1668"/>
        </w:trPr>
        <w:tc>
          <w:tcPr>
            <w:tcW w:w="854" w:type="dxa"/>
            <w:noWrap/>
            <w:vAlign w:val="center"/>
            <w:hideMark/>
          </w:tcPr>
          <w:p w14:paraId="0EB99AE7"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w:t>
            </w:r>
          </w:p>
        </w:tc>
        <w:tc>
          <w:tcPr>
            <w:tcW w:w="3068" w:type="dxa"/>
            <w:vAlign w:val="center"/>
            <w:hideMark/>
          </w:tcPr>
          <w:p w14:paraId="0178536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There are clear criteria and definitions for what constitutes a patient safety incident</w:t>
            </w:r>
          </w:p>
        </w:tc>
        <w:tc>
          <w:tcPr>
            <w:tcW w:w="3316" w:type="dxa"/>
            <w:vAlign w:val="center"/>
            <w:hideMark/>
          </w:tcPr>
          <w:p w14:paraId="00256FB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Incidents were defined broadly as any new or worsening symptom reported by the patient through structured surveys that asked indirect questions to assess the definition.</w:t>
            </w:r>
          </w:p>
        </w:tc>
        <w:tc>
          <w:tcPr>
            <w:tcW w:w="1267" w:type="dxa"/>
            <w:noWrap/>
            <w:vAlign w:val="center"/>
            <w:hideMark/>
          </w:tcPr>
          <w:p w14:paraId="373A8CC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5C378B7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An incident is defined on the system as ‘any patient safety event, error, accident, or deviation from the norm that actually happened, nearly happened or has the potential to happen.</w:t>
            </w:r>
          </w:p>
        </w:tc>
        <w:tc>
          <w:tcPr>
            <w:tcW w:w="1205" w:type="dxa"/>
            <w:noWrap/>
            <w:vAlign w:val="center"/>
            <w:hideMark/>
          </w:tcPr>
          <w:p w14:paraId="59EE282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2087246E"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3867918A" w14:textId="77777777" w:rsidTr="005F75FA">
        <w:trPr>
          <w:trHeight w:val="1960"/>
        </w:trPr>
        <w:tc>
          <w:tcPr>
            <w:tcW w:w="854" w:type="dxa"/>
            <w:noWrap/>
            <w:vAlign w:val="center"/>
            <w:hideMark/>
          </w:tcPr>
          <w:p w14:paraId="781B71EE"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2</w:t>
            </w:r>
          </w:p>
        </w:tc>
        <w:tc>
          <w:tcPr>
            <w:tcW w:w="3068" w:type="dxa"/>
            <w:vAlign w:val="center"/>
            <w:hideMark/>
          </w:tcPr>
          <w:p w14:paraId="4FEEB35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There are clear rules for what kinds of incident should be reported</w:t>
            </w:r>
          </w:p>
        </w:tc>
        <w:tc>
          <w:tcPr>
            <w:tcW w:w="3316" w:type="dxa"/>
            <w:vAlign w:val="center"/>
            <w:hideMark/>
          </w:tcPr>
          <w:p w14:paraId="13620E0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Formal rules were not specified; instead, structured survey responses determined whether an incident occurred based on patient-reported outcomes.</w:t>
            </w:r>
          </w:p>
        </w:tc>
        <w:tc>
          <w:tcPr>
            <w:tcW w:w="1267" w:type="dxa"/>
            <w:noWrap/>
            <w:vAlign w:val="center"/>
            <w:hideMark/>
          </w:tcPr>
          <w:p w14:paraId="33C0259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6D6DE00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Chiropractors are advised to report any incident that:</w:t>
            </w:r>
            <w:r w:rsidRPr="00A54929">
              <w:rPr>
                <w:rFonts w:asciiTheme="minorHAnsi" w:eastAsia="Times New Roman" w:hAnsiTheme="minorHAnsi" w:cstheme="minorHAnsi"/>
                <w:sz w:val="20"/>
                <w:szCs w:val="20"/>
                <w:lang w:val="en-CA"/>
              </w:rPr>
              <w:br/>
              <w:t>Resulted in patient harm</w:t>
            </w:r>
            <w:r w:rsidRPr="00A54929">
              <w:rPr>
                <w:rFonts w:asciiTheme="minorHAnsi" w:eastAsia="Times New Roman" w:hAnsiTheme="minorHAnsi" w:cstheme="minorHAnsi"/>
                <w:sz w:val="20"/>
                <w:szCs w:val="20"/>
                <w:lang w:val="en-CA"/>
              </w:rPr>
              <w:br/>
              <w:t>Had the potential to cause harm</w:t>
            </w:r>
            <w:r w:rsidRPr="00A54929">
              <w:rPr>
                <w:rFonts w:asciiTheme="minorHAnsi" w:eastAsia="Times New Roman" w:hAnsiTheme="minorHAnsi" w:cstheme="minorHAnsi"/>
                <w:sz w:val="20"/>
                <w:szCs w:val="20"/>
                <w:lang w:val="en-CA"/>
              </w:rPr>
              <w:br/>
              <w:t>Was avoided but could have caused harm if circumstances were different.</w:t>
            </w:r>
          </w:p>
        </w:tc>
        <w:tc>
          <w:tcPr>
            <w:tcW w:w="1205" w:type="dxa"/>
            <w:noWrap/>
            <w:vAlign w:val="center"/>
            <w:hideMark/>
          </w:tcPr>
          <w:p w14:paraId="2B392B4A"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4B3E8455"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2D1501C1" w14:textId="77777777" w:rsidTr="005F75FA">
        <w:trPr>
          <w:trHeight w:val="2220"/>
        </w:trPr>
        <w:tc>
          <w:tcPr>
            <w:tcW w:w="854" w:type="dxa"/>
            <w:noWrap/>
            <w:vAlign w:val="center"/>
            <w:hideMark/>
          </w:tcPr>
          <w:p w14:paraId="78471ABE"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3</w:t>
            </w:r>
          </w:p>
        </w:tc>
        <w:tc>
          <w:tcPr>
            <w:tcW w:w="3068" w:type="dxa"/>
            <w:vAlign w:val="center"/>
            <w:hideMark/>
          </w:tcPr>
          <w:p w14:paraId="5AD9F36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Staff are provided with training on the purpose of reporting</w:t>
            </w:r>
          </w:p>
        </w:tc>
        <w:tc>
          <w:tcPr>
            <w:tcW w:w="3316" w:type="dxa"/>
            <w:vAlign w:val="center"/>
            <w:hideMark/>
          </w:tcPr>
          <w:p w14:paraId="765B33A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Training for DCs and staff included the purpose of reporting within the study procedures and training.</w:t>
            </w:r>
          </w:p>
        </w:tc>
        <w:tc>
          <w:tcPr>
            <w:tcW w:w="1267" w:type="dxa"/>
            <w:noWrap/>
            <w:vAlign w:val="center"/>
            <w:hideMark/>
          </w:tcPr>
          <w:p w14:paraId="23D9257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3473" w:type="dxa"/>
            <w:gridSpan w:val="2"/>
            <w:vAlign w:val="center"/>
            <w:hideMark/>
          </w:tcPr>
          <w:p w14:paraId="5C8049F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Training on incident reporting has been delivered at various stages, including undergraduate education, post registration training, and continuing professional development for experienced chiropractors.  However, beyond undergraduate level (in the UK), training on incident reporting is not mandatory and is therefore variable.</w:t>
            </w:r>
          </w:p>
          <w:p w14:paraId="40A32203"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4D5CA248"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05" w:type="dxa"/>
            <w:noWrap/>
            <w:vAlign w:val="center"/>
            <w:hideMark/>
          </w:tcPr>
          <w:p w14:paraId="75CA922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7755AE84"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0F131ECD" w14:textId="77777777" w:rsidTr="005F75FA">
        <w:trPr>
          <w:trHeight w:val="1566"/>
        </w:trPr>
        <w:tc>
          <w:tcPr>
            <w:tcW w:w="854" w:type="dxa"/>
            <w:noWrap/>
            <w:vAlign w:val="center"/>
            <w:hideMark/>
          </w:tcPr>
          <w:p w14:paraId="19F11013"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4</w:t>
            </w:r>
          </w:p>
        </w:tc>
        <w:tc>
          <w:tcPr>
            <w:tcW w:w="3068" w:type="dxa"/>
            <w:vAlign w:val="center"/>
            <w:hideMark/>
          </w:tcPr>
          <w:p w14:paraId="50025CE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Staff are provided with training on how to complete an incident report form</w:t>
            </w:r>
          </w:p>
        </w:tc>
        <w:tc>
          <w:tcPr>
            <w:tcW w:w="3316" w:type="dxa"/>
            <w:vAlign w:val="center"/>
            <w:hideMark/>
          </w:tcPr>
          <w:p w14:paraId="05B2E60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Training included instruction on completing all forms, including the AE long forms and understanding requested data elements, although detailed reporting guidance was limited.</w:t>
            </w:r>
          </w:p>
        </w:tc>
        <w:tc>
          <w:tcPr>
            <w:tcW w:w="1267" w:type="dxa"/>
            <w:noWrap/>
            <w:vAlign w:val="center"/>
            <w:hideMark/>
          </w:tcPr>
          <w:p w14:paraId="3B2E9745"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056E02EB"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training previously described does include training on completing an incident form. However as stated this training is not mandatory and is variable.</w:t>
            </w:r>
          </w:p>
        </w:tc>
        <w:tc>
          <w:tcPr>
            <w:tcW w:w="1205" w:type="dxa"/>
            <w:noWrap/>
            <w:vAlign w:val="center"/>
            <w:hideMark/>
          </w:tcPr>
          <w:p w14:paraId="6872A47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111C8B27"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595F4C1A" w14:textId="77777777" w:rsidTr="005F75FA">
        <w:trPr>
          <w:trHeight w:val="1440"/>
        </w:trPr>
        <w:tc>
          <w:tcPr>
            <w:tcW w:w="854" w:type="dxa"/>
            <w:noWrap/>
            <w:vAlign w:val="center"/>
            <w:hideMark/>
          </w:tcPr>
          <w:p w14:paraId="6B916AD2"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5</w:t>
            </w:r>
          </w:p>
        </w:tc>
        <w:tc>
          <w:tcPr>
            <w:tcW w:w="3068" w:type="dxa"/>
            <w:vAlign w:val="center"/>
            <w:hideMark/>
          </w:tcPr>
          <w:p w14:paraId="44BBFE03"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It is clearly understood whether reporting is voluntary or mandatory</w:t>
            </w:r>
          </w:p>
        </w:tc>
        <w:tc>
          <w:tcPr>
            <w:tcW w:w="3316" w:type="dxa"/>
            <w:vAlign w:val="center"/>
            <w:hideMark/>
          </w:tcPr>
          <w:p w14:paraId="7B0C9F83"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Reporting participation was voluntary and emphasized during informed consent; survey design required responses or intentional omission via “prefer not to respond” options.</w:t>
            </w:r>
          </w:p>
        </w:tc>
        <w:tc>
          <w:tcPr>
            <w:tcW w:w="1267" w:type="dxa"/>
            <w:noWrap/>
            <w:vAlign w:val="center"/>
            <w:hideMark/>
          </w:tcPr>
          <w:p w14:paraId="2E50706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3473" w:type="dxa"/>
            <w:gridSpan w:val="2"/>
            <w:vAlign w:val="center"/>
            <w:hideMark/>
          </w:tcPr>
          <w:p w14:paraId="5EF51D8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Incident reporting is implied as voluntary on the system and likely understood as voluntary.</w:t>
            </w:r>
          </w:p>
        </w:tc>
        <w:tc>
          <w:tcPr>
            <w:tcW w:w="1205" w:type="dxa"/>
            <w:noWrap/>
            <w:vAlign w:val="center"/>
            <w:hideMark/>
          </w:tcPr>
          <w:p w14:paraId="7C7A6C0D"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7F902EC6"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2A05F02C" w14:textId="77777777" w:rsidTr="005F75FA">
        <w:trPr>
          <w:trHeight w:val="900"/>
        </w:trPr>
        <w:tc>
          <w:tcPr>
            <w:tcW w:w="854" w:type="dxa"/>
            <w:noWrap/>
            <w:vAlign w:val="center"/>
            <w:hideMark/>
          </w:tcPr>
          <w:p w14:paraId="37F76A1F"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6</w:t>
            </w:r>
          </w:p>
        </w:tc>
        <w:tc>
          <w:tcPr>
            <w:tcW w:w="3068" w:type="dxa"/>
            <w:vAlign w:val="center"/>
            <w:hideMark/>
          </w:tcPr>
          <w:p w14:paraId="29AEF79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content of incident reports covers as a minimum the elements of the MIM PS</w:t>
            </w:r>
          </w:p>
        </w:tc>
        <w:tc>
          <w:tcPr>
            <w:tcW w:w="3316" w:type="dxa"/>
            <w:vAlign w:val="center"/>
            <w:hideMark/>
          </w:tcPr>
          <w:p w14:paraId="385D048B"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See other parts of this study.</w:t>
            </w:r>
          </w:p>
        </w:tc>
        <w:tc>
          <w:tcPr>
            <w:tcW w:w="1267" w:type="dxa"/>
            <w:noWrap/>
            <w:vAlign w:val="center"/>
            <w:hideMark/>
          </w:tcPr>
          <w:p w14:paraId="6384142C"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5D06C75B"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See other parts of this study.</w:t>
            </w:r>
          </w:p>
        </w:tc>
        <w:tc>
          <w:tcPr>
            <w:tcW w:w="1205" w:type="dxa"/>
            <w:noWrap/>
            <w:vAlign w:val="center"/>
            <w:hideMark/>
          </w:tcPr>
          <w:p w14:paraId="681AD30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681FE0F4"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6D16816" w14:textId="77777777" w:rsidTr="005F75FA">
        <w:trPr>
          <w:trHeight w:val="1180"/>
        </w:trPr>
        <w:tc>
          <w:tcPr>
            <w:tcW w:w="854" w:type="dxa"/>
            <w:noWrap/>
            <w:vAlign w:val="center"/>
            <w:hideMark/>
          </w:tcPr>
          <w:p w14:paraId="40DB814E"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7</w:t>
            </w:r>
          </w:p>
        </w:tc>
        <w:tc>
          <w:tcPr>
            <w:tcW w:w="3068" w:type="dxa"/>
            <w:vAlign w:val="center"/>
            <w:hideMark/>
          </w:tcPr>
          <w:p w14:paraId="3FFC657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Incident reports contain structured information capture and free text narrative commentary</w:t>
            </w:r>
          </w:p>
        </w:tc>
        <w:tc>
          <w:tcPr>
            <w:tcW w:w="3316" w:type="dxa"/>
            <w:vAlign w:val="center"/>
            <w:hideMark/>
          </w:tcPr>
          <w:p w14:paraId="50CCDDF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system incorporated both structured data fields and optional free-text narrative responses.</w:t>
            </w:r>
          </w:p>
        </w:tc>
        <w:tc>
          <w:tcPr>
            <w:tcW w:w="1267" w:type="dxa"/>
            <w:noWrap/>
            <w:vAlign w:val="center"/>
            <w:hideMark/>
          </w:tcPr>
          <w:p w14:paraId="5E6D44B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3473" w:type="dxa"/>
            <w:gridSpan w:val="2"/>
            <w:vAlign w:val="center"/>
            <w:hideMark/>
          </w:tcPr>
          <w:p w14:paraId="20F232D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system incorporates a combination of structured data fields alongside both required and optional free text narrative responses.</w:t>
            </w:r>
          </w:p>
        </w:tc>
        <w:tc>
          <w:tcPr>
            <w:tcW w:w="1205" w:type="dxa"/>
            <w:noWrap/>
            <w:vAlign w:val="center"/>
            <w:hideMark/>
          </w:tcPr>
          <w:p w14:paraId="06944BF4"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992" w:type="dxa"/>
            <w:tcBorders>
              <w:top w:val="nil"/>
              <w:bottom w:val="nil"/>
              <w:right w:val="nil"/>
            </w:tcBorders>
            <w:vAlign w:val="center"/>
            <w:hideMark/>
          </w:tcPr>
          <w:p w14:paraId="023282D2"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FE247B6" w14:textId="77777777" w:rsidTr="005F75FA">
        <w:trPr>
          <w:trHeight w:val="689"/>
        </w:trPr>
        <w:tc>
          <w:tcPr>
            <w:tcW w:w="854" w:type="dxa"/>
            <w:noWrap/>
            <w:vAlign w:val="center"/>
            <w:hideMark/>
          </w:tcPr>
          <w:p w14:paraId="0A92FDDF"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8</w:t>
            </w:r>
          </w:p>
        </w:tc>
        <w:tc>
          <w:tcPr>
            <w:tcW w:w="3068" w:type="dxa"/>
            <w:vAlign w:val="center"/>
            <w:hideMark/>
          </w:tcPr>
          <w:p w14:paraId="4422116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It is possible to return to a reporter to gather further information</w:t>
            </w:r>
          </w:p>
        </w:tc>
        <w:tc>
          <w:tcPr>
            <w:tcW w:w="3316" w:type="dxa"/>
            <w:vAlign w:val="center"/>
            <w:hideMark/>
          </w:tcPr>
          <w:p w14:paraId="6A01870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 reports could be linked to providers, and DCs occasionally followed up with patients; investigator-led follow-up was not routinely conducted.</w:t>
            </w:r>
          </w:p>
        </w:tc>
        <w:tc>
          <w:tcPr>
            <w:tcW w:w="1267" w:type="dxa"/>
            <w:noWrap/>
            <w:vAlign w:val="center"/>
            <w:hideMark/>
          </w:tcPr>
          <w:p w14:paraId="57A5509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3473" w:type="dxa"/>
            <w:gridSpan w:val="2"/>
            <w:vAlign w:val="center"/>
            <w:hideMark/>
          </w:tcPr>
          <w:p w14:paraId="7C1163C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This is not possible.</w:t>
            </w:r>
          </w:p>
        </w:tc>
        <w:tc>
          <w:tcPr>
            <w:tcW w:w="1205" w:type="dxa"/>
            <w:noWrap/>
            <w:vAlign w:val="center"/>
            <w:hideMark/>
          </w:tcPr>
          <w:p w14:paraId="422EC375"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170D2F75"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5B73363F" w14:textId="77777777" w:rsidTr="005F75FA">
        <w:trPr>
          <w:trHeight w:val="2107"/>
        </w:trPr>
        <w:tc>
          <w:tcPr>
            <w:tcW w:w="854" w:type="dxa"/>
            <w:noWrap/>
            <w:vAlign w:val="center"/>
            <w:hideMark/>
          </w:tcPr>
          <w:p w14:paraId="56E5F166"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9</w:t>
            </w:r>
          </w:p>
        </w:tc>
        <w:tc>
          <w:tcPr>
            <w:tcW w:w="3068" w:type="dxa"/>
            <w:vAlign w:val="center"/>
            <w:hideMark/>
          </w:tcPr>
          <w:p w14:paraId="4E6ABFA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It is clear what types of incidents should be analysed locally and what types nationally</w:t>
            </w:r>
          </w:p>
        </w:tc>
        <w:tc>
          <w:tcPr>
            <w:tcW w:w="3316" w:type="dxa"/>
            <w:vAlign w:val="center"/>
            <w:hideMark/>
          </w:tcPr>
          <w:p w14:paraId="70465AB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Distinctions between local and national analysis were not defined; all incidents were analyzed collectively within the research framework.</w:t>
            </w:r>
          </w:p>
        </w:tc>
        <w:tc>
          <w:tcPr>
            <w:tcW w:w="1267" w:type="dxa"/>
            <w:noWrap/>
            <w:vAlign w:val="center"/>
            <w:hideMark/>
          </w:tcPr>
          <w:p w14:paraId="561295B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3473" w:type="dxa"/>
            <w:gridSpan w:val="2"/>
            <w:vAlign w:val="center"/>
            <w:hideMark/>
          </w:tcPr>
          <w:p w14:paraId="22065DBB"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Currently all data is analysed collectively (i.e. internationally) but there is the option of analysing data at the national (or in some cases regional) level. The Development Group monitors and makes a collective decision on when 'safer practice notices' are required.</w:t>
            </w:r>
          </w:p>
        </w:tc>
        <w:tc>
          <w:tcPr>
            <w:tcW w:w="1205" w:type="dxa"/>
            <w:noWrap/>
            <w:vAlign w:val="center"/>
            <w:hideMark/>
          </w:tcPr>
          <w:p w14:paraId="6946970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541C4440"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22A59568" w14:textId="77777777" w:rsidTr="005F75FA">
        <w:trPr>
          <w:trHeight w:val="1180"/>
        </w:trPr>
        <w:tc>
          <w:tcPr>
            <w:tcW w:w="854" w:type="dxa"/>
            <w:noWrap/>
            <w:vAlign w:val="center"/>
            <w:hideMark/>
          </w:tcPr>
          <w:p w14:paraId="6DF4F769"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10</w:t>
            </w:r>
          </w:p>
        </w:tc>
        <w:tc>
          <w:tcPr>
            <w:tcW w:w="3068" w:type="dxa"/>
            <w:vAlign w:val="center"/>
            <w:hideMark/>
          </w:tcPr>
          <w:p w14:paraId="69C45FE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 telephone hotline is in place for staff to report serious incidents requiring escalation</w:t>
            </w:r>
          </w:p>
        </w:tc>
        <w:tc>
          <w:tcPr>
            <w:tcW w:w="3316" w:type="dxa"/>
            <w:vAlign w:val="center"/>
            <w:hideMark/>
          </w:tcPr>
          <w:p w14:paraId="2D9FABA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dedicated hotline was included; escalation pathways were limited to existing ethical oversight mechanisms and principal investigator, if needed.</w:t>
            </w:r>
          </w:p>
        </w:tc>
        <w:tc>
          <w:tcPr>
            <w:tcW w:w="1267" w:type="dxa"/>
            <w:noWrap/>
            <w:vAlign w:val="center"/>
            <w:hideMark/>
          </w:tcPr>
          <w:p w14:paraId="61883EB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42DADCA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not included.</w:t>
            </w:r>
          </w:p>
        </w:tc>
        <w:tc>
          <w:tcPr>
            <w:tcW w:w="1205" w:type="dxa"/>
            <w:noWrap/>
            <w:vAlign w:val="center"/>
            <w:hideMark/>
          </w:tcPr>
          <w:p w14:paraId="614FDB44"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4F9BAF6C"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0B31105F" w14:textId="77777777" w:rsidTr="005F75FA">
        <w:trPr>
          <w:trHeight w:val="1898"/>
        </w:trPr>
        <w:tc>
          <w:tcPr>
            <w:tcW w:w="854" w:type="dxa"/>
            <w:noWrap/>
            <w:vAlign w:val="center"/>
            <w:hideMark/>
          </w:tcPr>
          <w:p w14:paraId="45618216"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11</w:t>
            </w:r>
          </w:p>
        </w:tc>
        <w:tc>
          <w:tcPr>
            <w:tcW w:w="3068" w:type="dxa"/>
            <w:vAlign w:val="center"/>
            <w:hideMark/>
          </w:tcPr>
          <w:p w14:paraId="48C84E8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There is a specific mechanism for patients and family members to make reports</w:t>
            </w:r>
          </w:p>
        </w:tc>
        <w:tc>
          <w:tcPr>
            <w:tcW w:w="3316" w:type="dxa"/>
            <w:vAlign w:val="center"/>
            <w:hideMark/>
          </w:tcPr>
          <w:p w14:paraId="47793DE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served as the primary reporters through immediate post-visit and follow-up surveys. DC long form could be completed with the DC contacting the participant.</w:t>
            </w:r>
          </w:p>
        </w:tc>
        <w:tc>
          <w:tcPr>
            <w:tcW w:w="1267" w:type="dxa"/>
            <w:noWrap/>
            <w:vAlign w:val="center"/>
            <w:hideMark/>
          </w:tcPr>
          <w:p w14:paraId="11497F5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4BA823E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can make reports indirectly via the chiropractor and request that a report is made on their behalf. However, patients and family members cannot access and therefore report on the system directly.</w:t>
            </w:r>
          </w:p>
        </w:tc>
        <w:tc>
          <w:tcPr>
            <w:tcW w:w="1205" w:type="dxa"/>
            <w:noWrap/>
            <w:vAlign w:val="center"/>
            <w:hideMark/>
          </w:tcPr>
          <w:p w14:paraId="0C76E85C"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48BCB9CF"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406D15DC" w14:textId="77777777" w:rsidTr="005F75FA">
        <w:trPr>
          <w:trHeight w:val="420"/>
        </w:trPr>
        <w:tc>
          <w:tcPr>
            <w:tcW w:w="13183" w:type="dxa"/>
            <w:gridSpan w:val="7"/>
            <w:noWrap/>
            <w:vAlign w:val="center"/>
            <w:hideMark/>
          </w:tcPr>
          <w:p w14:paraId="744DBBA4"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ANALYSIS AND INVESTIGATION</w:t>
            </w:r>
          </w:p>
        </w:tc>
        <w:tc>
          <w:tcPr>
            <w:tcW w:w="992" w:type="dxa"/>
            <w:tcBorders>
              <w:top w:val="nil"/>
              <w:bottom w:val="nil"/>
              <w:right w:val="nil"/>
            </w:tcBorders>
            <w:vAlign w:val="center"/>
            <w:hideMark/>
          </w:tcPr>
          <w:p w14:paraId="65246615"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p>
        </w:tc>
      </w:tr>
      <w:tr w:rsidR="00955DB9" w:rsidRPr="00A54929" w14:paraId="58A65674" w14:textId="77777777" w:rsidTr="005F75FA">
        <w:trPr>
          <w:trHeight w:val="1804"/>
        </w:trPr>
        <w:tc>
          <w:tcPr>
            <w:tcW w:w="854" w:type="dxa"/>
            <w:noWrap/>
            <w:vAlign w:val="center"/>
            <w:hideMark/>
          </w:tcPr>
          <w:p w14:paraId="33EC77C8"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w:t>
            </w:r>
          </w:p>
        </w:tc>
        <w:tc>
          <w:tcPr>
            <w:tcW w:w="3068" w:type="dxa"/>
            <w:vAlign w:val="center"/>
            <w:hideMark/>
          </w:tcPr>
          <w:p w14:paraId="11BC0BDA"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Data are aggregated to a recognized classification system</w:t>
            </w:r>
          </w:p>
        </w:tc>
        <w:tc>
          <w:tcPr>
            <w:tcW w:w="3316" w:type="dxa"/>
            <w:vAlign w:val="center"/>
            <w:hideMark/>
          </w:tcPr>
          <w:p w14:paraId="761F55A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Data were aggregated into standardized categories for several classification systems (i.e., better/worse/unchanged, severity) that have been continuously refined and updated.</w:t>
            </w:r>
          </w:p>
        </w:tc>
        <w:tc>
          <w:tcPr>
            <w:tcW w:w="1267" w:type="dxa"/>
            <w:noWrap/>
            <w:vAlign w:val="center"/>
            <w:hideMark/>
          </w:tcPr>
          <w:p w14:paraId="2B25CEF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6482D2B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classification system, including categories and subcategories, was developed through the CPiRLS Development Group. Levels of harm were developed based on existing literature.</w:t>
            </w:r>
          </w:p>
        </w:tc>
        <w:tc>
          <w:tcPr>
            <w:tcW w:w="1205" w:type="dxa"/>
            <w:noWrap/>
            <w:vAlign w:val="center"/>
            <w:hideMark/>
          </w:tcPr>
          <w:p w14:paraId="09D9CA2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032C6188"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735EC43E" w14:textId="77777777" w:rsidTr="005F75FA">
        <w:trPr>
          <w:trHeight w:val="2107"/>
        </w:trPr>
        <w:tc>
          <w:tcPr>
            <w:tcW w:w="854" w:type="dxa"/>
            <w:noWrap/>
            <w:vAlign w:val="center"/>
            <w:hideMark/>
          </w:tcPr>
          <w:p w14:paraId="004F74E4"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2</w:t>
            </w:r>
          </w:p>
        </w:tc>
        <w:tc>
          <w:tcPr>
            <w:tcW w:w="3068" w:type="dxa"/>
            <w:vAlign w:val="center"/>
            <w:hideMark/>
          </w:tcPr>
          <w:p w14:paraId="034403A8"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Aggregated data regularly produce systemic insights</w:t>
            </w:r>
          </w:p>
        </w:tc>
        <w:tc>
          <w:tcPr>
            <w:tcW w:w="3316" w:type="dxa"/>
            <w:vAlign w:val="center"/>
            <w:hideMark/>
          </w:tcPr>
          <w:p w14:paraId="634CF9A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Aggregated data are analyzed and disseminated through manuscripts and conference presentations, but currently just within the individual research study. Data from multiple studies could be combined for further analysis.</w:t>
            </w:r>
          </w:p>
        </w:tc>
        <w:tc>
          <w:tcPr>
            <w:tcW w:w="1267" w:type="dxa"/>
            <w:noWrap/>
            <w:vAlign w:val="center"/>
            <w:hideMark/>
          </w:tcPr>
          <w:p w14:paraId="1B137286"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541D4EE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Data are currently analysed annually to identify systemic insights. The CPiRLS Team monitors incident reports to identify trends and aims to produce safety notices and other outputs to help practitioners identify and reduce risk in relation to their practice.</w:t>
            </w:r>
          </w:p>
        </w:tc>
        <w:tc>
          <w:tcPr>
            <w:tcW w:w="1205" w:type="dxa"/>
            <w:noWrap/>
            <w:vAlign w:val="center"/>
            <w:hideMark/>
          </w:tcPr>
          <w:p w14:paraId="0369C88C"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0C3F4C4C"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1688451F" w14:textId="77777777" w:rsidTr="005F75FA">
        <w:trPr>
          <w:trHeight w:val="2675"/>
        </w:trPr>
        <w:tc>
          <w:tcPr>
            <w:tcW w:w="854" w:type="dxa"/>
            <w:noWrap/>
            <w:vAlign w:val="center"/>
            <w:hideMark/>
          </w:tcPr>
          <w:p w14:paraId="159B670D"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3</w:t>
            </w:r>
          </w:p>
        </w:tc>
        <w:tc>
          <w:tcPr>
            <w:tcW w:w="3068" w:type="dxa"/>
            <w:vAlign w:val="center"/>
            <w:hideMark/>
          </w:tcPr>
          <w:p w14:paraId="05CD2030"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Feedback is provided to staff to acknowledge their report and clarify additional details needed</w:t>
            </w:r>
          </w:p>
        </w:tc>
        <w:tc>
          <w:tcPr>
            <w:tcW w:w="3316" w:type="dxa"/>
            <w:vAlign w:val="center"/>
            <w:hideMark/>
          </w:tcPr>
          <w:p w14:paraId="2958895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Feedback was limited to automated confirmation of submission, with no routine follow-up for clarification.</w:t>
            </w:r>
          </w:p>
        </w:tc>
        <w:tc>
          <w:tcPr>
            <w:tcW w:w="1267" w:type="dxa"/>
            <w:noWrap/>
            <w:vAlign w:val="center"/>
            <w:hideMark/>
          </w:tcPr>
          <w:p w14:paraId="44996F0D"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4D46122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Comments are provided to reporting chiropractors, thanking them for their submission and signposting them to additional resources. This feedback is also visible to all users of the system to facilitate shared learning. Additional details are not requested because the system is anonymous and individual reporters cannot be identified.</w:t>
            </w:r>
          </w:p>
        </w:tc>
        <w:tc>
          <w:tcPr>
            <w:tcW w:w="1205" w:type="dxa"/>
            <w:noWrap/>
            <w:vAlign w:val="center"/>
            <w:hideMark/>
          </w:tcPr>
          <w:p w14:paraId="1433202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08649A83"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02F775F" w14:textId="77777777" w:rsidTr="005F75FA">
        <w:trPr>
          <w:trHeight w:val="1960"/>
        </w:trPr>
        <w:tc>
          <w:tcPr>
            <w:tcW w:w="854" w:type="dxa"/>
            <w:noWrap/>
            <w:vAlign w:val="center"/>
            <w:hideMark/>
          </w:tcPr>
          <w:p w14:paraId="04D06C37"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4</w:t>
            </w:r>
          </w:p>
        </w:tc>
        <w:tc>
          <w:tcPr>
            <w:tcW w:w="3068" w:type="dxa"/>
            <w:vAlign w:val="center"/>
            <w:hideMark/>
          </w:tcPr>
          <w:p w14:paraId="4AD42510"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Reports of aggregated data are regularly made public with appropriate interpretative commentary</w:t>
            </w:r>
          </w:p>
        </w:tc>
        <w:tc>
          <w:tcPr>
            <w:tcW w:w="3316" w:type="dxa"/>
            <w:vAlign w:val="center"/>
            <w:hideMark/>
          </w:tcPr>
          <w:p w14:paraId="479EC1A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Analyses are typically conducted by an interdisciplinary research team, including clinical and statistical expertise; direct access for reporting clinicians was limited to published outputs.</w:t>
            </w:r>
          </w:p>
        </w:tc>
        <w:tc>
          <w:tcPr>
            <w:tcW w:w="1267" w:type="dxa"/>
            <w:noWrap/>
            <w:vAlign w:val="center"/>
            <w:hideMark/>
          </w:tcPr>
          <w:p w14:paraId="30784AFC"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11E1702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Annual data, including interpretive commentary, are made available only to chiropractors who have access to the reporting system. When issued, Safer Practice Notices are published and made freely available to the public.</w:t>
            </w:r>
          </w:p>
        </w:tc>
        <w:tc>
          <w:tcPr>
            <w:tcW w:w="1205" w:type="dxa"/>
            <w:noWrap/>
            <w:vAlign w:val="center"/>
            <w:hideMark/>
          </w:tcPr>
          <w:p w14:paraId="109944E5"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62F4B0CC"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00BB5900" w14:textId="77777777" w:rsidTr="005F75FA">
        <w:trPr>
          <w:trHeight w:val="1960"/>
        </w:trPr>
        <w:tc>
          <w:tcPr>
            <w:tcW w:w="854" w:type="dxa"/>
            <w:noWrap/>
            <w:vAlign w:val="center"/>
            <w:hideMark/>
          </w:tcPr>
          <w:p w14:paraId="18035B9E"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5</w:t>
            </w:r>
          </w:p>
        </w:tc>
        <w:tc>
          <w:tcPr>
            <w:tcW w:w="3068" w:type="dxa"/>
            <w:vAlign w:val="center"/>
            <w:hideMark/>
          </w:tcPr>
          <w:p w14:paraId="53DE89A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Reports of aggregated data are made available to agencies involved in safety assurance or improvement</w:t>
            </w:r>
          </w:p>
        </w:tc>
        <w:tc>
          <w:tcPr>
            <w:tcW w:w="3316" w:type="dxa"/>
            <w:vAlign w:val="center"/>
            <w:hideMark/>
          </w:tcPr>
          <w:p w14:paraId="1B538990"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Findings are disseminated through peer-reviewed publications and scientific presentations only. For studies with grant funding, final reports with an overview of results, including adverse event information, were submitted to funding agencies, when applicable.</w:t>
            </w:r>
          </w:p>
        </w:tc>
        <w:tc>
          <w:tcPr>
            <w:tcW w:w="1267" w:type="dxa"/>
            <w:noWrap/>
            <w:vAlign w:val="center"/>
            <w:hideMark/>
          </w:tcPr>
          <w:p w14:paraId="6ED10E22"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651830BA"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6C122B8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annual report is not made available to external agencies or organisations that do not have direct access to the system. However, selected findings are occasionally disseminated through peer reviewed publications and scientific presentations.</w:t>
            </w:r>
          </w:p>
          <w:p w14:paraId="101BEF33"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1AB42A68"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05" w:type="dxa"/>
            <w:noWrap/>
            <w:vAlign w:val="center"/>
            <w:hideMark/>
          </w:tcPr>
          <w:p w14:paraId="0CCB981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7995BE88"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77093316" w14:textId="77777777" w:rsidTr="005F75FA">
        <w:trPr>
          <w:trHeight w:val="1965"/>
        </w:trPr>
        <w:tc>
          <w:tcPr>
            <w:tcW w:w="854" w:type="dxa"/>
            <w:noWrap/>
            <w:vAlign w:val="center"/>
            <w:hideMark/>
          </w:tcPr>
          <w:p w14:paraId="2E521690"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6</w:t>
            </w:r>
          </w:p>
        </w:tc>
        <w:tc>
          <w:tcPr>
            <w:tcW w:w="3068" w:type="dxa"/>
            <w:vAlign w:val="center"/>
            <w:hideMark/>
          </w:tcPr>
          <w:p w14:paraId="1E3869A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 substantial proportion of incidents are further investigated at local level</w:t>
            </w:r>
          </w:p>
        </w:tc>
        <w:tc>
          <w:tcPr>
            <w:tcW w:w="3316" w:type="dxa"/>
            <w:vAlign w:val="center"/>
            <w:hideMark/>
          </w:tcPr>
          <w:p w14:paraId="753B159B"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Local-level investigations of individual incidents have only been investigated as either a secondary objective or within a sensitivity analysis. These have only been reported within publication and scientific presentations.</w:t>
            </w:r>
          </w:p>
        </w:tc>
        <w:tc>
          <w:tcPr>
            <w:tcW w:w="1267" w:type="dxa"/>
            <w:noWrap/>
            <w:vAlign w:val="center"/>
            <w:hideMark/>
          </w:tcPr>
          <w:p w14:paraId="76B8D84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2C4CF7E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This is beyond the scope of the reporting system.</w:t>
            </w:r>
          </w:p>
        </w:tc>
        <w:tc>
          <w:tcPr>
            <w:tcW w:w="1205" w:type="dxa"/>
            <w:noWrap/>
            <w:vAlign w:val="center"/>
            <w:hideMark/>
          </w:tcPr>
          <w:p w14:paraId="1FD00F7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0BEF5128"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7A0D06CE" w14:textId="77777777" w:rsidTr="005F75FA">
        <w:trPr>
          <w:trHeight w:val="1180"/>
        </w:trPr>
        <w:tc>
          <w:tcPr>
            <w:tcW w:w="854" w:type="dxa"/>
            <w:noWrap/>
            <w:vAlign w:val="center"/>
            <w:hideMark/>
          </w:tcPr>
          <w:p w14:paraId="36F9BEBD"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7</w:t>
            </w:r>
          </w:p>
        </w:tc>
        <w:tc>
          <w:tcPr>
            <w:tcW w:w="3068" w:type="dxa"/>
            <w:vAlign w:val="center"/>
            <w:hideMark/>
          </w:tcPr>
          <w:p w14:paraId="26173A4B"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Some incidents (or clusters of incidents) are further investigated at national level</w:t>
            </w:r>
          </w:p>
        </w:tc>
        <w:tc>
          <w:tcPr>
            <w:tcW w:w="3316" w:type="dxa"/>
            <w:vAlign w:val="center"/>
            <w:hideMark/>
          </w:tcPr>
          <w:p w14:paraId="64241CB8"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National-level investigation beyond aggregate analysis have not been available. This could be possible but hasn't been done to date.</w:t>
            </w:r>
          </w:p>
        </w:tc>
        <w:tc>
          <w:tcPr>
            <w:tcW w:w="1267" w:type="dxa"/>
            <w:noWrap/>
            <w:vAlign w:val="center"/>
            <w:hideMark/>
          </w:tcPr>
          <w:p w14:paraId="586EB80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3473" w:type="dxa"/>
            <w:gridSpan w:val="2"/>
            <w:vAlign w:val="center"/>
            <w:hideMark/>
          </w:tcPr>
          <w:p w14:paraId="2A95CD3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National level incident data are available; however, to date, these data have not been analysed separately.</w:t>
            </w:r>
          </w:p>
        </w:tc>
        <w:tc>
          <w:tcPr>
            <w:tcW w:w="1205" w:type="dxa"/>
            <w:noWrap/>
            <w:vAlign w:val="center"/>
            <w:hideMark/>
          </w:tcPr>
          <w:p w14:paraId="4FED8793"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992" w:type="dxa"/>
            <w:tcBorders>
              <w:top w:val="nil"/>
              <w:bottom w:val="nil"/>
              <w:right w:val="nil"/>
            </w:tcBorders>
            <w:vAlign w:val="center"/>
            <w:hideMark/>
          </w:tcPr>
          <w:p w14:paraId="6676E3C6"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21993D3B" w14:textId="77777777" w:rsidTr="005F75FA">
        <w:trPr>
          <w:trHeight w:val="1180"/>
        </w:trPr>
        <w:tc>
          <w:tcPr>
            <w:tcW w:w="854" w:type="dxa"/>
            <w:noWrap/>
            <w:vAlign w:val="center"/>
            <w:hideMark/>
          </w:tcPr>
          <w:p w14:paraId="60CB11E8"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8</w:t>
            </w:r>
          </w:p>
        </w:tc>
        <w:tc>
          <w:tcPr>
            <w:tcW w:w="3068" w:type="dxa"/>
            <w:vAlign w:val="center"/>
            <w:hideMark/>
          </w:tcPr>
          <w:p w14:paraId="697AE1E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Further investigation is not restricted only to those involving death or severe harm</w:t>
            </w:r>
          </w:p>
        </w:tc>
        <w:tc>
          <w:tcPr>
            <w:tcW w:w="3316" w:type="dxa"/>
            <w:vAlign w:val="center"/>
            <w:hideMark/>
          </w:tcPr>
          <w:p w14:paraId="2A390E9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All reported data, including low- and no-harm events, are included in aggregate analyses. Near misses are not collected in this reporting system.</w:t>
            </w:r>
          </w:p>
        </w:tc>
        <w:tc>
          <w:tcPr>
            <w:tcW w:w="1267" w:type="dxa"/>
            <w:noWrap/>
            <w:vAlign w:val="center"/>
            <w:hideMark/>
          </w:tcPr>
          <w:p w14:paraId="69F2A9F9"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1D6FA8D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All incidents are analysed in the same way.</w:t>
            </w:r>
          </w:p>
        </w:tc>
        <w:tc>
          <w:tcPr>
            <w:tcW w:w="1205" w:type="dxa"/>
            <w:noWrap/>
            <w:vAlign w:val="center"/>
            <w:hideMark/>
          </w:tcPr>
          <w:p w14:paraId="5FAD5C2E"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992" w:type="dxa"/>
            <w:tcBorders>
              <w:top w:val="nil"/>
              <w:bottom w:val="nil"/>
              <w:right w:val="nil"/>
            </w:tcBorders>
            <w:vAlign w:val="center"/>
            <w:hideMark/>
          </w:tcPr>
          <w:p w14:paraId="18B63844"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2D42FE86" w14:textId="77777777" w:rsidTr="005F75FA">
        <w:trPr>
          <w:trHeight w:val="2537"/>
        </w:trPr>
        <w:tc>
          <w:tcPr>
            <w:tcW w:w="854" w:type="dxa"/>
            <w:noWrap/>
            <w:vAlign w:val="center"/>
            <w:hideMark/>
          </w:tcPr>
          <w:p w14:paraId="0ECEC093"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9</w:t>
            </w:r>
          </w:p>
        </w:tc>
        <w:tc>
          <w:tcPr>
            <w:tcW w:w="3068" w:type="dxa"/>
            <w:vAlign w:val="center"/>
            <w:hideMark/>
          </w:tcPr>
          <w:p w14:paraId="2CBE8D7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Further investigation involves a structured approach (such as root cause analysis)</w:t>
            </w:r>
          </w:p>
        </w:tc>
        <w:tc>
          <w:tcPr>
            <w:tcW w:w="3316" w:type="dxa"/>
            <w:vAlign w:val="center"/>
            <w:hideMark/>
          </w:tcPr>
          <w:p w14:paraId="2545BB5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investigation followed structured research methodologies rather than formal root cause analysis processes.</w:t>
            </w:r>
          </w:p>
        </w:tc>
        <w:tc>
          <w:tcPr>
            <w:tcW w:w="1267" w:type="dxa"/>
            <w:noWrap/>
            <w:vAlign w:val="center"/>
            <w:hideMark/>
          </w:tcPr>
          <w:p w14:paraId="7F30B96A"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0B461C4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formal root cause analysis has been undertaken. While this may be possible, it could be limited by the level of data available. The CPiRLS Team monitors incident reports to identify trends and aims to produce safety notices and other outputs to help practitioners identify and reduce risk in relation to their practice.</w:t>
            </w:r>
          </w:p>
        </w:tc>
        <w:tc>
          <w:tcPr>
            <w:tcW w:w="1205" w:type="dxa"/>
            <w:noWrap/>
            <w:vAlign w:val="center"/>
            <w:hideMark/>
          </w:tcPr>
          <w:p w14:paraId="1BB7CAE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74EFC41A"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5F4AB001" w14:textId="77777777" w:rsidTr="005F75FA">
        <w:trPr>
          <w:trHeight w:val="1440"/>
        </w:trPr>
        <w:tc>
          <w:tcPr>
            <w:tcW w:w="854" w:type="dxa"/>
            <w:noWrap/>
            <w:vAlign w:val="center"/>
            <w:hideMark/>
          </w:tcPr>
          <w:p w14:paraId="7E2B35DD"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10</w:t>
            </w:r>
          </w:p>
        </w:tc>
        <w:tc>
          <w:tcPr>
            <w:tcW w:w="3068" w:type="dxa"/>
            <w:vAlign w:val="center"/>
            <w:hideMark/>
          </w:tcPr>
          <w:p w14:paraId="5ABE61A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Further investigation almost always involves appropriate expert input</w:t>
            </w:r>
          </w:p>
        </w:tc>
        <w:tc>
          <w:tcPr>
            <w:tcW w:w="3316" w:type="dxa"/>
            <w:vAlign w:val="center"/>
            <w:hideMark/>
          </w:tcPr>
          <w:p w14:paraId="54B56C5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Analyses are conducted by a team including clinically trained experts and, where applicable, biostatisticians, as well as team member who are content and safety experts.</w:t>
            </w:r>
          </w:p>
        </w:tc>
        <w:tc>
          <w:tcPr>
            <w:tcW w:w="1267" w:type="dxa"/>
            <w:noWrap/>
            <w:vAlign w:val="center"/>
            <w:hideMark/>
          </w:tcPr>
          <w:p w14:paraId="4F09CDD9"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3473" w:type="dxa"/>
            <w:gridSpan w:val="2"/>
            <w:vAlign w:val="center"/>
            <w:hideMark/>
          </w:tcPr>
          <w:p w14:paraId="462AD6E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CPiRLS Development Group is utilised as an appropriate pool of experts to investigate incidents where required.</w:t>
            </w:r>
          </w:p>
        </w:tc>
        <w:tc>
          <w:tcPr>
            <w:tcW w:w="1205" w:type="dxa"/>
            <w:noWrap/>
            <w:vAlign w:val="center"/>
            <w:hideMark/>
          </w:tcPr>
          <w:p w14:paraId="7483F472"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992" w:type="dxa"/>
            <w:tcBorders>
              <w:top w:val="nil"/>
              <w:bottom w:val="nil"/>
              <w:right w:val="nil"/>
            </w:tcBorders>
            <w:vAlign w:val="center"/>
            <w:hideMark/>
          </w:tcPr>
          <w:p w14:paraId="0545BC05"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19803BD6" w14:textId="77777777" w:rsidTr="005F75FA">
        <w:trPr>
          <w:trHeight w:val="1160"/>
        </w:trPr>
        <w:tc>
          <w:tcPr>
            <w:tcW w:w="854" w:type="dxa"/>
            <w:noWrap/>
            <w:vAlign w:val="center"/>
            <w:hideMark/>
          </w:tcPr>
          <w:p w14:paraId="4F4F0C4D"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11</w:t>
            </w:r>
          </w:p>
        </w:tc>
        <w:tc>
          <w:tcPr>
            <w:tcW w:w="3068" w:type="dxa"/>
            <w:vAlign w:val="center"/>
            <w:hideMark/>
          </w:tcPr>
          <w:p w14:paraId="2697BC1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Further investigation involves all relevant staff, patients and families, and regularly includes human factors expertise</w:t>
            </w:r>
          </w:p>
        </w:tc>
        <w:tc>
          <w:tcPr>
            <w:tcW w:w="3316" w:type="dxa"/>
            <w:vAlign w:val="center"/>
            <w:hideMark/>
          </w:tcPr>
          <w:p w14:paraId="2616A6B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Investigation was limited to the research team; broader stakeholder or human factors involvement have not been included.</w:t>
            </w:r>
          </w:p>
        </w:tc>
        <w:tc>
          <w:tcPr>
            <w:tcW w:w="1267" w:type="dxa"/>
            <w:noWrap/>
            <w:vAlign w:val="center"/>
            <w:hideMark/>
          </w:tcPr>
          <w:p w14:paraId="4E0608A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3473" w:type="dxa"/>
            <w:gridSpan w:val="2"/>
            <w:vAlign w:val="center"/>
            <w:hideMark/>
          </w:tcPr>
          <w:p w14:paraId="5886D08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not included.</w:t>
            </w:r>
          </w:p>
        </w:tc>
        <w:tc>
          <w:tcPr>
            <w:tcW w:w="1205" w:type="dxa"/>
            <w:noWrap/>
            <w:vAlign w:val="center"/>
            <w:hideMark/>
          </w:tcPr>
          <w:p w14:paraId="46FA870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141C3740"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651F0F5" w14:textId="77777777" w:rsidTr="005F75FA">
        <w:trPr>
          <w:trHeight w:val="900"/>
        </w:trPr>
        <w:tc>
          <w:tcPr>
            <w:tcW w:w="854" w:type="dxa"/>
            <w:noWrap/>
            <w:vAlign w:val="center"/>
            <w:hideMark/>
          </w:tcPr>
          <w:p w14:paraId="67845350"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12</w:t>
            </w:r>
          </w:p>
        </w:tc>
        <w:tc>
          <w:tcPr>
            <w:tcW w:w="3068" w:type="dxa"/>
            <w:vAlign w:val="center"/>
            <w:hideMark/>
          </w:tcPr>
          <w:p w14:paraId="5A7D0458"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Data from investigation and deeper analysis are incorporated back into the reporting system</w:t>
            </w:r>
          </w:p>
        </w:tc>
        <w:tc>
          <w:tcPr>
            <w:tcW w:w="3316" w:type="dxa"/>
            <w:vAlign w:val="center"/>
            <w:hideMark/>
          </w:tcPr>
          <w:p w14:paraId="091C8D7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Findings informed subsequent studies and system refinements.</w:t>
            </w:r>
          </w:p>
        </w:tc>
        <w:tc>
          <w:tcPr>
            <w:tcW w:w="1267" w:type="dxa"/>
            <w:noWrap/>
            <w:vAlign w:val="center"/>
            <w:hideMark/>
          </w:tcPr>
          <w:p w14:paraId="276C04D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76029A8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not included.</w:t>
            </w:r>
          </w:p>
        </w:tc>
        <w:tc>
          <w:tcPr>
            <w:tcW w:w="1205" w:type="dxa"/>
            <w:noWrap/>
            <w:vAlign w:val="center"/>
            <w:hideMark/>
          </w:tcPr>
          <w:p w14:paraId="5CEFE305"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992" w:type="dxa"/>
            <w:tcBorders>
              <w:top w:val="nil"/>
              <w:bottom w:val="nil"/>
              <w:right w:val="nil"/>
            </w:tcBorders>
            <w:vAlign w:val="center"/>
            <w:hideMark/>
          </w:tcPr>
          <w:p w14:paraId="79E521E3"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B8BFEDF" w14:textId="77777777" w:rsidTr="005F75FA">
        <w:trPr>
          <w:trHeight w:val="420"/>
        </w:trPr>
        <w:tc>
          <w:tcPr>
            <w:tcW w:w="13183" w:type="dxa"/>
            <w:gridSpan w:val="7"/>
            <w:noWrap/>
            <w:vAlign w:val="center"/>
            <w:hideMark/>
          </w:tcPr>
          <w:p w14:paraId="7095CBA1"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GOVERNANCE</w:t>
            </w:r>
          </w:p>
        </w:tc>
        <w:tc>
          <w:tcPr>
            <w:tcW w:w="992" w:type="dxa"/>
            <w:tcBorders>
              <w:top w:val="nil"/>
              <w:bottom w:val="nil"/>
              <w:right w:val="nil"/>
            </w:tcBorders>
            <w:vAlign w:val="center"/>
            <w:hideMark/>
          </w:tcPr>
          <w:p w14:paraId="3DB1DD85"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p>
        </w:tc>
      </w:tr>
      <w:tr w:rsidR="00955DB9" w:rsidRPr="00A54929" w14:paraId="14880B21" w14:textId="77777777" w:rsidTr="005F75FA">
        <w:trPr>
          <w:trHeight w:val="1418"/>
        </w:trPr>
        <w:tc>
          <w:tcPr>
            <w:tcW w:w="854" w:type="dxa"/>
            <w:noWrap/>
            <w:vAlign w:val="center"/>
            <w:hideMark/>
          </w:tcPr>
          <w:p w14:paraId="74BD9CC1"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w:t>
            </w:r>
          </w:p>
        </w:tc>
        <w:tc>
          <w:tcPr>
            <w:tcW w:w="3068" w:type="dxa"/>
            <w:vAlign w:val="center"/>
            <w:hideMark/>
          </w:tcPr>
          <w:p w14:paraId="2933A01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incident reporting system is managed and maintained by an independent agency or organization</w:t>
            </w:r>
          </w:p>
        </w:tc>
        <w:tc>
          <w:tcPr>
            <w:tcW w:w="3316" w:type="dxa"/>
            <w:vAlign w:val="center"/>
            <w:hideMark/>
          </w:tcPr>
          <w:p w14:paraId="3C921FB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system is managed by the research team with oversight from institutional ethics boards.</w:t>
            </w:r>
          </w:p>
        </w:tc>
        <w:tc>
          <w:tcPr>
            <w:tcW w:w="1267" w:type="dxa"/>
            <w:noWrap/>
            <w:vAlign w:val="center"/>
            <w:hideMark/>
          </w:tcPr>
          <w:p w14:paraId="4CD7D5F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0F387C2A"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system is managed and maintained by a professional organisation that is also a registered charity, namely the Royal College of Chiropractors.</w:t>
            </w:r>
          </w:p>
        </w:tc>
        <w:tc>
          <w:tcPr>
            <w:tcW w:w="1205" w:type="dxa"/>
            <w:noWrap/>
            <w:vAlign w:val="center"/>
            <w:hideMark/>
          </w:tcPr>
          <w:p w14:paraId="05000E69"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6E3579A1"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4E6B8918" w14:textId="77777777" w:rsidTr="005F75FA">
        <w:trPr>
          <w:trHeight w:val="1440"/>
        </w:trPr>
        <w:tc>
          <w:tcPr>
            <w:tcW w:w="854" w:type="dxa"/>
            <w:noWrap/>
            <w:vAlign w:val="center"/>
            <w:hideMark/>
          </w:tcPr>
          <w:p w14:paraId="421FAB5C"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2</w:t>
            </w:r>
          </w:p>
        </w:tc>
        <w:tc>
          <w:tcPr>
            <w:tcW w:w="3068" w:type="dxa"/>
            <w:vAlign w:val="center"/>
            <w:hideMark/>
          </w:tcPr>
          <w:p w14:paraId="53FDAF0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Incident reports are anonymized so that no patient, staff member, or other individual can be identified</w:t>
            </w:r>
          </w:p>
        </w:tc>
        <w:tc>
          <w:tcPr>
            <w:tcW w:w="3316" w:type="dxa"/>
            <w:vAlign w:val="center"/>
            <w:hideMark/>
          </w:tcPr>
          <w:p w14:paraId="462F9740"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Data are anonymized at the stage of aggregate analysis; identifiable information is accessible during data collection and could be shared with providers with patient consent.</w:t>
            </w:r>
          </w:p>
        </w:tc>
        <w:tc>
          <w:tcPr>
            <w:tcW w:w="1267" w:type="dxa"/>
            <w:noWrap/>
            <w:vAlign w:val="center"/>
            <w:hideMark/>
          </w:tcPr>
          <w:p w14:paraId="2ACA3C95"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2B82DAC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Yes, all reports are anonymised. The country of origin is the only characteristic of the reporting chiropractor that is recorded.</w:t>
            </w:r>
          </w:p>
        </w:tc>
        <w:tc>
          <w:tcPr>
            <w:tcW w:w="1205" w:type="dxa"/>
            <w:noWrap/>
            <w:vAlign w:val="center"/>
            <w:hideMark/>
          </w:tcPr>
          <w:p w14:paraId="5610A69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992" w:type="dxa"/>
            <w:tcBorders>
              <w:top w:val="nil"/>
              <w:bottom w:val="nil"/>
              <w:right w:val="nil"/>
            </w:tcBorders>
            <w:vAlign w:val="center"/>
            <w:hideMark/>
          </w:tcPr>
          <w:p w14:paraId="57D2D613"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09B8E1C4" w14:textId="77777777" w:rsidTr="005F75FA">
        <w:trPr>
          <w:trHeight w:val="2740"/>
        </w:trPr>
        <w:tc>
          <w:tcPr>
            <w:tcW w:w="854" w:type="dxa"/>
            <w:noWrap/>
            <w:vAlign w:val="center"/>
            <w:hideMark/>
          </w:tcPr>
          <w:p w14:paraId="0E7730AB"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3</w:t>
            </w:r>
          </w:p>
        </w:tc>
        <w:tc>
          <w:tcPr>
            <w:tcW w:w="3068" w:type="dxa"/>
            <w:vAlign w:val="center"/>
            <w:hideMark/>
          </w:tcPr>
          <w:p w14:paraId="0D92C686"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system management would be able to identify situations where there was an immediate danger to patients</w:t>
            </w:r>
          </w:p>
        </w:tc>
        <w:tc>
          <w:tcPr>
            <w:tcW w:w="3316" w:type="dxa"/>
            <w:vAlign w:val="center"/>
            <w:hideMark/>
          </w:tcPr>
          <w:p w14:paraId="52D6B136"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115936B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For adverse events, real-time identification of high-risk situations was limited and dependent on clinician notification rather than automated system alerts. Clinical characteristics that may signal concern (e.g., high depression scale) have alerts set up to inform the provider; however, no clinical recommendations are given, as the data are collected for research purposes. More alerts can be added.</w:t>
            </w:r>
          </w:p>
          <w:p w14:paraId="2695CD80"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67" w:type="dxa"/>
            <w:noWrap/>
            <w:vAlign w:val="center"/>
            <w:hideMark/>
          </w:tcPr>
          <w:p w14:paraId="5BF95CF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2</w:t>
            </w:r>
          </w:p>
        </w:tc>
        <w:tc>
          <w:tcPr>
            <w:tcW w:w="3473" w:type="dxa"/>
            <w:gridSpan w:val="2"/>
            <w:vAlign w:val="center"/>
            <w:hideMark/>
          </w:tcPr>
          <w:p w14:paraId="0871970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not directly or within an appropriate time frame. The location or identity of the individuals involved cannot be obtained through the system.</w:t>
            </w:r>
          </w:p>
        </w:tc>
        <w:tc>
          <w:tcPr>
            <w:tcW w:w="1205" w:type="dxa"/>
            <w:noWrap/>
            <w:vAlign w:val="center"/>
            <w:hideMark/>
          </w:tcPr>
          <w:p w14:paraId="08BAB83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7E39C7F4"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35AD8B25" w14:textId="77777777" w:rsidTr="005F75FA">
        <w:trPr>
          <w:trHeight w:val="2532"/>
        </w:trPr>
        <w:tc>
          <w:tcPr>
            <w:tcW w:w="854" w:type="dxa"/>
            <w:noWrap/>
            <w:vAlign w:val="center"/>
            <w:hideMark/>
          </w:tcPr>
          <w:p w14:paraId="14B9D514"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4</w:t>
            </w:r>
          </w:p>
        </w:tc>
        <w:tc>
          <w:tcPr>
            <w:tcW w:w="3068" w:type="dxa"/>
            <w:vAlign w:val="center"/>
            <w:hideMark/>
          </w:tcPr>
          <w:p w14:paraId="38300E9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There is an oversight process to identify and resolve problems with any aspect of the incident reporting system</w:t>
            </w:r>
          </w:p>
        </w:tc>
        <w:tc>
          <w:tcPr>
            <w:tcW w:w="3316" w:type="dxa"/>
            <w:vAlign w:val="center"/>
            <w:hideMark/>
          </w:tcPr>
          <w:p w14:paraId="26ABDA9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Oversight focused on study conduct and data integrity, supported by REDCap features such as tracking incomplete responses and automated notifications. For new data collection systems/new studies, feedback/concerns/problems from prior iterations are consider and modified if applicable/necessary.</w:t>
            </w:r>
          </w:p>
        </w:tc>
        <w:tc>
          <w:tcPr>
            <w:tcW w:w="1267" w:type="dxa"/>
            <w:noWrap/>
            <w:vAlign w:val="center"/>
            <w:hideMark/>
          </w:tcPr>
          <w:p w14:paraId="29EEC899"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3473" w:type="dxa"/>
            <w:gridSpan w:val="2"/>
            <w:vAlign w:val="center"/>
            <w:hideMark/>
          </w:tcPr>
          <w:p w14:paraId="4892705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Yes, the reporting system is reviewed by the Royal College of Chiropractors CPiRLS Development Group to identify and resolve any issues.</w:t>
            </w:r>
          </w:p>
        </w:tc>
        <w:tc>
          <w:tcPr>
            <w:tcW w:w="1205" w:type="dxa"/>
            <w:noWrap/>
            <w:vAlign w:val="center"/>
            <w:hideMark/>
          </w:tcPr>
          <w:p w14:paraId="34EBD25B"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992" w:type="dxa"/>
            <w:tcBorders>
              <w:top w:val="nil"/>
              <w:bottom w:val="nil"/>
              <w:right w:val="nil"/>
            </w:tcBorders>
            <w:vAlign w:val="center"/>
            <w:hideMark/>
          </w:tcPr>
          <w:p w14:paraId="55F1BB5C"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0F6E01C5" w14:textId="77777777" w:rsidTr="005F75FA">
        <w:trPr>
          <w:trHeight w:val="1688"/>
        </w:trPr>
        <w:tc>
          <w:tcPr>
            <w:tcW w:w="854" w:type="dxa"/>
            <w:noWrap/>
            <w:vAlign w:val="center"/>
            <w:hideMark/>
          </w:tcPr>
          <w:p w14:paraId="5DBFD24C"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5</w:t>
            </w:r>
          </w:p>
        </w:tc>
        <w:tc>
          <w:tcPr>
            <w:tcW w:w="3068" w:type="dxa"/>
            <w:vAlign w:val="center"/>
            <w:hideMark/>
          </w:tcPr>
          <w:p w14:paraId="22F38EDE"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There is adequate technical and IT infrastructure to maintain a high standard in all aspects of the system</w:t>
            </w:r>
          </w:p>
        </w:tc>
        <w:tc>
          <w:tcPr>
            <w:tcW w:w="3316" w:type="dxa"/>
            <w:vAlign w:val="center"/>
            <w:hideMark/>
          </w:tcPr>
          <w:p w14:paraId="74BCABA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The REDCap platform provides a stable infrastructure with built-in logic checks, notifications, required fields, and data management capabilities.</w:t>
            </w:r>
          </w:p>
        </w:tc>
        <w:tc>
          <w:tcPr>
            <w:tcW w:w="1267" w:type="dxa"/>
            <w:noWrap/>
            <w:vAlign w:val="center"/>
            <w:hideMark/>
          </w:tcPr>
          <w:p w14:paraId="0511C059"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3473" w:type="dxa"/>
            <w:gridSpan w:val="2"/>
            <w:vAlign w:val="center"/>
            <w:hideMark/>
          </w:tcPr>
          <w:p w14:paraId="150CBCE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Yes, the system is operated by the Royal College of Chiropractors, utilising the organisation’s technical and information technology infrastructure, including access to specialist support where required.</w:t>
            </w:r>
          </w:p>
        </w:tc>
        <w:tc>
          <w:tcPr>
            <w:tcW w:w="1205" w:type="dxa"/>
            <w:noWrap/>
            <w:vAlign w:val="center"/>
            <w:hideMark/>
          </w:tcPr>
          <w:p w14:paraId="24B8721E"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5</w:t>
            </w:r>
          </w:p>
        </w:tc>
        <w:tc>
          <w:tcPr>
            <w:tcW w:w="992" w:type="dxa"/>
            <w:tcBorders>
              <w:top w:val="nil"/>
              <w:bottom w:val="nil"/>
              <w:right w:val="nil"/>
            </w:tcBorders>
            <w:vAlign w:val="center"/>
            <w:hideMark/>
          </w:tcPr>
          <w:p w14:paraId="52FEAE35"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38A4D2E5" w14:textId="77777777" w:rsidTr="005F75FA">
        <w:trPr>
          <w:trHeight w:val="420"/>
        </w:trPr>
        <w:tc>
          <w:tcPr>
            <w:tcW w:w="13183" w:type="dxa"/>
            <w:gridSpan w:val="7"/>
            <w:noWrap/>
            <w:vAlign w:val="center"/>
            <w:hideMark/>
          </w:tcPr>
          <w:p w14:paraId="0A46A63B"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ACTION AND LEARNING</w:t>
            </w:r>
          </w:p>
        </w:tc>
        <w:tc>
          <w:tcPr>
            <w:tcW w:w="992" w:type="dxa"/>
            <w:tcBorders>
              <w:top w:val="nil"/>
              <w:bottom w:val="nil"/>
              <w:right w:val="nil"/>
            </w:tcBorders>
            <w:vAlign w:val="center"/>
            <w:hideMark/>
          </w:tcPr>
          <w:p w14:paraId="5363D9BC"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p>
        </w:tc>
      </w:tr>
      <w:tr w:rsidR="00955DB9" w:rsidRPr="00A54929" w14:paraId="1ADE5FAE" w14:textId="77777777" w:rsidTr="005F75FA">
        <w:trPr>
          <w:trHeight w:val="1180"/>
        </w:trPr>
        <w:tc>
          <w:tcPr>
            <w:tcW w:w="854" w:type="dxa"/>
            <w:noWrap/>
            <w:vAlign w:val="center"/>
            <w:hideMark/>
          </w:tcPr>
          <w:p w14:paraId="263B6D9D"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w:t>
            </w:r>
          </w:p>
        </w:tc>
        <w:tc>
          <w:tcPr>
            <w:tcW w:w="3068" w:type="dxa"/>
            <w:vAlign w:val="center"/>
            <w:hideMark/>
          </w:tcPr>
          <w:p w14:paraId="50E8F261"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 formal framework is in place to specify, communicate and prioritize action on risks identified by reporting data</w:t>
            </w:r>
          </w:p>
        </w:tc>
        <w:tc>
          <w:tcPr>
            <w:tcW w:w="3316" w:type="dxa"/>
            <w:vAlign w:val="center"/>
            <w:hideMark/>
          </w:tcPr>
          <w:p w14:paraId="13A764F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Action and prioritization occur primarily through the research dissemination process rather than embedded operational frameworks.</w:t>
            </w:r>
          </w:p>
        </w:tc>
        <w:tc>
          <w:tcPr>
            <w:tcW w:w="1267" w:type="dxa"/>
            <w:noWrap/>
            <w:vAlign w:val="center"/>
            <w:hideMark/>
          </w:tcPr>
          <w:p w14:paraId="17D9C0AF"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17C1C8B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Yes, reports are reviewed annually, with Safer Practice Notices issued if significant risks are identified by the CPiRLS development team.</w:t>
            </w:r>
          </w:p>
        </w:tc>
        <w:tc>
          <w:tcPr>
            <w:tcW w:w="1205" w:type="dxa"/>
            <w:noWrap/>
            <w:vAlign w:val="center"/>
            <w:hideMark/>
          </w:tcPr>
          <w:p w14:paraId="003D4DAD"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4</w:t>
            </w:r>
          </w:p>
        </w:tc>
        <w:tc>
          <w:tcPr>
            <w:tcW w:w="992" w:type="dxa"/>
            <w:tcBorders>
              <w:top w:val="nil"/>
              <w:bottom w:val="nil"/>
              <w:right w:val="nil"/>
            </w:tcBorders>
            <w:vAlign w:val="center"/>
            <w:hideMark/>
          </w:tcPr>
          <w:p w14:paraId="4AD9A6BC"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5BAA2489" w14:textId="77777777" w:rsidTr="005F75FA">
        <w:trPr>
          <w:trHeight w:val="1453"/>
        </w:trPr>
        <w:tc>
          <w:tcPr>
            <w:tcW w:w="854" w:type="dxa"/>
            <w:noWrap/>
            <w:vAlign w:val="center"/>
            <w:hideMark/>
          </w:tcPr>
          <w:p w14:paraId="60094EDB"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2</w:t>
            </w:r>
          </w:p>
        </w:tc>
        <w:tc>
          <w:tcPr>
            <w:tcW w:w="3068" w:type="dxa"/>
            <w:vAlign w:val="center"/>
            <w:hideMark/>
          </w:tcPr>
          <w:p w14:paraId="60230DA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Proper counselling and support is provided for staff involved in serious incidents (the 'second victims')</w:t>
            </w:r>
          </w:p>
        </w:tc>
        <w:tc>
          <w:tcPr>
            <w:tcW w:w="3316" w:type="dxa"/>
            <w:vAlign w:val="center"/>
            <w:hideMark/>
          </w:tcPr>
          <w:p w14:paraId="3BD0E28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Structured support mechanisms for clinician and staff are currently not included in the system, outside the ethical oversight and availability of research team members.</w:t>
            </w:r>
          </w:p>
        </w:tc>
        <w:tc>
          <w:tcPr>
            <w:tcW w:w="1267" w:type="dxa"/>
            <w:noWrap/>
            <w:vAlign w:val="center"/>
            <w:hideMark/>
          </w:tcPr>
          <w:p w14:paraId="578ECA07"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1BE953D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beyond the scope of the current system.</w:t>
            </w:r>
          </w:p>
        </w:tc>
        <w:tc>
          <w:tcPr>
            <w:tcW w:w="1205" w:type="dxa"/>
            <w:noWrap/>
            <w:vAlign w:val="center"/>
            <w:hideMark/>
          </w:tcPr>
          <w:p w14:paraId="6142757C"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4DA20517"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32BB9173" w14:textId="77777777" w:rsidTr="005F75FA">
        <w:trPr>
          <w:trHeight w:val="420"/>
        </w:trPr>
        <w:tc>
          <w:tcPr>
            <w:tcW w:w="13183" w:type="dxa"/>
            <w:gridSpan w:val="7"/>
            <w:noWrap/>
            <w:vAlign w:val="center"/>
            <w:hideMark/>
          </w:tcPr>
          <w:p w14:paraId="29488C2A"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PATIENT AND FAMILY ENGAGEMENT</w:t>
            </w:r>
          </w:p>
        </w:tc>
        <w:tc>
          <w:tcPr>
            <w:tcW w:w="992" w:type="dxa"/>
            <w:tcBorders>
              <w:top w:val="nil"/>
              <w:bottom w:val="nil"/>
              <w:right w:val="nil"/>
            </w:tcBorders>
            <w:vAlign w:val="center"/>
            <w:hideMark/>
          </w:tcPr>
          <w:p w14:paraId="5F35EC6A" w14:textId="77777777" w:rsidR="00955DB9" w:rsidRPr="00A54929" w:rsidRDefault="00955DB9" w:rsidP="005F75FA">
            <w:pPr>
              <w:spacing w:line="240" w:lineRule="auto"/>
              <w:ind w:firstLineChars="100" w:firstLine="201"/>
              <w:rPr>
                <w:rFonts w:asciiTheme="minorHAnsi" w:eastAsia="Times New Roman" w:hAnsiTheme="minorHAnsi" w:cstheme="minorHAnsi"/>
                <w:b/>
                <w:bCs/>
                <w:sz w:val="20"/>
                <w:szCs w:val="20"/>
                <w:lang w:val="en-CA"/>
              </w:rPr>
            </w:pPr>
          </w:p>
        </w:tc>
      </w:tr>
      <w:tr w:rsidR="00955DB9" w:rsidRPr="00A54929" w14:paraId="2A453D16" w14:textId="77777777" w:rsidTr="005F75FA">
        <w:trPr>
          <w:trHeight w:val="920"/>
        </w:trPr>
        <w:tc>
          <w:tcPr>
            <w:tcW w:w="854" w:type="dxa"/>
            <w:noWrap/>
            <w:vAlign w:val="center"/>
            <w:hideMark/>
          </w:tcPr>
          <w:p w14:paraId="60C7B4AE"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1</w:t>
            </w:r>
          </w:p>
        </w:tc>
        <w:tc>
          <w:tcPr>
            <w:tcW w:w="3068" w:type="dxa"/>
            <w:vAlign w:val="center"/>
            <w:hideMark/>
          </w:tcPr>
          <w:p w14:paraId="686B511F"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Incidents are always disclosed to victims of harm and their families</w:t>
            </w:r>
          </w:p>
        </w:tc>
        <w:tc>
          <w:tcPr>
            <w:tcW w:w="3316" w:type="dxa"/>
            <w:vAlign w:val="center"/>
            <w:hideMark/>
          </w:tcPr>
          <w:p w14:paraId="78141143"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34E732F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directly reported their experiences; sharing of information with providers occurred only with patient consent.</w:t>
            </w:r>
          </w:p>
          <w:p w14:paraId="249B4935" w14:textId="77777777" w:rsidR="00955DB9" w:rsidRPr="00A54929" w:rsidRDefault="00955DB9" w:rsidP="005F75FA">
            <w:pPr>
              <w:spacing w:line="240" w:lineRule="auto"/>
              <w:rPr>
                <w:rFonts w:asciiTheme="minorHAnsi" w:eastAsia="Times New Roman" w:hAnsiTheme="minorHAnsi" w:cstheme="minorHAnsi"/>
                <w:sz w:val="20"/>
                <w:szCs w:val="20"/>
                <w:lang w:val="en-CA"/>
              </w:rPr>
            </w:pPr>
          </w:p>
          <w:p w14:paraId="74544C6B" w14:textId="77777777" w:rsidR="00955DB9" w:rsidRPr="00A54929" w:rsidRDefault="00955DB9" w:rsidP="005F75FA">
            <w:pPr>
              <w:spacing w:line="240" w:lineRule="auto"/>
              <w:rPr>
                <w:rFonts w:asciiTheme="minorHAnsi" w:eastAsia="Times New Roman" w:hAnsiTheme="minorHAnsi" w:cstheme="minorHAnsi"/>
                <w:sz w:val="20"/>
                <w:szCs w:val="20"/>
                <w:lang w:val="en-CA"/>
              </w:rPr>
            </w:pPr>
          </w:p>
        </w:tc>
        <w:tc>
          <w:tcPr>
            <w:tcW w:w="1267" w:type="dxa"/>
            <w:noWrap/>
            <w:vAlign w:val="center"/>
            <w:hideMark/>
          </w:tcPr>
          <w:p w14:paraId="6104A0BA"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3</w:t>
            </w:r>
          </w:p>
        </w:tc>
        <w:tc>
          <w:tcPr>
            <w:tcW w:w="3473" w:type="dxa"/>
            <w:gridSpan w:val="2"/>
            <w:vAlign w:val="center"/>
            <w:hideMark/>
          </w:tcPr>
          <w:p w14:paraId="0996E32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beyond the scope of the current system.</w:t>
            </w:r>
          </w:p>
        </w:tc>
        <w:tc>
          <w:tcPr>
            <w:tcW w:w="1205" w:type="dxa"/>
            <w:noWrap/>
            <w:vAlign w:val="center"/>
            <w:hideMark/>
          </w:tcPr>
          <w:p w14:paraId="7C95120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7DE08B19"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33C6D87E" w14:textId="77777777" w:rsidTr="005F75FA">
        <w:trPr>
          <w:trHeight w:val="1114"/>
        </w:trPr>
        <w:tc>
          <w:tcPr>
            <w:tcW w:w="854" w:type="dxa"/>
            <w:noWrap/>
            <w:vAlign w:val="center"/>
            <w:hideMark/>
          </w:tcPr>
          <w:p w14:paraId="3D454A56"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lastRenderedPageBreak/>
              <w:t>2</w:t>
            </w:r>
          </w:p>
        </w:tc>
        <w:tc>
          <w:tcPr>
            <w:tcW w:w="3068" w:type="dxa"/>
            <w:vAlign w:val="center"/>
            <w:hideMark/>
          </w:tcPr>
          <w:p w14:paraId="26419AD0"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Accounts of patients' and families' experience of harm are regularly discussed at the governing body level</w:t>
            </w:r>
          </w:p>
        </w:tc>
        <w:tc>
          <w:tcPr>
            <w:tcW w:w="3316" w:type="dxa"/>
            <w:vAlign w:val="center"/>
            <w:hideMark/>
          </w:tcPr>
          <w:p w14:paraId="3DDCE1A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Data are only reviewed by the investigative team in the context of research outputs, usually aggregate data.</w:t>
            </w:r>
          </w:p>
        </w:tc>
        <w:tc>
          <w:tcPr>
            <w:tcW w:w="1267" w:type="dxa"/>
            <w:noWrap/>
            <w:vAlign w:val="center"/>
            <w:hideMark/>
          </w:tcPr>
          <w:p w14:paraId="5DCA619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380EE37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beyond the scope of the current system.</w:t>
            </w:r>
          </w:p>
        </w:tc>
        <w:tc>
          <w:tcPr>
            <w:tcW w:w="1205" w:type="dxa"/>
            <w:noWrap/>
            <w:vAlign w:val="center"/>
            <w:hideMark/>
          </w:tcPr>
          <w:p w14:paraId="2E38ADD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4F70C1C7"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55C67D2D" w14:textId="77777777" w:rsidTr="005F75FA">
        <w:trPr>
          <w:trHeight w:val="1160"/>
        </w:trPr>
        <w:tc>
          <w:tcPr>
            <w:tcW w:w="854" w:type="dxa"/>
            <w:noWrap/>
            <w:vAlign w:val="center"/>
            <w:hideMark/>
          </w:tcPr>
          <w:p w14:paraId="6E6C3482"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3</w:t>
            </w:r>
          </w:p>
        </w:tc>
        <w:tc>
          <w:tcPr>
            <w:tcW w:w="3068" w:type="dxa"/>
            <w:vAlign w:val="center"/>
            <w:hideMark/>
          </w:tcPr>
          <w:p w14:paraId="48275E28"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and families who have suffered harm are provided with ongoing psychological and other support, free of charge</w:t>
            </w:r>
          </w:p>
        </w:tc>
        <w:tc>
          <w:tcPr>
            <w:tcW w:w="3316" w:type="dxa"/>
            <w:vAlign w:val="center"/>
            <w:hideMark/>
          </w:tcPr>
          <w:p w14:paraId="2953F2FC"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Provision of support services are not part of the current SafetyNET framework.</w:t>
            </w:r>
          </w:p>
        </w:tc>
        <w:tc>
          <w:tcPr>
            <w:tcW w:w="1267" w:type="dxa"/>
            <w:noWrap/>
            <w:vAlign w:val="center"/>
            <w:hideMark/>
          </w:tcPr>
          <w:p w14:paraId="149D67D8"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75A58914"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beyond the scope of the current system.</w:t>
            </w:r>
          </w:p>
        </w:tc>
        <w:tc>
          <w:tcPr>
            <w:tcW w:w="1205" w:type="dxa"/>
            <w:noWrap/>
            <w:vAlign w:val="center"/>
            <w:hideMark/>
          </w:tcPr>
          <w:p w14:paraId="6A88CCA2"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1D1F532C"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07F78519" w14:textId="77777777" w:rsidTr="005F75FA">
        <w:trPr>
          <w:trHeight w:val="1160"/>
        </w:trPr>
        <w:tc>
          <w:tcPr>
            <w:tcW w:w="854" w:type="dxa"/>
            <w:noWrap/>
            <w:vAlign w:val="center"/>
            <w:hideMark/>
          </w:tcPr>
          <w:p w14:paraId="3ABCF80C"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4</w:t>
            </w:r>
          </w:p>
        </w:tc>
        <w:tc>
          <w:tcPr>
            <w:tcW w:w="3068" w:type="dxa"/>
            <w:vAlign w:val="center"/>
            <w:hideMark/>
          </w:tcPr>
          <w:p w14:paraId="7E84AFE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Victims of harm are provided with additional treatment and care as required, free of charge, and by a new clinical team if preferred</w:t>
            </w:r>
          </w:p>
        </w:tc>
        <w:tc>
          <w:tcPr>
            <w:tcW w:w="3316" w:type="dxa"/>
            <w:vAlign w:val="center"/>
            <w:hideMark/>
          </w:tcPr>
          <w:p w14:paraId="435C74E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Additional care was not coordinated through the reporting system.</w:t>
            </w:r>
          </w:p>
        </w:tc>
        <w:tc>
          <w:tcPr>
            <w:tcW w:w="1267" w:type="dxa"/>
            <w:noWrap/>
            <w:vAlign w:val="center"/>
            <w:hideMark/>
          </w:tcPr>
          <w:p w14:paraId="4CFD88E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3578D3B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beyond the scope of the current system.</w:t>
            </w:r>
          </w:p>
        </w:tc>
        <w:tc>
          <w:tcPr>
            <w:tcW w:w="1205" w:type="dxa"/>
            <w:noWrap/>
            <w:vAlign w:val="center"/>
            <w:hideMark/>
          </w:tcPr>
          <w:p w14:paraId="775FD5BE"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3297E34B"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664AB29D" w14:textId="77777777" w:rsidTr="005F75FA">
        <w:trPr>
          <w:trHeight w:val="1160"/>
        </w:trPr>
        <w:tc>
          <w:tcPr>
            <w:tcW w:w="854" w:type="dxa"/>
            <w:noWrap/>
            <w:vAlign w:val="center"/>
            <w:hideMark/>
          </w:tcPr>
          <w:p w14:paraId="3DB9C32F"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5</w:t>
            </w:r>
          </w:p>
        </w:tc>
        <w:tc>
          <w:tcPr>
            <w:tcW w:w="3068" w:type="dxa"/>
            <w:vAlign w:val="center"/>
            <w:hideMark/>
          </w:tcPr>
          <w:p w14:paraId="1A81B74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and families who have suffered harm are involved in designing action to reduce the likelihood of recurrence</w:t>
            </w:r>
          </w:p>
        </w:tc>
        <w:tc>
          <w:tcPr>
            <w:tcW w:w="3316" w:type="dxa"/>
            <w:vAlign w:val="center"/>
            <w:hideMark/>
          </w:tcPr>
          <w:p w14:paraId="7D6099B2"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 involvement was limited to reporting and did not extend to co-design of safety improvements.</w:t>
            </w:r>
          </w:p>
        </w:tc>
        <w:tc>
          <w:tcPr>
            <w:tcW w:w="1267" w:type="dxa"/>
            <w:noWrap/>
            <w:vAlign w:val="center"/>
            <w:hideMark/>
          </w:tcPr>
          <w:p w14:paraId="7DF5346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42E74AAD"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This is not currently in place but is possibility for the future development of the system.</w:t>
            </w:r>
          </w:p>
        </w:tc>
        <w:tc>
          <w:tcPr>
            <w:tcW w:w="1205" w:type="dxa"/>
            <w:noWrap/>
            <w:vAlign w:val="center"/>
            <w:hideMark/>
          </w:tcPr>
          <w:p w14:paraId="3E2895CE"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3607DA33"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r w:rsidR="00955DB9" w:rsidRPr="00A54929" w14:paraId="58D665C6" w14:textId="77777777" w:rsidTr="005F75FA">
        <w:trPr>
          <w:trHeight w:val="1160"/>
        </w:trPr>
        <w:tc>
          <w:tcPr>
            <w:tcW w:w="854" w:type="dxa"/>
            <w:noWrap/>
            <w:vAlign w:val="center"/>
            <w:hideMark/>
          </w:tcPr>
          <w:p w14:paraId="5AB313F0" w14:textId="77777777" w:rsidR="00955DB9" w:rsidRPr="00A54929" w:rsidRDefault="00955DB9" w:rsidP="005F75FA">
            <w:pPr>
              <w:spacing w:line="240" w:lineRule="auto"/>
              <w:jc w:val="center"/>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6</w:t>
            </w:r>
          </w:p>
        </w:tc>
        <w:tc>
          <w:tcPr>
            <w:tcW w:w="3068" w:type="dxa"/>
            <w:vAlign w:val="center"/>
            <w:hideMark/>
          </w:tcPr>
          <w:p w14:paraId="2310D567"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and families who have suffered harm play a major role in education and training of students and health care staff</w:t>
            </w:r>
          </w:p>
        </w:tc>
        <w:tc>
          <w:tcPr>
            <w:tcW w:w="3316" w:type="dxa"/>
            <w:vAlign w:val="center"/>
            <w:hideMark/>
          </w:tcPr>
          <w:p w14:paraId="57D78385"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Patients were not involved in education or training activities within the system.</w:t>
            </w:r>
          </w:p>
        </w:tc>
        <w:tc>
          <w:tcPr>
            <w:tcW w:w="1267" w:type="dxa"/>
            <w:noWrap/>
            <w:vAlign w:val="center"/>
            <w:hideMark/>
          </w:tcPr>
          <w:p w14:paraId="01DD5A84"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3473" w:type="dxa"/>
            <w:gridSpan w:val="2"/>
            <w:vAlign w:val="center"/>
            <w:hideMark/>
          </w:tcPr>
          <w:p w14:paraId="23E61B39" w14:textId="77777777" w:rsidR="00955DB9" w:rsidRPr="00A54929" w:rsidRDefault="00955DB9" w:rsidP="005F75FA">
            <w:pPr>
              <w:spacing w:line="240" w:lineRule="auto"/>
              <w:rPr>
                <w:rFonts w:asciiTheme="minorHAnsi" w:eastAsia="Times New Roman" w:hAnsiTheme="minorHAnsi" w:cstheme="minorHAnsi"/>
                <w:sz w:val="20"/>
                <w:szCs w:val="20"/>
                <w:lang w:val="en-CA"/>
              </w:rPr>
            </w:pPr>
            <w:r w:rsidRPr="00A54929">
              <w:rPr>
                <w:rFonts w:asciiTheme="minorHAnsi" w:eastAsia="Times New Roman" w:hAnsiTheme="minorHAnsi" w:cstheme="minorHAnsi"/>
                <w:sz w:val="20"/>
                <w:szCs w:val="20"/>
                <w:lang w:val="en-CA"/>
              </w:rPr>
              <w:t>No, this is beyond the scope of the current system.</w:t>
            </w:r>
          </w:p>
        </w:tc>
        <w:tc>
          <w:tcPr>
            <w:tcW w:w="1205" w:type="dxa"/>
            <w:noWrap/>
            <w:vAlign w:val="center"/>
            <w:hideMark/>
          </w:tcPr>
          <w:p w14:paraId="4DAF2610" w14:textId="77777777" w:rsidR="00955DB9" w:rsidRPr="00A54929" w:rsidRDefault="00955DB9" w:rsidP="005F75FA">
            <w:pPr>
              <w:spacing w:line="240" w:lineRule="auto"/>
              <w:jc w:val="center"/>
              <w:rPr>
                <w:rFonts w:asciiTheme="minorHAnsi" w:eastAsia="Times New Roman" w:hAnsiTheme="minorHAnsi" w:cstheme="minorHAnsi"/>
                <w:b/>
                <w:bCs/>
                <w:sz w:val="20"/>
                <w:szCs w:val="20"/>
                <w:lang w:val="en-CA"/>
              </w:rPr>
            </w:pPr>
            <w:r w:rsidRPr="00A54929">
              <w:rPr>
                <w:rFonts w:asciiTheme="minorHAnsi" w:eastAsia="Times New Roman" w:hAnsiTheme="minorHAnsi" w:cstheme="minorHAnsi"/>
                <w:b/>
                <w:bCs/>
                <w:sz w:val="20"/>
                <w:szCs w:val="20"/>
                <w:lang w:val="en-CA"/>
              </w:rPr>
              <w:t>1</w:t>
            </w:r>
          </w:p>
        </w:tc>
        <w:tc>
          <w:tcPr>
            <w:tcW w:w="992" w:type="dxa"/>
            <w:tcBorders>
              <w:top w:val="nil"/>
              <w:bottom w:val="nil"/>
              <w:right w:val="nil"/>
            </w:tcBorders>
            <w:vAlign w:val="center"/>
            <w:hideMark/>
          </w:tcPr>
          <w:p w14:paraId="535401D0" w14:textId="77777777" w:rsidR="00955DB9" w:rsidRPr="00A54929" w:rsidRDefault="00955DB9" w:rsidP="005F75FA">
            <w:pPr>
              <w:spacing w:line="240" w:lineRule="auto"/>
              <w:rPr>
                <w:rFonts w:asciiTheme="minorHAnsi" w:eastAsia="Times New Roman" w:hAnsiTheme="minorHAnsi" w:cstheme="minorHAnsi"/>
                <w:b/>
                <w:bCs/>
                <w:sz w:val="20"/>
                <w:szCs w:val="20"/>
                <w:lang w:val="en-CA"/>
              </w:rPr>
            </w:pPr>
          </w:p>
        </w:tc>
      </w:tr>
    </w:tbl>
    <w:p w14:paraId="340B3545" w14:textId="77777777" w:rsidR="00955DB9" w:rsidRDefault="00955DB9" w:rsidP="00955DB9">
      <w:pPr>
        <w:spacing w:line="240" w:lineRule="auto"/>
        <w:rPr>
          <w:rFonts w:ascii="Calibri" w:hAnsi="Calibri" w:cs="Calibri"/>
          <w:b/>
          <w:bCs/>
          <w:color w:val="000000"/>
        </w:rPr>
      </w:pPr>
    </w:p>
    <w:p w14:paraId="2D0777D4" w14:textId="77777777" w:rsidR="00955DB9" w:rsidRDefault="00955DB9" w:rsidP="00955DB9">
      <w:pPr>
        <w:spacing w:line="240" w:lineRule="auto"/>
        <w:rPr>
          <w:rFonts w:ascii="Calibri" w:hAnsi="Calibri" w:cs="Calibri"/>
          <w:b/>
          <w:bCs/>
          <w:color w:val="000000"/>
        </w:rPr>
      </w:pPr>
    </w:p>
    <w:p w14:paraId="128CB8BD" w14:textId="77777777" w:rsidR="00955DB9" w:rsidRDefault="00955DB9" w:rsidP="00955DB9">
      <w:pPr>
        <w:spacing w:line="240" w:lineRule="auto"/>
        <w:rPr>
          <w:rFonts w:ascii="Calibri" w:hAnsi="Calibri" w:cs="Calibri"/>
          <w:b/>
          <w:bCs/>
          <w:color w:val="000000"/>
        </w:rPr>
      </w:pPr>
    </w:p>
    <w:p w14:paraId="3B97F165" w14:textId="77777777" w:rsidR="00955DB9" w:rsidRDefault="00955DB9" w:rsidP="00955DB9">
      <w:pPr>
        <w:spacing w:line="240" w:lineRule="auto"/>
        <w:rPr>
          <w:rFonts w:ascii="Calibri" w:hAnsi="Calibri" w:cs="Calibri"/>
          <w:b/>
          <w:bCs/>
          <w:color w:val="000000"/>
        </w:rPr>
      </w:pPr>
    </w:p>
    <w:p w14:paraId="4F147526" w14:textId="77777777" w:rsidR="00955DB9" w:rsidRDefault="00955DB9" w:rsidP="00955DB9">
      <w:pPr>
        <w:spacing w:line="240" w:lineRule="auto"/>
        <w:rPr>
          <w:rFonts w:ascii="Calibri" w:hAnsi="Calibri" w:cs="Calibri"/>
          <w:b/>
          <w:bCs/>
          <w:color w:val="000000"/>
        </w:rPr>
      </w:pPr>
    </w:p>
    <w:p w14:paraId="5EDF1B41" w14:textId="77777777" w:rsidR="00955DB9" w:rsidRDefault="00955DB9" w:rsidP="00955DB9">
      <w:pPr>
        <w:spacing w:line="240" w:lineRule="auto"/>
        <w:rPr>
          <w:rFonts w:ascii="Calibri" w:hAnsi="Calibri" w:cs="Calibri"/>
          <w:b/>
          <w:bCs/>
          <w:color w:val="000000"/>
        </w:rPr>
      </w:pPr>
    </w:p>
    <w:p w14:paraId="30256E65" w14:textId="77777777" w:rsidR="00955DB9" w:rsidRDefault="00955DB9" w:rsidP="00955DB9">
      <w:pPr>
        <w:spacing w:line="240" w:lineRule="auto"/>
        <w:rPr>
          <w:rFonts w:ascii="Calibri" w:hAnsi="Calibri" w:cs="Calibri"/>
          <w:b/>
          <w:bCs/>
          <w:color w:val="000000"/>
        </w:rPr>
      </w:pPr>
    </w:p>
    <w:p w14:paraId="2708F41B" w14:textId="77777777" w:rsidR="00955DB9" w:rsidRDefault="00955DB9" w:rsidP="00955DB9">
      <w:pPr>
        <w:spacing w:line="240" w:lineRule="auto"/>
        <w:rPr>
          <w:rFonts w:ascii="Calibri" w:hAnsi="Calibri" w:cs="Calibri"/>
          <w:b/>
          <w:bCs/>
          <w:color w:val="000000"/>
        </w:rPr>
      </w:pPr>
    </w:p>
    <w:p w14:paraId="1D897A5D" w14:textId="77777777" w:rsidR="00955DB9" w:rsidRDefault="00955DB9" w:rsidP="00955DB9">
      <w:pPr>
        <w:spacing w:line="240" w:lineRule="auto"/>
        <w:rPr>
          <w:rFonts w:ascii="Calibri" w:hAnsi="Calibri" w:cs="Calibri"/>
          <w:b/>
          <w:bCs/>
          <w:color w:val="000000"/>
        </w:rPr>
      </w:pPr>
    </w:p>
    <w:p w14:paraId="3E28115C" w14:textId="77777777" w:rsidR="00955DB9" w:rsidRDefault="00955DB9" w:rsidP="00955DB9">
      <w:pPr>
        <w:spacing w:line="240" w:lineRule="auto"/>
        <w:rPr>
          <w:rFonts w:ascii="Calibri" w:hAnsi="Calibri" w:cs="Calibri"/>
          <w:b/>
          <w:bCs/>
          <w:color w:val="000000"/>
        </w:rPr>
      </w:pPr>
    </w:p>
    <w:p w14:paraId="222ECC84" w14:textId="77777777" w:rsidR="00955DB9" w:rsidRDefault="00955DB9" w:rsidP="00955DB9">
      <w:pPr>
        <w:spacing w:line="240" w:lineRule="auto"/>
        <w:rPr>
          <w:rFonts w:ascii="Calibri" w:hAnsi="Calibri" w:cs="Calibri"/>
          <w:b/>
          <w:bCs/>
          <w:color w:val="000000"/>
        </w:rPr>
      </w:pPr>
    </w:p>
    <w:p w14:paraId="7868B27A" w14:textId="77777777" w:rsidR="00955DB9" w:rsidRDefault="00955DB9" w:rsidP="00955DB9">
      <w:pPr>
        <w:spacing w:line="240" w:lineRule="auto"/>
        <w:rPr>
          <w:rFonts w:ascii="Calibri" w:hAnsi="Calibri" w:cs="Calibri"/>
          <w:b/>
          <w:bCs/>
          <w:color w:val="000000"/>
        </w:rPr>
      </w:pPr>
    </w:p>
    <w:p w14:paraId="6393D9F2" w14:textId="77777777" w:rsidR="00955DB9" w:rsidRDefault="00955DB9" w:rsidP="00955DB9">
      <w:pPr>
        <w:spacing w:line="240" w:lineRule="auto"/>
        <w:rPr>
          <w:rFonts w:ascii="Calibri" w:hAnsi="Calibri" w:cs="Calibri"/>
          <w:b/>
          <w:bCs/>
          <w:color w:val="000000"/>
        </w:rPr>
      </w:pPr>
    </w:p>
    <w:p w14:paraId="3A1CFAD9" w14:textId="77777777" w:rsidR="00955DB9" w:rsidRDefault="00955DB9" w:rsidP="00955DB9">
      <w:pPr>
        <w:spacing w:line="240" w:lineRule="auto"/>
        <w:rPr>
          <w:rFonts w:ascii="Calibri" w:hAnsi="Calibri" w:cs="Calibri"/>
          <w:b/>
          <w:bCs/>
          <w:color w:val="000000"/>
        </w:rPr>
      </w:pPr>
      <w:r>
        <w:rPr>
          <w:rFonts w:ascii="Calibri" w:hAnsi="Calibri" w:cs="Calibri"/>
          <w:b/>
          <w:bCs/>
          <w:color w:val="000000"/>
        </w:rPr>
        <w:t>Table 3. Alignment of SafetyNET and CPiRLS with the Minimal Information Model for Patient Safety categories</w:t>
      </w:r>
    </w:p>
    <w:p w14:paraId="04D019D2" w14:textId="77777777" w:rsidR="00955DB9" w:rsidRDefault="00955DB9" w:rsidP="00955DB9">
      <w:pPr>
        <w:spacing w:line="240" w:lineRule="auto"/>
        <w:rPr>
          <w:rFonts w:ascii="Calibri" w:hAnsi="Calibri" w:cs="Calibri"/>
          <w:b/>
          <w:bCs/>
          <w:color w:val="000000"/>
        </w:rPr>
      </w:pPr>
    </w:p>
    <w:tbl>
      <w:tblPr>
        <w:tblW w:w="12955" w:type="dxa"/>
        <w:tblInd w:w="-5" w:type="dxa"/>
        <w:tblLook w:val="04A0" w:firstRow="1" w:lastRow="0" w:firstColumn="1" w:lastColumn="0" w:noHBand="0" w:noVBand="1"/>
      </w:tblPr>
      <w:tblGrid>
        <w:gridCol w:w="1439"/>
        <w:gridCol w:w="2180"/>
        <w:gridCol w:w="2507"/>
        <w:gridCol w:w="2449"/>
        <w:gridCol w:w="2283"/>
        <w:gridCol w:w="2097"/>
      </w:tblGrid>
      <w:tr w:rsidR="00955DB9" w:rsidRPr="004D08ED" w14:paraId="725F19D6" w14:textId="77777777" w:rsidTr="005F75FA">
        <w:trPr>
          <w:trHeight w:val="360"/>
        </w:trPr>
        <w:tc>
          <w:tcPr>
            <w:tcW w:w="1457" w:type="dxa"/>
            <w:tcBorders>
              <w:top w:val="single" w:sz="8" w:space="0" w:color="000000"/>
              <w:left w:val="single" w:sz="4" w:space="0" w:color="404040"/>
              <w:bottom w:val="single" w:sz="8" w:space="0" w:color="000000"/>
              <w:right w:val="single" w:sz="4" w:space="0" w:color="404040"/>
            </w:tcBorders>
            <w:vAlign w:val="center"/>
            <w:hideMark/>
          </w:tcPr>
          <w:p w14:paraId="3E7B4F9A" w14:textId="77777777" w:rsidR="00955DB9" w:rsidRPr="004D08ED" w:rsidRDefault="00955DB9" w:rsidP="005F75FA">
            <w:pPr>
              <w:spacing w:line="240" w:lineRule="auto"/>
              <w:jc w:val="center"/>
              <w:rPr>
                <w:rFonts w:asciiTheme="minorHAnsi" w:eastAsia="Times New Roman" w:hAnsiTheme="minorHAnsi" w:cstheme="minorHAnsi"/>
                <w:b/>
                <w:bCs/>
                <w:sz w:val="20"/>
                <w:szCs w:val="20"/>
                <w:lang w:val="en-CA"/>
              </w:rPr>
            </w:pPr>
            <w:r w:rsidRPr="004D08ED">
              <w:rPr>
                <w:rFonts w:asciiTheme="minorHAnsi" w:eastAsia="Times New Roman" w:hAnsiTheme="minorHAnsi" w:cstheme="minorHAnsi"/>
                <w:b/>
                <w:bCs/>
                <w:sz w:val="20"/>
                <w:szCs w:val="20"/>
                <w:lang w:val="en-CA"/>
              </w:rPr>
              <w:t>MIM PS Category</w:t>
            </w:r>
          </w:p>
        </w:tc>
        <w:tc>
          <w:tcPr>
            <w:tcW w:w="2324" w:type="dxa"/>
            <w:tcBorders>
              <w:top w:val="single" w:sz="8" w:space="0" w:color="000000"/>
              <w:left w:val="nil"/>
              <w:bottom w:val="single" w:sz="8" w:space="0" w:color="000000"/>
              <w:right w:val="single" w:sz="4" w:space="0" w:color="404040"/>
            </w:tcBorders>
            <w:vAlign w:val="center"/>
            <w:hideMark/>
          </w:tcPr>
          <w:p w14:paraId="1BA99745" w14:textId="77777777" w:rsidR="00955DB9" w:rsidRPr="004D08ED" w:rsidRDefault="00955DB9" w:rsidP="005F75FA">
            <w:pPr>
              <w:spacing w:line="240" w:lineRule="auto"/>
              <w:jc w:val="center"/>
              <w:rPr>
                <w:rFonts w:asciiTheme="minorHAnsi" w:eastAsia="Times New Roman" w:hAnsiTheme="minorHAnsi" w:cstheme="minorHAnsi"/>
                <w:b/>
                <w:bCs/>
                <w:sz w:val="20"/>
                <w:szCs w:val="20"/>
                <w:lang w:val="en-CA"/>
              </w:rPr>
            </w:pPr>
            <w:r w:rsidRPr="004D08ED">
              <w:rPr>
                <w:rFonts w:asciiTheme="minorHAnsi" w:eastAsia="Times New Roman" w:hAnsiTheme="minorHAnsi" w:cstheme="minorHAnsi"/>
                <w:b/>
                <w:bCs/>
                <w:sz w:val="20"/>
                <w:szCs w:val="20"/>
                <w:lang w:val="en-CA"/>
              </w:rPr>
              <w:t>Definition</w:t>
            </w:r>
          </w:p>
        </w:tc>
        <w:tc>
          <w:tcPr>
            <w:tcW w:w="2516" w:type="dxa"/>
            <w:tcBorders>
              <w:top w:val="single" w:sz="8" w:space="0" w:color="000000"/>
              <w:left w:val="nil"/>
              <w:bottom w:val="single" w:sz="8" w:space="0" w:color="000000"/>
              <w:right w:val="single" w:sz="4" w:space="0" w:color="404040"/>
            </w:tcBorders>
            <w:vAlign w:val="center"/>
            <w:hideMark/>
          </w:tcPr>
          <w:p w14:paraId="541D011D" w14:textId="77777777" w:rsidR="00955DB9" w:rsidRPr="004D08ED" w:rsidRDefault="00955DB9" w:rsidP="005F75FA">
            <w:pPr>
              <w:spacing w:line="240" w:lineRule="auto"/>
              <w:jc w:val="center"/>
              <w:rPr>
                <w:rFonts w:asciiTheme="minorHAnsi" w:eastAsia="Times New Roman" w:hAnsiTheme="minorHAnsi" w:cstheme="minorHAnsi"/>
                <w:b/>
                <w:bCs/>
                <w:sz w:val="20"/>
                <w:szCs w:val="20"/>
                <w:lang w:val="en-CA"/>
              </w:rPr>
            </w:pPr>
            <w:r w:rsidRPr="004D08ED">
              <w:rPr>
                <w:rFonts w:asciiTheme="minorHAnsi" w:eastAsia="Times New Roman" w:hAnsiTheme="minorHAnsi" w:cstheme="minorHAnsi"/>
                <w:b/>
                <w:bCs/>
                <w:sz w:val="20"/>
                <w:szCs w:val="20"/>
                <w:lang w:val="en-CA"/>
              </w:rPr>
              <w:t>SafetyNET</w:t>
            </w:r>
          </w:p>
        </w:tc>
        <w:tc>
          <w:tcPr>
            <w:tcW w:w="2357" w:type="dxa"/>
            <w:tcBorders>
              <w:top w:val="single" w:sz="8" w:space="0" w:color="000000"/>
              <w:left w:val="nil"/>
              <w:bottom w:val="single" w:sz="8" w:space="0" w:color="000000"/>
              <w:right w:val="single" w:sz="4" w:space="0" w:color="404040"/>
            </w:tcBorders>
            <w:vAlign w:val="center"/>
            <w:hideMark/>
          </w:tcPr>
          <w:p w14:paraId="77C0A793" w14:textId="77777777" w:rsidR="00955DB9" w:rsidRPr="004D08ED" w:rsidRDefault="00955DB9" w:rsidP="005F75FA">
            <w:pPr>
              <w:spacing w:line="240" w:lineRule="auto"/>
              <w:jc w:val="center"/>
              <w:rPr>
                <w:rFonts w:asciiTheme="minorHAnsi" w:eastAsia="Times New Roman" w:hAnsiTheme="minorHAnsi" w:cstheme="minorHAnsi"/>
                <w:b/>
                <w:bCs/>
                <w:sz w:val="20"/>
                <w:szCs w:val="20"/>
                <w:lang w:val="en-CA"/>
              </w:rPr>
            </w:pPr>
            <w:r w:rsidRPr="004D08ED">
              <w:rPr>
                <w:rFonts w:asciiTheme="minorHAnsi" w:eastAsia="Times New Roman" w:hAnsiTheme="minorHAnsi" w:cstheme="minorHAnsi"/>
                <w:b/>
                <w:bCs/>
                <w:sz w:val="20"/>
                <w:szCs w:val="20"/>
                <w:lang w:val="en-CA"/>
              </w:rPr>
              <w:t>SafetyNET MIM PS Alignment</w:t>
            </w:r>
          </w:p>
        </w:tc>
        <w:tc>
          <w:tcPr>
            <w:tcW w:w="2312" w:type="dxa"/>
            <w:tcBorders>
              <w:top w:val="single" w:sz="8" w:space="0" w:color="000000"/>
              <w:left w:val="nil"/>
              <w:bottom w:val="single" w:sz="8" w:space="0" w:color="000000"/>
              <w:right w:val="single" w:sz="4" w:space="0" w:color="404040"/>
            </w:tcBorders>
            <w:vAlign w:val="center"/>
            <w:hideMark/>
          </w:tcPr>
          <w:p w14:paraId="34E99DC7" w14:textId="77777777" w:rsidR="00955DB9" w:rsidRPr="004D08ED" w:rsidRDefault="00955DB9" w:rsidP="005F75FA">
            <w:pPr>
              <w:spacing w:line="240" w:lineRule="auto"/>
              <w:jc w:val="center"/>
              <w:rPr>
                <w:rFonts w:asciiTheme="minorHAnsi" w:eastAsia="Times New Roman" w:hAnsiTheme="minorHAnsi" w:cstheme="minorHAnsi"/>
                <w:b/>
                <w:bCs/>
                <w:sz w:val="20"/>
                <w:szCs w:val="20"/>
                <w:lang w:val="en-CA"/>
              </w:rPr>
            </w:pPr>
            <w:r w:rsidRPr="004D08ED">
              <w:rPr>
                <w:rFonts w:asciiTheme="minorHAnsi" w:eastAsia="Times New Roman" w:hAnsiTheme="minorHAnsi" w:cstheme="minorHAnsi"/>
                <w:b/>
                <w:bCs/>
                <w:sz w:val="20"/>
                <w:szCs w:val="20"/>
                <w:lang w:val="en-CA"/>
              </w:rPr>
              <w:t>CPiRLS</w:t>
            </w:r>
          </w:p>
        </w:tc>
        <w:tc>
          <w:tcPr>
            <w:tcW w:w="1989" w:type="dxa"/>
            <w:tcBorders>
              <w:top w:val="single" w:sz="8" w:space="0" w:color="000000"/>
              <w:left w:val="nil"/>
              <w:bottom w:val="single" w:sz="8" w:space="0" w:color="000000"/>
              <w:right w:val="single" w:sz="4" w:space="0" w:color="404040"/>
            </w:tcBorders>
            <w:vAlign w:val="center"/>
            <w:hideMark/>
          </w:tcPr>
          <w:p w14:paraId="01569A03" w14:textId="77777777" w:rsidR="00955DB9" w:rsidRPr="004D08ED" w:rsidRDefault="00955DB9" w:rsidP="005F75FA">
            <w:pPr>
              <w:spacing w:line="240" w:lineRule="auto"/>
              <w:jc w:val="center"/>
              <w:rPr>
                <w:rFonts w:asciiTheme="minorHAnsi" w:eastAsia="Times New Roman" w:hAnsiTheme="minorHAnsi" w:cstheme="minorHAnsi"/>
                <w:b/>
                <w:bCs/>
                <w:sz w:val="20"/>
                <w:szCs w:val="20"/>
                <w:lang w:val="en-CA"/>
              </w:rPr>
            </w:pPr>
            <w:r w:rsidRPr="004D08ED">
              <w:rPr>
                <w:rFonts w:asciiTheme="minorHAnsi" w:eastAsia="Times New Roman" w:hAnsiTheme="minorHAnsi" w:cstheme="minorHAnsi"/>
                <w:b/>
                <w:bCs/>
                <w:sz w:val="20"/>
                <w:szCs w:val="20"/>
                <w:lang w:val="en-CA"/>
              </w:rPr>
              <w:t>CPiRLS MIM PS Alignment</w:t>
            </w:r>
          </w:p>
        </w:tc>
      </w:tr>
      <w:tr w:rsidR="00955DB9" w:rsidRPr="00FB062F" w14:paraId="67CCAE3B" w14:textId="77777777" w:rsidTr="005F75FA">
        <w:trPr>
          <w:trHeight w:val="1871"/>
        </w:trPr>
        <w:tc>
          <w:tcPr>
            <w:tcW w:w="1457" w:type="dxa"/>
            <w:tcBorders>
              <w:top w:val="nil"/>
              <w:left w:val="single" w:sz="4" w:space="0" w:color="404040"/>
              <w:bottom w:val="single" w:sz="4" w:space="0" w:color="404040"/>
              <w:right w:val="single" w:sz="4" w:space="0" w:color="404040"/>
            </w:tcBorders>
            <w:vAlign w:val="center"/>
            <w:hideMark/>
          </w:tcPr>
          <w:p w14:paraId="456F2226"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Patient Information</w:t>
            </w:r>
          </w:p>
        </w:tc>
        <w:tc>
          <w:tcPr>
            <w:tcW w:w="2324" w:type="dxa"/>
            <w:tcBorders>
              <w:top w:val="nil"/>
              <w:left w:val="nil"/>
              <w:bottom w:val="single" w:sz="4" w:space="0" w:color="404040"/>
              <w:right w:val="single" w:sz="4" w:space="0" w:color="404040"/>
            </w:tcBorders>
            <w:vAlign w:val="center"/>
            <w:hideMark/>
          </w:tcPr>
          <w:p w14:paraId="537DF77A"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Data related to a patient that has been subject to a safety incident.</w:t>
            </w:r>
          </w:p>
        </w:tc>
        <w:tc>
          <w:tcPr>
            <w:tcW w:w="2516" w:type="dxa"/>
            <w:tcBorders>
              <w:top w:val="nil"/>
              <w:left w:val="nil"/>
              <w:bottom w:val="single" w:sz="4" w:space="0" w:color="404040"/>
              <w:right w:val="single" w:sz="4" w:space="0" w:color="404040"/>
            </w:tcBorders>
            <w:vAlign w:val="center"/>
            <w:hideMark/>
          </w:tcPr>
          <w:p w14:paraId="228BDDD6"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height</w:t>
            </w:r>
            <w:r w:rsidRPr="00FB062F">
              <w:rPr>
                <w:rFonts w:asciiTheme="minorHAnsi" w:eastAsia="Times New Roman" w:hAnsiTheme="minorHAnsi" w:cstheme="minorHAnsi"/>
                <w:sz w:val="20"/>
                <w:szCs w:val="20"/>
                <w:lang w:val="en-CA"/>
              </w:rPr>
              <w:br/>
              <w:t>weight</w:t>
            </w:r>
            <w:r w:rsidRPr="00FB062F">
              <w:rPr>
                <w:rFonts w:asciiTheme="minorHAnsi" w:eastAsia="Times New Roman" w:hAnsiTheme="minorHAnsi" w:cstheme="minorHAnsi"/>
                <w:sz w:val="20"/>
                <w:szCs w:val="20"/>
                <w:lang w:val="en-CA"/>
              </w:rPr>
              <w:br/>
              <w:t>exercise frequency</w:t>
            </w:r>
            <w:r w:rsidRPr="00FB062F">
              <w:rPr>
                <w:rFonts w:asciiTheme="minorHAnsi" w:eastAsia="Times New Roman" w:hAnsiTheme="minorHAnsi" w:cstheme="minorHAnsi"/>
                <w:sz w:val="20"/>
                <w:szCs w:val="20"/>
                <w:lang w:val="en-CA"/>
              </w:rPr>
              <w:br/>
              <w:t>smoking status</w:t>
            </w:r>
            <w:r w:rsidRPr="00FB062F">
              <w:rPr>
                <w:rFonts w:asciiTheme="minorHAnsi" w:eastAsia="Times New Roman" w:hAnsiTheme="minorHAnsi" w:cstheme="minorHAnsi"/>
                <w:sz w:val="20"/>
                <w:szCs w:val="20"/>
                <w:lang w:val="en-CA"/>
              </w:rPr>
              <w:br/>
              <w:t>medications</w:t>
            </w:r>
            <w:r w:rsidRPr="00FB062F">
              <w:rPr>
                <w:rFonts w:asciiTheme="minorHAnsi" w:eastAsia="Times New Roman" w:hAnsiTheme="minorHAnsi" w:cstheme="minorHAnsi"/>
                <w:sz w:val="20"/>
                <w:szCs w:val="20"/>
                <w:lang w:val="en-CA"/>
              </w:rPr>
              <w:br/>
              <w:t>natural health products</w:t>
            </w:r>
            <w:r w:rsidRPr="00FB062F">
              <w:rPr>
                <w:rFonts w:asciiTheme="minorHAnsi" w:eastAsia="Times New Roman" w:hAnsiTheme="minorHAnsi" w:cstheme="minorHAnsi"/>
                <w:sz w:val="20"/>
                <w:szCs w:val="20"/>
                <w:lang w:val="en-CA"/>
              </w:rPr>
              <w:br/>
              <w:t>medical history</w:t>
            </w:r>
          </w:p>
        </w:tc>
        <w:tc>
          <w:tcPr>
            <w:tcW w:w="2357" w:type="dxa"/>
            <w:tcBorders>
              <w:top w:val="nil"/>
              <w:left w:val="nil"/>
              <w:bottom w:val="single" w:sz="4" w:space="0" w:color="404040"/>
              <w:right w:val="single" w:sz="4" w:space="0" w:color="404040"/>
            </w:tcBorders>
            <w:vAlign w:val="center"/>
            <w:hideMark/>
          </w:tcPr>
          <w:p w14:paraId="6ACA1E66"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 xml:space="preserve">Strong </w:t>
            </w:r>
            <w:r w:rsidRPr="00FB062F">
              <w:rPr>
                <w:rFonts w:asciiTheme="minorHAnsi" w:eastAsia="Times New Roman" w:hAnsiTheme="minorHAnsi" w:cstheme="minorHAnsi"/>
                <w:sz w:val="20"/>
                <w:szCs w:val="20"/>
                <w:lang w:val="en-CA"/>
              </w:rPr>
              <w:t>— exact age, sex, with "wish not to respond" option</w:t>
            </w:r>
            <w:r>
              <w:rPr>
                <w:rFonts w:asciiTheme="minorHAnsi" w:eastAsia="Times New Roman" w:hAnsiTheme="minorHAnsi" w:cstheme="minorHAnsi"/>
                <w:sz w:val="20"/>
                <w:szCs w:val="20"/>
                <w:lang w:val="en-CA"/>
              </w:rPr>
              <w:t>, rich clinical context</w:t>
            </w:r>
          </w:p>
        </w:tc>
        <w:tc>
          <w:tcPr>
            <w:tcW w:w="2312" w:type="dxa"/>
            <w:tcBorders>
              <w:top w:val="nil"/>
              <w:left w:val="nil"/>
              <w:bottom w:val="single" w:sz="4" w:space="0" w:color="404040"/>
              <w:right w:val="single" w:sz="4" w:space="0" w:color="404040"/>
            </w:tcBorders>
            <w:vAlign w:val="center"/>
            <w:hideMark/>
          </w:tcPr>
          <w:p w14:paraId="66FD3014"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Not specified (free text only)</w:t>
            </w:r>
          </w:p>
        </w:tc>
        <w:tc>
          <w:tcPr>
            <w:tcW w:w="1989" w:type="dxa"/>
            <w:tcBorders>
              <w:top w:val="nil"/>
              <w:left w:val="nil"/>
              <w:bottom w:val="single" w:sz="4" w:space="0" w:color="404040"/>
              <w:right w:val="single" w:sz="4" w:space="0" w:color="404040"/>
            </w:tcBorders>
            <w:vAlign w:val="center"/>
            <w:hideMark/>
          </w:tcPr>
          <w:p w14:paraId="1A2A6761"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Partial — age band, basic sex categories</w:t>
            </w:r>
            <w:r>
              <w:rPr>
                <w:rFonts w:asciiTheme="minorHAnsi" w:eastAsia="Times New Roman" w:hAnsiTheme="minorHAnsi" w:cstheme="minorHAnsi"/>
                <w:sz w:val="20"/>
                <w:szCs w:val="20"/>
                <w:lang w:val="en-CA"/>
              </w:rPr>
              <w:t xml:space="preserve"> but no specific additional clinical information</w:t>
            </w:r>
          </w:p>
        </w:tc>
      </w:tr>
      <w:tr w:rsidR="00955DB9" w:rsidRPr="00FB062F" w14:paraId="32520C99" w14:textId="77777777" w:rsidTr="005F75FA">
        <w:trPr>
          <w:trHeight w:val="2545"/>
        </w:trPr>
        <w:tc>
          <w:tcPr>
            <w:tcW w:w="1457" w:type="dxa"/>
            <w:tcBorders>
              <w:top w:val="nil"/>
              <w:left w:val="single" w:sz="4" w:space="0" w:color="404040"/>
              <w:bottom w:val="single" w:sz="4" w:space="0" w:color="404040"/>
              <w:right w:val="single" w:sz="4" w:space="0" w:color="404040"/>
            </w:tcBorders>
            <w:vAlign w:val="center"/>
            <w:hideMark/>
          </w:tcPr>
          <w:p w14:paraId="3244FDE7"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Age</w:t>
            </w:r>
          </w:p>
        </w:tc>
        <w:tc>
          <w:tcPr>
            <w:tcW w:w="2324" w:type="dxa"/>
            <w:tcBorders>
              <w:top w:val="nil"/>
              <w:left w:val="nil"/>
              <w:bottom w:val="single" w:sz="4" w:space="0" w:color="404040"/>
              <w:right w:val="single" w:sz="4" w:space="0" w:color="404040"/>
            </w:tcBorders>
            <w:vAlign w:val="center"/>
            <w:hideMark/>
          </w:tcPr>
          <w:p w14:paraId="1BCD530C"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The age or period of life of the patient at which the incident happened.</w:t>
            </w:r>
          </w:p>
        </w:tc>
        <w:tc>
          <w:tcPr>
            <w:tcW w:w="2516" w:type="dxa"/>
            <w:tcBorders>
              <w:top w:val="nil"/>
              <w:left w:val="nil"/>
              <w:bottom w:val="single" w:sz="4" w:space="0" w:color="404040"/>
              <w:right w:val="single" w:sz="4" w:space="0" w:color="404040"/>
            </w:tcBorders>
            <w:vAlign w:val="center"/>
            <w:hideMark/>
          </w:tcPr>
          <w:p w14:paraId="2EF7BBD1"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Year of birth minus survey timestamp</w:t>
            </w:r>
          </w:p>
        </w:tc>
        <w:tc>
          <w:tcPr>
            <w:tcW w:w="2357" w:type="dxa"/>
            <w:tcBorders>
              <w:top w:val="nil"/>
              <w:left w:val="nil"/>
              <w:bottom w:val="single" w:sz="4" w:space="0" w:color="404040"/>
              <w:right w:val="single" w:sz="4" w:space="0" w:color="404040"/>
            </w:tcBorders>
            <w:vAlign w:val="center"/>
            <w:hideMark/>
          </w:tcPr>
          <w:p w14:paraId="70ED0D33"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 xml:space="preserve">Strong </w:t>
            </w:r>
            <w:r w:rsidRPr="00FB062F">
              <w:rPr>
                <w:rFonts w:asciiTheme="minorHAnsi" w:eastAsia="Times New Roman" w:hAnsiTheme="minorHAnsi" w:cstheme="minorHAnsi"/>
                <w:sz w:val="20"/>
                <w:szCs w:val="20"/>
                <w:lang w:val="en-CA"/>
              </w:rPr>
              <w:t>— exact age (calculated from year of birth and survey timestamp)</w:t>
            </w:r>
          </w:p>
        </w:tc>
        <w:tc>
          <w:tcPr>
            <w:tcW w:w="2312" w:type="dxa"/>
            <w:tcBorders>
              <w:top w:val="nil"/>
              <w:left w:val="nil"/>
              <w:bottom w:val="single" w:sz="4" w:space="0" w:color="404040"/>
              <w:right w:val="single" w:sz="4" w:space="0" w:color="404040"/>
            </w:tcBorders>
            <w:vAlign w:val="center"/>
            <w:hideMark/>
          </w:tcPr>
          <w:p w14:paraId="51205A48"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Age Categories:</w:t>
            </w:r>
            <w:r w:rsidRPr="00FB062F">
              <w:rPr>
                <w:rFonts w:asciiTheme="minorHAnsi" w:eastAsia="Times New Roman" w:hAnsiTheme="minorHAnsi" w:cstheme="minorHAnsi"/>
                <w:sz w:val="20"/>
                <w:szCs w:val="20"/>
                <w:lang w:val="en-CA"/>
              </w:rPr>
              <w:br/>
              <w:t>Under 16</w:t>
            </w:r>
            <w:r w:rsidRPr="00FB062F">
              <w:rPr>
                <w:rFonts w:asciiTheme="minorHAnsi" w:eastAsia="Times New Roman" w:hAnsiTheme="minorHAnsi" w:cstheme="minorHAnsi"/>
                <w:sz w:val="20"/>
                <w:szCs w:val="20"/>
                <w:lang w:val="en-CA"/>
              </w:rPr>
              <w:br/>
              <w:t>16 – 24</w:t>
            </w:r>
            <w:r w:rsidRPr="00FB062F">
              <w:rPr>
                <w:rFonts w:asciiTheme="minorHAnsi" w:eastAsia="Times New Roman" w:hAnsiTheme="minorHAnsi" w:cstheme="minorHAnsi"/>
                <w:sz w:val="20"/>
                <w:szCs w:val="20"/>
                <w:lang w:val="en-CA"/>
              </w:rPr>
              <w:br/>
              <w:t>25 – 34</w:t>
            </w:r>
            <w:r w:rsidRPr="00FB062F">
              <w:rPr>
                <w:rFonts w:asciiTheme="minorHAnsi" w:eastAsia="Times New Roman" w:hAnsiTheme="minorHAnsi" w:cstheme="minorHAnsi"/>
                <w:sz w:val="20"/>
                <w:szCs w:val="20"/>
                <w:lang w:val="en-CA"/>
              </w:rPr>
              <w:br/>
              <w:t>35 – 44</w:t>
            </w:r>
            <w:r w:rsidRPr="00FB062F">
              <w:rPr>
                <w:rFonts w:asciiTheme="minorHAnsi" w:eastAsia="Times New Roman" w:hAnsiTheme="minorHAnsi" w:cstheme="minorHAnsi"/>
                <w:sz w:val="20"/>
                <w:szCs w:val="20"/>
                <w:lang w:val="en-CA"/>
              </w:rPr>
              <w:br/>
              <w:t>45 – 54</w:t>
            </w:r>
            <w:r w:rsidRPr="00FB062F">
              <w:rPr>
                <w:rFonts w:asciiTheme="minorHAnsi" w:eastAsia="Times New Roman" w:hAnsiTheme="minorHAnsi" w:cstheme="minorHAnsi"/>
                <w:sz w:val="20"/>
                <w:szCs w:val="20"/>
                <w:lang w:val="en-CA"/>
              </w:rPr>
              <w:br/>
              <w:t>55 – 64</w:t>
            </w:r>
            <w:r w:rsidRPr="00FB062F">
              <w:rPr>
                <w:rFonts w:asciiTheme="minorHAnsi" w:eastAsia="Times New Roman" w:hAnsiTheme="minorHAnsi" w:cstheme="minorHAnsi"/>
                <w:sz w:val="20"/>
                <w:szCs w:val="20"/>
                <w:lang w:val="en-CA"/>
              </w:rPr>
              <w:br/>
              <w:t>65 – 74</w:t>
            </w:r>
            <w:r w:rsidRPr="00FB062F">
              <w:rPr>
                <w:rFonts w:asciiTheme="minorHAnsi" w:eastAsia="Times New Roman" w:hAnsiTheme="minorHAnsi" w:cstheme="minorHAnsi"/>
                <w:sz w:val="20"/>
                <w:szCs w:val="20"/>
                <w:lang w:val="en-CA"/>
              </w:rPr>
              <w:br/>
              <w:t>75 – 84</w:t>
            </w:r>
            <w:r w:rsidRPr="00FB062F">
              <w:rPr>
                <w:rFonts w:asciiTheme="minorHAnsi" w:eastAsia="Times New Roman" w:hAnsiTheme="minorHAnsi" w:cstheme="minorHAnsi"/>
                <w:sz w:val="20"/>
                <w:szCs w:val="20"/>
                <w:lang w:val="en-CA"/>
              </w:rPr>
              <w:br/>
              <w:t>85+</w:t>
            </w:r>
          </w:p>
        </w:tc>
        <w:tc>
          <w:tcPr>
            <w:tcW w:w="1989" w:type="dxa"/>
            <w:tcBorders>
              <w:top w:val="nil"/>
              <w:left w:val="nil"/>
              <w:bottom w:val="single" w:sz="4" w:space="0" w:color="404040"/>
              <w:right w:val="single" w:sz="4" w:space="0" w:color="404040"/>
            </w:tcBorders>
            <w:vAlign w:val="center"/>
            <w:hideMark/>
          </w:tcPr>
          <w:p w14:paraId="613466A1"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Partial — reported as banded age category only (e.g. 65–74)</w:t>
            </w:r>
          </w:p>
        </w:tc>
      </w:tr>
      <w:tr w:rsidR="00955DB9" w:rsidRPr="00FB062F" w14:paraId="1FBA48EA" w14:textId="77777777" w:rsidTr="005F75FA">
        <w:trPr>
          <w:trHeight w:val="1700"/>
        </w:trPr>
        <w:tc>
          <w:tcPr>
            <w:tcW w:w="1457" w:type="dxa"/>
            <w:tcBorders>
              <w:top w:val="nil"/>
              <w:left w:val="single" w:sz="4" w:space="0" w:color="404040"/>
              <w:bottom w:val="single" w:sz="4" w:space="0" w:color="404040"/>
              <w:right w:val="single" w:sz="4" w:space="0" w:color="404040"/>
            </w:tcBorders>
            <w:vAlign w:val="center"/>
            <w:hideMark/>
          </w:tcPr>
          <w:p w14:paraId="10BA28D2"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Sex</w:t>
            </w:r>
          </w:p>
        </w:tc>
        <w:tc>
          <w:tcPr>
            <w:tcW w:w="2324" w:type="dxa"/>
            <w:tcBorders>
              <w:top w:val="nil"/>
              <w:left w:val="nil"/>
              <w:bottom w:val="single" w:sz="4" w:space="0" w:color="404040"/>
              <w:right w:val="single" w:sz="4" w:space="0" w:color="404040"/>
            </w:tcBorders>
            <w:vAlign w:val="center"/>
            <w:hideMark/>
          </w:tcPr>
          <w:p w14:paraId="50BCAE98"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Gender attribute of a patient that refers to the biological and physiological characteristics that define men and women</w:t>
            </w:r>
          </w:p>
        </w:tc>
        <w:tc>
          <w:tcPr>
            <w:tcW w:w="2516" w:type="dxa"/>
            <w:tcBorders>
              <w:top w:val="nil"/>
              <w:left w:val="nil"/>
              <w:bottom w:val="single" w:sz="4" w:space="0" w:color="404040"/>
              <w:right w:val="single" w:sz="4" w:space="0" w:color="404040"/>
            </w:tcBorders>
            <w:vAlign w:val="center"/>
            <w:hideMark/>
          </w:tcPr>
          <w:p w14:paraId="7182E0CC"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Are you: Male, Female, Other, Wish not to respond</w:t>
            </w:r>
          </w:p>
        </w:tc>
        <w:tc>
          <w:tcPr>
            <w:tcW w:w="2357" w:type="dxa"/>
            <w:tcBorders>
              <w:top w:val="nil"/>
              <w:left w:val="nil"/>
              <w:bottom w:val="single" w:sz="4" w:space="0" w:color="404040"/>
              <w:right w:val="single" w:sz="4" w:space="0" w:color="404040"/>
            </w:tcBorders>
            <w:vAlign w:val="center"/>
            <w:hideMark/>
          </w:tcPr>
          <w:p w14:paraId="44F6DB4F"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 xml:space="preserve">Strong </w:t>
            </w:r>
            <w:r w:rsidRPr="00FB062F">
              <w:rPr>
                <w:rFonts w:asciiTheme="minorHAnsi" w:eastAsia="Times New Roman" w:hAnsiTheme="minorHAnsi" w:cstheme="minorHAnsi"/>
                <w:sz w:val="20"/>
                <w:szCs w:val="20"/>
                <w:lang w:val="en-CA"/>
              </w:rPr>
              <w:t>— Male, Female, Other, with "wish not to respond" option</w:t>
            </w:r>
          </w:p>
        </w:tc>
        <w:tc>
          <w:tcPr>
            <w:tcW w:w="2312" w:type="dxa"/>
            <w:tcBorders>
              <w:top w:val="nil"/>
              <w:left w:val="nil"/>
              <w:bottom w:val="single" w:sz="4" w:space="0" w:color="404040"/>
              <w:right w:val="single" w:sz="4" w:space="0" w:color="404040"/>
            </w:tcBorders>
            <w:vAlign w:val="center"/>
            <w:hideMark/>
          </w:tcPr>
          <w:p w14:paraId="4D484070"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Patient Gender Required - Male, Female, Other, Unknown</w:t>
            </w:r>
            <w:r w:rsidRPr="00FB062F">
              <w:rPr>
                <w:rFonts w:asciiTheme="minorHAnsi" w:eastAsia="Times New Roman" w:hAnsiTheme="minorHAnsi" w:cstheme="minorHAnsi"/>
                <w:sz w:val="20"/>
                <w:szCs w:val="20"/>
                <w:lang w:val="en-CA"/>
              </w:rPr>
              <w:br/>
              <w:t>Optional question to state if the patient’s gender identity the same as their gender assigned at birth?</w:t>
            </w:r>
          </w:p>
        </w:tc>
        <w:tc>
          <w:tcPr>
            <w:tcW w:w="1989" w:type="dxa"/>
            <w:tcBorders>
              <w:top w:val="nil"/>
              <w:left w:val="nil"/>
              <w:bottom w:val="single" w:sz="4" w:space="0" w:color="404040"/>
              <w:right w:val="single" w:sz="4" w:space="0" w:color="404040"/>
            </w:tcBorders>
            <w:vAlign w:val="center"/>
            <w:hideMark/>
          </w:tcPr>
          <w:p w14:paraId="67DCE140"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Partial — Male, Female, Other, Unknown; optional gender identity question</w:t>
            </w:r>
          </w:p>
        </w:tc>
      </w:tr>
      <w:tr w:rsidR="00955DB9" w:rsidRPr="00FB062F" w14:paraId="1ADAE0C4" w14:textId="77777777" w:rsidTr="005F75FA">
        <w:trPr>
          <w:trHeight w:val="1550"/>
        </w:trPr>
        <w:tc>
          <w:tcPr>
            <w:tcW w:w="1457" w:type="dxa"/>
            <w:tcBorders>
              <w:top w:val="nil"/>
              <w:left w:val="single" w:sz="4" w:space="0" w:color="404040"/>
              <w:bottom w:val="single" w:sz="4" w:space="0" w:color="404040"/>
              <w:right w:val="single" w:sz="4" w:space="0" w:color="404040"/>
            </w:tcBorders>
            <w:vAlign w:val="center"/>
            <w:hideMark/>
          </w:tcPr>
          <w:p w14:paraId="488C0BBA"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lastRenderedPageBreak/>
              <w:t>Incident Time</w:t>
            </w:r>
          </w:p>
        </w:tc>
        <w:tc>
          <w:tcPr>
            <w:tcW w:w="2324" w:type="dxa"/>
            <w:tcBorders>
              <w:top w:val="nil"/>
              <w:left w:val="nil"/>
              <w:bottom w:val="single" w:sz="4" w:space="0" w:color="404040"/>
              <w:right w:val="single" w:sz="4" w:space="0" w:color="404040"/>
            </w:tcBorders>
            <w:vAlign w:val="center"/>
            <w:hideMark/>
          </w:tcPr>
          <w:p w14:paraId="3FAACCCA"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Date and time of day when the incident occurred.</w:t>
            </w:r>
          </w:p>
        </w:tc>
        <w:tc>
          <w:tcPr>
            <w:tcW w:w="2516" w:type="dxa"/>
            <w:tcBorders>
              <w:top w:val="nil"/>
              <w:left w:val="nil"/>
              <w:bottom w:val="single" w:sz="4" w:space="0" w:color="404040"/>
              <w:right w:val="single" w:sz="4" w:space="0" w:color="404040"/>
            </w:tcBorders>
            <w:vAlign w:val="center"/>
            <w:hideMark/>
          </w:tcPr>
          <w:p w14:paraId="167F42A5"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Survey timestamp - immediate and delayed post-treatment form</w:t>
            </w:r>
          </w:p>
        </w:tc>
        <w:tc>
          <w:tcPr>
            <w:tcW w:w="2357" w:type="dxa"/>
            <w:tcBorders>
              <w:top w:val="nil"/>
              <w:left w:val="nil"/>
              <w:bottom w:val="single" w:sz="4" w:space="0" w:color="404040"/>
              <w:right w:val="single" w:sz="4" w:space="0" w:color="404040"/>
            </w:tcBorders>
            <w:vAlign w:val="center"/>
            <w:hideMark/>
          </w:tcPr>
          <w:p w14:paraId="2B2C5E94"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Partial — survey timestamp used as proxy; not date/time of incident itself</w:t>
            </w:r>
          </w:p>
        </w:tc>
        <w:tc>
          <w:tcPr>
            <w:tcW w:w="2312" w:type="dxa"/>
            <w:tcBorders>
              <w:top w:val="nil"/>
              <w:left w:val="nil"/>
              <w:bottom w:val="single" w:sz="4" w:space="0" w:color="404040"/>
              <w:right w:val="single" w:sz="4" w:space="0" w:color="404040"/>
            </w:tcBorders>
            <w:vAlign w:val="center"/>
            <w:hideMark/>
          </w:tcPr>
          <w:p w14:paraId="603514CD"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The date and time of the incident is not recorded however the date the incident is reported is recorded automatically</w:t>
            </w:r>
          </w:p>
        </w:tc>
        <w:tc>
          <w:tcPr>
            <w:tcW w:w="1989" w:type="dxa"/>
            <w:tcBorders>
              <w:top w:val="nil"/>
              <w:left w:val="nil"/>
              <w:bottom w:val="single" w:sz="4" w:space="0" w:color="404040"/>
              <w:right w:val="single" w:sz="4" w:space="0" w:color="404040"/>
            </w:tcBorders>
            <w:vAlign w:val="center"/>
            <w:hideMark/>
          </w:tcPr>
          <w:p w14:paraId="6F6BEFC9"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Partial — date of report recorded automatically; date of incident not captured</w:t>
            </w:r>
          </w:p>
        </w:tc>
      </w:tr>
      <w:tr w:rsidR="00955DB9" w:rsidRPr="00FB062F" w14:paraId="010AC050" w14:textId="77777777" w:rsidTr="005F75FA">
        <w:trPr>
          <w:trHeight w:val="1125"/>
        </w:trPr>
        <w:tc>
          <w:tcPr>
            <w:tcW w:w="1457" w:type="dxa"/>
            <w:tcBorders>
              <w:top w:val="nil"/>
              <w:left w:val="single" w:sz="4" w:space="0" w:color="404040"/>
              <w:bottom w:val="single" w:sz="4" w:space="0" w:color="404040"/>
              <w:right w:val="single" w:sz="4" w:space="0" w:color="404040"/>
            </w:tcBorders>
            <w:vAlign w:val="center"/>
            <w:hideMark/>
          </w:tcPr>
          <w:p w14:paraId="59ED84A9"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Incident Location</w:t>
            </w:r>
          </w:p>
        </w:tc>
        <w:tc>
          <w:tcPr>
            <w:tcW w:w="2324" w:type="dxa"/>
            <w:tcBorders>
              <w:top w:val="nil"/>
              <w:left w:val="nil"/>
              <w:bottom w:val="single" w:sz="4" w:space="0" w:color="404040"/>
              <w:right w:val="single" w:sz="4" w:space="0" w:color="404040"/>
            </w:tcBorders>
            <w:vAlign w:val="center"/>
            <w:hideMark/>
          </w:tcPr>
          <w:p w14:paraId="08072FD9"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Physical environment in which a patient safety incident occurred.</w:t>
            </w:r>
          </w:p>
        </w:tc>
        <w:tc>
          <w:tcPr>
            <w:tcW w:w="2516" w:type="dxa"/>
            <w:tcBorders>
              <w:top w:val="nil"/>
              <w:left w:val="nil"/>
              <w:bottom w:val="single" w:sz="4" w:space="0" w:color="404040"/>
              <w:right w:val="single" w:sz="4" w:space="0" w:color="404040"/>
            </w:tcBorders>
            <w:vAlign w:val="center"/>
            <w:hideMark/>
          </w:tcPr>
          <w:p w14:paraId="16C35341"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All are treatment related new or worsening symptoms, occurring in chiropractic treatment room</w:t>
            </w:r>
          </w:p>
        </w:tc>
        <w:tc>
          <w:tcPr>
            <w:tcW w:w="2357" w:type="dxa"/>
            <w:tcBorders>
              <w:top w:val="nil"/>
              <w:left w:val="nil"/>
              <w:bottom w:val="single" w:sz="4" w:space="0" w:color="404040"/>
              <w:right w:val="single" w:sz="4" w:space="0" w:color="404040"/>
            </w:tcBorders>
            <w:vAlign w:val="center"/>
            <w:hideMark/>
          </w:tcPr>
          <w:p w14:paraId="5E5D99A9"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Weak (</w:t>
            </w:r>
            <w:r w:rsidRPr="00FB062F">
              <w:rPr>
                <w:rFonts w:asciiTheme="minorHAnsi" w:eastAsia="Times New Roman" w:hAnsiTheme="minorHAnsi" w:cstheme="minorHAnsi"/>
                <w:sz w:val="20"/>
                <w:szCs w:val="20"/>
                <w:lang w:val="en-CA"/>
              </w:rPr>
              <w:t>Implicit only</w:t>
            </w:r>
            <w:r>
              <w:rPr>
                <w:rFonts w:asciiTheme="minorHAnsi" w:eastAsia="Times New Roman" w:hAnsiTheme="minorHAnsi" w:cstheme="minorHAnsi"/>
                <w:sz w:val="20"/>
                <w:szCs w:val="20"/>
                <w:lang w:val="en-CA"/>
              </w:rPr>
              <w:t>)</w:t>
            </w:r>
            <w:r w:rsidRPr="00FB062F">
              <w:rPr>
                <w:rFonts w:asciiTheme="minorHAnsi" w:eastAsia="Times New Roman" w:hAnsiTheme="minorHAnsi" w:cstheme="minorHAnsi"/>
                <w:sz w:val="20"/>
                <w:szCs w:val="20"/>
                <w:lang w:val="en-CA"/>
              </w:rPr>
              <w:t xml:space="preserve"> — all incidents occur in the chiropractic treatment room; not a discrete field</w:t>
            </w:r>
          </w:p>
        </w:tc>
        <w:tc>
          <w:tcPr>
            <w:tcW w:w="2312" w:type="dxa"/>
            <w:tcBorders>
              <w:top w:val="nil"/>
              <w:left w:val="nil"/>
              <w:bottom w:val="single" w:sz="4" w:space="0" w:color="404040"/>
              <w:right w:val="single" w:sz="4" w:space="0" w:color="404040"/>
            </w:tcBorders>
            <w:vAlign w:val="center"/>
            <w:hideMark/>
          </w:tcPr>
          <w:p w14:paraId="47DCD950"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Not recorded</w:t>
            </w:r>
          </w:p>
        </w:tc>
        <w:tc>
          <w:tcPr>
            <w:tcW w:w="1989" w:type="dxa"/>
            <w:tcBorders>
              <w:top w:val="nil"/>
              <w:left w:val="nil"/>
              <w:bottom w:val="single" w:sz="4" w:space="0" w:color="404040"/>
              <w:right w:val="single" w:sz="4" w:space="0" w:color="404040"/>
            </w:tcBorders>
            <w:vAlign w:val="center"/>
            <w:hideMark/>
          </w:tcPr>
          <w:p w14:paraId="7E89A1A2" w14:textId="77777777" w:rsidR="00955DB9" w:rsidRPr="00FB062F" w:rsidRDefault="00955DB9" w:rsidP="005F75FA">
            <w:pPr>
              <w:spacing w:line="240" w:lineRule="auto"/>
              <w:rPr>
                <w:rFonts w:asciiTheme="minorHAnsi" w:eastAsia="Times New Roman" w:hAnsiTheme="minorHAnsi" w:cstheme="minorHAnsi"/>
                <w:color w:val="000000"/>
                <w:sz w:val="20"/>
                <w:szCs w:val="20"/>
                <w:lang w:val="en-CA"/>
              </w:rPr>
            </w:pPr>
            <w:r>
              <w:rPr>
                <w:rFonts w:asciiTheme="minorHAnsi" w:eastAsia="Times New Roman" w:hAnsiTheme="minorHAnsi" w:cstheme="minorHAnsi"/>
                <w:color w:val="000000"/>
                <w:sz w:val="20"/>
                <w:szCs w:val="20"/>
                <w:lang w:val="en-CA"/>
              </w:rPr>
              <w:t>Weak (</w:t>
            </w:r>
            <w:r w:rsidRPr="00FB062F">
              <w:rPr>
                <w:rFonts w:asciiTheme="minorHAnsi" w:eastAsia="Times New Roman" w:hAnsiTheme="minorHAnsi" w:cstheme="minorHAnsi"/>
                <w:color w:val="000000"/>
                <w:sz w:val="20"/>
                <w:szCs w:val="20"/>
                <w:lang w:val="en-CA"/>
              </w:rPr>
              <w:t>Absent)</w:t>
            </w:r>
            <w:r>
              <w:rPr>
                <w:rFonts w:asciiTheme="minorHAnsi" w:eastAsia="Times New Roman" w:hAnsiTheme="minorHAnsi" w:cstheme="minorHAnsi"/>
                <w:color w:val="000000"/>
                <w:sz w:val="20"/>
                <w:szCs w:val="20"/>
                <w:lang w:val="en-CA"/>
              </w:rPr>
              <w:t xml:space="preserve"> </w:t>
            </w:r>
            <w:r w:rsidRPr="00FB062F">
              <w:rPr>
                <w:rFonts w:asciiTheme="minorHAnsi" w:eastAsia="Times New Roman" w:hAnsiTheme="minorHAnsi" w:cstheme="minorHAnsi"/>
                <w:color w:val="000000"/>
                <w:sz w:val="20"/>
                <w:szCs w:val="20"/>
                <w:lang w:val="en-CA"/>
              </w:rPr>
              <w:t xml:space="preserve">— incident location not recorded </w:t>
            </w:r>
          </w:p>
        </w:tc>
      </w:tr>
      <w:tr w:rsidR="00955DB9" w:rsidRPr="00FB062F" w14:paraId="1BA57CC0" w14:textId="77777777" w:rsidTr="005F75FA">
        <w:trPr>
          <w:trHeight w:val="1552"/>
        </w:trPr>
        <w:tc>
          <w:tcPr>
            <w:tcW w:w="1457" w:type="dxa"/>
            <w:tcBorders>
              <w:top w:val="nil"/>
              <w:left w:val="single" w:sz="4" w:space="0" w:color="404040"/>
              <w:bottom w:val="single" w:sz="4" w:space="0" w:color="404040"/>
              <w:right w:val="single" w:sz="4" w:space="0" w:color="404040"/>
            </w:tcBorders>
            <w:vAlign w:val="center"/>
            <w:hideMark/>
          </w:tcPr>
          <w:p w14:paraId="1480654D"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Agents Involved</w:t>
            </w:r>
          </w:p>
        </w:tc>
        <w:tc>
          <w:tcPr>
            <w:tcW w:w="2324" w:type="dxa"/>
            <w:tcBorders>
              <w:top w:val="nil"/>
              <w:left w:val="nil"/>
              <w:bottom w:val="single" w:sz="4" w:space="0" w:color="404040"/>
              <w:right w:val="single" w:sz="4" w:space="0" w:color="404040"/>
            </w:tcBorders>
            <w:vAlign w:val="center"/>
            <w:hideMark/>
          </w:tcPr>
          <w:p w14:paraId="1CBB0335"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Agent with the potential to cause harm.</w:t>
            </w:r>
          </w:p>
        </w:tc>
        <w:tc>
          <w:tcPr>
            <w:tcW w:w="2516" w:type="dxa"/>
            <w:tcBorders>
              <w:top w:val="nil"/>
              <w:left w:val="nil"/>
              <w:bottom w:val="single" w:sz="4" w:space="0" w:color="404040"/>
              <w:right w:val="single" w:sz="4" w:space="0" w:color="404040"/>
            </w:tcBorders>
            <w:vAlign w:val="center"/>
            <w:hideMark/>
          </w:tcPr>
          <w:p w14:paraId="4D76CB20"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Person - always a treating chiropractor</w:t>
            </w:r>
            <w:r w:rsidRPr="00FB062F">
              <w:rPr>
                <w:rFonts w:asciiTheme="minorHAnsi" w:eastAsia="Times New Roman" w:hAnsiTheme="minorHAnsi" w:cstheme="minorHAnsi"/>
                <w:sz w:val="20"/>
                <w:szCs w:val="20"/>
                <w:lang w:val="en-CA"/>
              </w:rPr>
              <w:br/>
              <w:t>Practitioner immediate post-treatment form collects areas treated and treatment applied</w:t>
            </w:r>
          </w:p>
        </w:tc>
        <w:tc>
          <w:tcPr>
            <w:tcW w:w="2357" w:type="dxa"/>
            <w:tcBorders>
              <w:top w:val="nil"/>
              <w:left w:val="nil"/>
              <w:bottom w:val="single" w:sz="4" w:space="0" w:color="404040"/>
              <w:right w:val="single" w:sz="4" w:space="0" w:color="404040"/>
            </w:tcBorders>
            <w:vAlign w:val="center"/>
            <w:hideMark/>
          </w:tcPr>
          <w:p w14:paraId="615B7C07"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w:t>
            </w:r>
            <w:r w:rsidRPr="00FB062F">
              <w:rPr>
                <w:rFonts w:asciiTheme="minorHAnsi" w:eastAsia="Times New Roman" w:hAnsiTheme="minorHAnsi" w:cstheme="minorHAnsi"/>
                <w:sz w:val="20"/>
                <w:szCs w:val="20"/>
                <w:lang w:val="en-CA"/>
              </w:rPr>
              <w:t xml:space="preserve"> — agent always the treating chiropractor; treatment applied captured on practitioner form</w:t>
            </w:r>
          </w:p>
        </w:tc>
        <w:tc>
          <w:tcPr>
            <w:tcW w:w="2312" w:type="dxa"/>
            <w:tcBorders>
              <w:top w:val="nil"/>
              <w:left w:val="nil"/>
              <w:bottom w:val="single" w:sz="4" w:space="0" w:color="404040"/>
              <w:right w:val="single" w:sz="4" w:space="0" w:color="404040"/>
            </w:tcBorders>
            <w:vAlign w:val="center"/>
            <w:hideMark/>
          </w:tcPr>
          <w:p w14:paraId="0DB20232"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Category/Subcategory of Incident gives information about agent</w:t>
            </w:r>
            <w:r w:rsidRPr="00FB062F">
              <w:rPr>
                <w:rFonts w:asciiTheme="minorHAnsi" w:eastAsia="Times New Roman" w:hAnsiTheme="minorHAnsi" w:cstheme="minorHAnsi"/>
                <w:sz w:val="20"/>
                <w:szCs w:val="20"/>
                <w:lang w:val="en-CA"/>
              </w:rPr>
              <w:br/>
              <w:t>Description of Incident (free text)</w:t>
            </w:r>
          </w:p>
        </w:tc>
        <w:tc>
          <w:tcPr>
            <w:tcW w:w="1989" w:type="dxa"/>
            <w:tcBorders>
              <w:top w:val="nil"/>
              <w:left w:val="nil"/>
              <w:bottom w:val="single" w:sz="4" w:space="0" w:color="404040"/>
              <w:right w:val="single" w:sz="4" w:space="0" w:color="404040"/>
            </w:tcBorders>
            <w:vAlign w:val="center"/>
            <w:hideMark/>
          </w:tcPr>
          <w:p w14:paraId="010AEFFD"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w:t>
            </w:r>
            <w:r w:rsidRPr="00FB062F">
              <w:rPr>
                <w:rFonts w:asciiTheme="minorHAnsi" w:eastAsia="Times New Roman" w:hAnsiTheme="minorHAnsi" w:cstheme="minorHAnsi"/>
                <w:sz w:val="20"/>
                <w:szCs w:val="20"/>
                <w:lang w:val="en-CA"/>
              </w:rPr>
              <w:t xml:space="preserve"> — incident category/subcategory and free-text description convey agent information</w:t>
            </w:r>
          </w:p>
        </w:tc>
      </w:tr>
      <w:tr w:rsidR="00955DB9" w:rsidRPr="00FB062F" w14:paraId="7FCC194A" w14:textId="77777777" w:rsidTr="005F75FA">
        <w:trPr>
          <w:trHeight w:val="1559"/>
        </w:trPr>
        <w:tc>
          <w:tcPr>
            <w:tcW w:w="1457" w:type="dxa"/>
            <w:tcBorders>
              <w:top w:val="nil"/>
              <w:left w:val="single" w:sz="4" w:space="0" w:color="404040"/>
              <w:bottom w:val="single" w:sz="4" w:space="0" w:color="404040"/>
              <w:right w:val="single" w:sz="4" w:space="0" w:color="404040"/>
            </w:tcBorders>
            <w:vAlign w:val="center"/>
            <w:hideMark/>
          </w:tcPr>
          <w:p w14:paraId="36AFA24D"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 xml:space="preserve">Suspected </w:t>
            </w:r>
            <w:r>
              <w:rPr>
                <w:rFonts w:asciiTheme="minorHAnsi" w:eastAsia="Times New Roman" w:hAnsiTheme="minorHAnsi" w:cstheme="minorHAnsi"/>
                <w:b/>
                <w:bCs/>
                <w:sz w:val="20"/>
                <w:szCs w:val="20"/>
                <w:lang w:val="en-CA"/>
              </w:rPr>
              <w:t>C</w:t>
            </w:r>
            <w:r w:rsidRPr="00FB062F">
              <w:rPr>
                <w:rFonts w:asciiTheme="minorHAnsi" w:eastAsia="Times New Roman" w:hAnsiTheme="minorHAnsi" w:cstheme="minorHAnsi"/>
                <w:b/>
                <w:bCs/>
                <w:sz w:val="20"/>
                <w:szCs w:val="20"/>
                <w:lang w:val="en-CA"/>
              </w:rPr>
              <w:t>ause</w:t>
            </w:r>
          </w:p>
        </w:tc>
        <w:tc>
          <w:tcPr>
            <w:tcW w:w="2324" w:type="dxa"/>
            <w:tcBorders>
              <w:top w:val="nil"/>
              <w:left w:val="nil"/>
              <w:bottom w:val="single" w:sz="4" w:space="0" w:color="404040"/>
              <w:right w:val="single" w:sz="4" w:space="0" w:color="404040"/>
            </w:tcBorders>
            <w:vAlign w:val="center"/>
            <w:hideMark/>
          </w:tcPr>
          <w:p w14:paraId="0AF22D12"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Agent that contributed to an incident in a way that this specific incident happened.</w:t>
            </w:r>
          </w:p>
        </w:tc>
        <w:tc>
          <w:tcPr>
            <w:tcW w:w="2516" w:type="dxa"/>
            <w:tcBorders>
              <w:top w:val="nil"/>
              <w:left w:val="nil"/>
              <w:bottom w:val="single" w:sz="4" w:space="0" w:color="404040"/>
              <w:right w:val="single" w:sz="4" w:space="0" w:color="404040"/>
            </w:tcBorders>
            <w:vAlign w:val="center"/>
            <w:hideMark/>
          </w:tcPr>
          <w:p w14:paraId="07B7B31B"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Chiropractic treatment</w:t>
            </w:r>
          </w:p>
        </w:tc>
        <w:tc>
          <w:tcPr>
            <w:tcW w:w="2357" w:type="dxa"/>
            <w:tcBorders>
              <w:top w:val="nil"/>
              <w:left w:val="nil"/>
              <w:bottom w:val="single" w:sz="4" w:space="0" w:color="404040"/>
              <w:right w:val="single" w:sz="4" w:space="0" w:color="404040"/>
            </w:tcBorders>
            <w:vAlign w:val="center"/>
            <w:hideMark/>
          </w:tcPr>
          <w:p w14:paraId="2D5EC2B0"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Weak (i</w:t>
            </w:r>
            <w:r w:rsidRPr="00FB062F">
              <w:rPr>
                <w:rFonts w:asciiTheme="minorHAnsi" w:eastAsia="Times New Roman" w:hAnsiTheme="minorHAnsi" w:cstheme="minorHAnsi"/>
                <w:sz w:val="20"/>
                <w:szCs w:val="20"/>
                <w:lang w:val="en-CA"/>
              </w:rPr>
              <w:t>mplicit</w:t>
            </w:r>
            <w:r>
              <w:rPr>
                <w:rFonts w:asciiTheme="minorHAnsi" w:eastAsia="Times New Roman" w:hAnsiTheme="minorHAnsi" w:cstheme="minorHAnsi"/>
                <w:sz w:val="20"/>
                <w:szCs w:val="20"/>
                <w:lang w:val="en-CA"/>
              </w:rPr>
              <w:t xml:space="preserve"> only) </w:t>
            </w:r>
            <w:r w:rsidRPr="00FB062F">
              <w:rPr>
                <w:rFonts w:asciiTheme="minorHAnsi" w:eastAsia="Times New Roman" w:hAnsiTheme="minorHAnsi" w:cstheme="minorHAnsi"/>
                <w:sz w:val="20"/>
                <w:szCs w:val="20"/>
                <w:lang w:val="en-CA"/>
              </w:rPr>
              <w:t>— chiropractic treatment assumed as cause; no discrete suspected cause field</w:t>
            </w:r>
          </w:p>
        </w:tc>
        <w:tc>
          <w:tcPr>
            <w:tcW w:w="2312" w:type="dxa"/>
            <w:tcBorders>
              <w:top w:val="nil"/>
              <w:left w:val="nil"/>
              <w:bottom w:val="single" w:sz="4" w:space="0" w:color="404040"/>
              <w:right w:val="single" w:sz="4" w:space="0" w:color="404040"/>
            </w:tcBorders>
            <w:vAlign w:val="center"/>
            <w:hideMark/>
          </w:tcPr>
          <w:p w14:paraId="275FB667"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Reporter perception of if the incident could have been avoided is recorded</w:t>
            </w:r>
            <w:r w:rsidRPr="00FB062F">
              <w:rPr>
                <w:rFonts w:asciiTheme="minorHAnsi" w:eastAsia="Times New Roman" w:hAnsiTheme="minorHAnsi" w:cstheme="minorHAnsi"/>
                <w:sz w:val="20"/>
                <w:szCs w:val="20"/>
                <w:lang w:val="en-CA"/>
              </w:rPr>
              <w:br/>
              <w:t>Associated Factors (pre-selected categories as well as free text option)</w:t>
            </w:r>
          </w:p>
        </w:tc>
        <w:tc>
          <w:tcPr>
            <w:tcW w:w="1989" w:type="dxa"/>
            <w:tcBorders>
              <w:top w:val="nil"/>
              <w:left w:val="nil"/>
              <w:bottom w:val="single" w:sz="4" w:space="0" w:color="404040"/>
              <w:right w:val="single" w:sz="4" w:space="0" w:color="404040"/>
            </w:tcBorders>
            <w:vAlign w:val="center"/>
            <w:hideMark/>
          </w:tcPr>
          <w:p w14:paraId="1DE54671" w14:textId="77777777" w:rsidR="00955DB9" w:rsidRPr="00FB062F" w:rsidRDefault="00955DB9" w:rsidP="005F75FA">
            <w:pPr>
              <w:spacing w:line="240" w:lineRule="auto"/>
              <w:rPr>
                <w:rFonts w:asciiTheme="minorHAnsi" w:eastAsia="Times New Roman" w:hAnsiTheme="minorHAnsi" w:cstheme="minorHAnsi"/>
                <w:color w:val="000000"/>
                <w:sz w:val="20"/>
                <w:szCs w:val="20"/>
                <w:lang w:val="en-CA"/>
              </w:rPr>
            </w:pPr>
            <w:r w:rsidRPr="00FB062F">
              <w:rPr>
                <w:rFonts w:asciiTheme="minorHAnsi" w:eastAsia="Times New Roman" w:hAnsiTheme="minorHAnsi" w:cstheme="minorHAnsi"/>
                <w:color w:val="000000"/>
                <w:sz w:val="20"/>
                <w:szCs w:val="20"/>
                <w:lang w:val="en-CA"/>
              </w:rPr>
              <w:t>Partial — reporter perception of avoidability and pre-selected associated factors recorded</w:t>
            </w:r>
          </w:p>
        </w:tc>
      </w:tr>
      <w:tr w:rsidR="00955DB9" w:rsidRPr="00FB062F" w14:paraId="47D79364" w14:textId="77777777" w:rsidTr="005F75FA">
        <w:trPr>
          <w:trHeight w:val="699"/>
        </w:trPr>
        <w:tc>
          <w:tcPr>
            <w:tcW w:w="1457" w:type="dxa"/>
            <w:tcBorders>
              <w:top w:val="nil"/>
              <w:left w:val="single" w:sz="4" w:space="0" w:color="404040"/>
              <w:bottom w:val="single" w:sz="4" w:space="0" w:color="404040"/>
              <w:right w:val="single" w:sz="4" w:space="0" w:color="404040"/>
            </w:tcBorders>
            <w:vAlign w:val="center"/>
            <w:hideMark/>
          </w:tcPr>
          <w:p w14:paraId="53F32D95"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Contributing Factors</w:t>
            </w:r>
          </w:p>
        </w:tc>
        <w:tc>
          <w:tcPr>
            <w:tcW w:w="2324" w:type="dxa"/>
            <w:tcBorders>
              <w:top w:val="nil"/>
              <w:left w:val="nil"/>
              <w:bottom w:val="single" w:sz="4" w:space="0" w:color="404040"/>
              <w:right w:val="single" w:sz="4" w:space="0" w:color="404040"/>
            </w:tcBorders>
            <w:vAlign w:val="center"/>
            <w:hideMark/>
          </w:tcPr>
          <w:p w14:paraId="33289727"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Any agent thought to have played a part in the origin or development of an incident, or to increase the risk of an incident.</w:t>
            </w:r>
          </w:p>
        </w:tc>
        <w:tc>
          <w:tcPr>
            <w:tcW w:w="2516" w:type="dxa"/>
            <w:tcBorders>
              <w:top w:val="nil"/>
              <w:left w:val="nil"/>
              <w:bottom w:val="single" w:sz="4" w:space="0" w:color="404040"/>
              <w:right w:val="single" w:sz="4" w:space="0" w:color="404040"/>
            </w:tcBorders>
            <w:vAlign w:val="center"/>
            <w:hideMark/>
          </w:tcPr>
          <w:p w14:paraId="373B8DD5"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Contributing factors collected:</w:t>
            </w:r>
            <w:r w:rsidRPr="00FB062F">
              <w:rPr>
                <w:rFonts w:asciiTheme="minorHAnsi" w:eastAsia="Times New Roman" w:hAnsiTheme="minorHAnsi" w:cstheme="minorHAnsi"/>
                <w:sz w:val="20"/>
                <w:szCs w:val="20"/>
                <w:lang w:val="en-CA"/>
              </w:rPr>
              <w:br/>
              <w:t>Practitioner Long Form Immediate Post-Treatment - In your opinion, what may have contributed to the event?</w:t>
            </w:r>
            <w:r w:rsidRPr="00FB062F">
              <w:rPr>
                <w:rFonts w:asciiTheme="minorHAnsi" w:eastAsia="Times New Roman" w:hAnsiTheme="minorHAnsi" w:cstheme="minorHAnsi"/>
                <w:sz w:val="20"/>
                <w:szCs w:val="20"/>
                <w:lang w:val="en-CA"/>
              </w:rPr>
              <w:br/>
              <w:t>Practitioner Long Form Delayed Post-Treatment - In your opinion, what may have contributed to the event?</w:t>
            </w:r>
          </w:p>
        </w:tc>
        <w:tc>
          <w:tcPr>
            <w:tcW w:w="2357" w:type="dxa"/>
            <w:tcBorders>
              <w:top w:val="nil"/>
              <w:left w:val="nil"/>
              <w:bottom w:val="single" w:sz="4" w:space="0" w:color="404040"/>
              <w:right w:val="single" w:sz="4" w:space="0" w:color="404040"/>
            </w:tcBorders>
            <w:vAlign w:val="center"/>
            <w:hideMark/>
          </w:tcPr>
          <w:p w14:paraId="02BCF5FB"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Weak (n</w:t>
            </w:r>
            <w:r w:rsidRPr="00FB062F">
              <w:rPr>
                <w:rFonts w:asciiTheme="minorHAnsi" w:eastAsia="Times New Roman" w:hAnsiTheme="minorHAnsi" w:cstheme="minorHAnsi"/>
                <w:sz w:val="20"/>
                <w:szCs w:val="20"/>
                <w:lang w:val="en-CA"/>
              </w:rPr>
              <w:t>arrative only</w:t>
            </w:r>
            <w:r>
              <w:rPr>
                <w:rFonts w:asciiTheme="minorHAnsi" w:eastAsia="Times New Roman" w:hAnsiTheme="minorHAnsi" w:cstheme="minorHAnsi"/>
                <w:sz w:val="20"/>
                <w:szCs w:val="20"/>
                <w:lang w:val="en-CA"/>
              </w:rPr>
              <w:t>)</w:t>
            </w:r>
            <w:r w:rsidRPr="00FB062F">
              <w:rPr>
                <w:rFonts w:asciiTheme="minorHAnsi" w:eastAsia="Times New Roman" w:hAnsiTheme="minorHAnsi" w:cstheme="minorHAnsi"/>
                <w:sz w:val="20"/>
                <w:szCs w:val="20"/>
                <w:lang w:val="en-CA"/>
              </w:rPr>
              <w:t xml:space="preserve"> — free-text practitioner opinion on contributing factors (long forms)</w:t>
            </w:r>
          </w:p>
        </w:tc>
        <w:tc>
          <w:tcPr>
            <w:tcW w:w="2312" w:type="dxa"/>
            <w:tcBorders>
              <w:top w:val="nil"/>
              <w:left w:val="nil"/>
              <w:bottom w:val="single" w:sz="4" w:space="0" w:color="404040"/>
              <w:right w:val="single" w:sz="4" w:space="0" w:color="404040"/>
            </w:tcBorders>
            <w:vAlign w:val="center"/>
            <w:hideMark/>
          </w:tcPr>
          <w:p w14:paraId="26354A3E"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Associated Factors (pre-selected categories as well as free text option)</w:t>
            </w:r>
          </w:p>
        </w:tc>
        <w:tc>
          <w:tcPr>
            <w:tcW w:w="1989" w:type="dxa"/>
            <w:tcBorders>
              <w:top w:val="nil"/>
              <w:left w:val="nil"/>
              <w:bottom w:val="single" w:sz="4" w:space="0" w:color="404040"/>
              <w:right w:val="single" w:sz="4" w:space="0" w:color="404040"/>
            </w:tcBorders>
            <w:vAlign w:val="center"/>
            <w:hideMark/>
          </w:tcPr>
          <w:p w14:paraId="656DFEDF"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Partial — pre-selected Associated Factors categories plus free-text option</w:t>
            </w:r>
          </w:p>
        </w:tc>
      </w:tr>
      <w:tr w:rsidR="00955DB9" w:rsidRPr="00FB062F" w14:paraId="0672D887" w14:textId="77777777" w:rsidTr="005F75FA">
        <w:trPr>
          <w:trHeight w:val="5235"/>
        </w:trPr>
        <w:tc>
          <w:tcPr>
            <w:tcW w:w="1457" w:type="dxa"/>
            <w:tcBorders>
              <w:top w:val="nil"/>
              <w:left w:val="single" w:sz="4" w:space="0" w:color="404040"/>
              <w:bottom w:val="single" w:sz="4" w:space="0" w:color="404040"/>
              <w:right w:val="single" w:sz="4" w:space="0" w:color="404040"/>
            </w:tcBorders>
            <w:vAlign w:val="center"/>
            <w:hideMark/>
          </w:tcPr>
          <w:p w14:paraId="343E5020"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lastRenderedPageBreak/>
              <w:t>Mitigating Factors</w:t>
            </w:r>
          </w:p>
        </w:tc>
        <w:tc>
          <w:tcPr>
            <w:tcW w:w="2324" w:type="dxa"/>
            <w:tcBorders>
              <w:top w:val="nil"/>
              <w:left w:val="nil"/>
              <w:bottom w:val="single" w:sz="4" w:space="0" w:color="404040"/>
              <w:right w:val="single" w:sz="4" w:space="0" w:color="404040"/>
            </w:tcBorders>
            <w:vAlign w:val="center"/>
            <w:hideMark/>
          </w:tcPr>
          <w:p w14:paraId="5594AB93"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Agent that prevents or moderates the progression of an incident towards harming a patient or to reduce the risk of an incident.</w:t>
            </w:r>
          </w:p>
        </w:tc>
        <w:tc>
          <w:tcPr>
            <w:tcW w:w="2516" w:type="dxa"/>
            <w:tcBorders>
              <w:top w:val="nil"/>
              <w:left w:val="nil"/>
              <w:bottom w:val="single" w:sz="4" w:space="0" w:color="404040"/>
              <w:right w:val="single" w:sz="4" w:space="0" w:color="404040"/>
            </w:tcBorders>
            <w:vAlign w:val="center"/>
            <w:hideMark/>
          </w:tcPr>
          <w:p w14:paraId="4386F8F9"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Additional Treatment for Incident and Current State of Event collected:</w:t>
            </w:r>
            <w:r w:rsidRPr="00FB062F">
              <w:rPr>
                <w:rFonts w:asciiTheme="minorHAnsi" w:eastAsia="Times New Roman" w:hAnsiTheme="minorHAnsi" w:cstheme="minorHAnsi"/>
                <w:sz w:val="20"/>
                <w:szCs w:val="20"/>
                <w:lang w:val="en-CA"/>
              </w:rPr>
              <w:br/>
              <w:t>Practitioner Long Form Immediate Post-Treatment - Describe any additional treatment the patient had because of this event? Describe the current status of this event, including information if it has resolved.</w:t>
            </w:r>
            <w:r w:rsidRPr="00FB062F">
              <w:rPr>
                <w:rFonts w:asciiTheme="minorHAnsi" w:eastAsia="Times New Roman" w:hAnsiTheme="minorHAnsi" w:cstheme="minorHAnsi"/>
                <w:sz w:val="20"/>
                <w:szCs w:val="20"/>
                <w:lang w:val="en-CA"/>
              </w:rPr>
              <w:br/>
              <w:t>Practitioner Long Form Delayed Post-Treatment - Describe any additional treatment the patient had because of this event? Describe the current status of this event, including information if it has resolved.</w:t>
            </w:r>
          </w:p>
        </w:tc>
        <w:tc>
          <w:tcPr>
            <w:tcW w:w="2357" w:type="dxa"/>
            <w:tcBorders>
              <w:top w:val="nil"/>
              <w:left w:val="nil"/>
              <w:bottom w:val="single" w:sz="4" w:space="0" w:color="404040"/>
              <w:right w:val="single" w:sz="4" w:space="0" w:color="404040"/>
            </w:tcBorders>
            <w:vAlign w:val="center"/>
            <w:hideMark/>
          </w:tcPr>
          <w:p w14:paraId="2C0A48BE"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w:t>
            </w:r>
            <w:r w:rsidRPr="00FB062F">
              <w:rPr>
                <w:rFonts w:asciiTheme="minorHAnsi" w:eastAsia="Times New Roman" w:hAnsiTheme="minorHAnsi" w:cstheme="minorHAnsi"/>
                <w:sz w:val="20"/>
                <w:szCs w:val="20"/>
                <w:lang w:val="en-CA"/>
              </w:rPr>
              <w:t xml:space="preserve"> — additional treatment for incident and current state of event collected</w:t>
            </w:r>
          </w:p>
        </w:tc>
        <w:tc>
          <w:tcPr>
            <w:tcW w:w="2312" w:type="dxa"/>
            <w:tcBorders>
              <w:top w:val="nil"/>
              <w:left w:val="nil"/>
              <w:bottom w:val="single" w:sz="4" w:space="0" w:color="404040"/>
              <w:right w:val="single" w:sz="4" w:space="0" w:color="404040"/>
            </w:tcBorders>
            <w:vAlign w:val="center"/>
            <w:hideMark/>
          </w:tcPr>
          <w:p w14:paraId="21956429"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Not directly recorde</w:t>
            </w:r>
            <w:r>
              <w:rPr>
                <w:rFonts w:asciiTheme="minorHAnsi" w:eastAsia="Times New Roman" w:hAnsiTheme="minorHAnsi" w:cstheme="minorHAnsi"/>
                <w:sz w:val="20"/>
                <w:szCs w:val="20"/>
                <w:lang w:val="en-CA"/>
              </w:rPr>
              <w:t>d</w:t>
            </w:r>
            <w:r w:rsidRPr="00FB062F">
              <w:rPr>
                <w:rFonts w:asciiTheme="minorHAnsi" w:eastAsia="Times New Roman" w:hAnsiTheme="minorHAnsi" w:cstheme="minorHAnsi"/>
                <w:sz w:val="20"/>
                <w:szCs w:val="20"/>
                <w:lang w:val="en-CA"/>
              </w:rPr>
              <w:t>. However, maybe be reported within:</w:t>
            </w:r>
            <w:r w:rsidRPr="00FB062F">
              <w:rPr>
                <w:rFonts w:asciiTheme="minorHAnsi" w:eastAsia="Times New Roman" w:hAnsiTheme="minorHAnsi" w:cstheme="minorHAnsi"/>
                <w:sz w:val="20"/>
                <w:szCs w:val="20"/>
                <w:lang w:val="en-CA"/>
              </w:rPr>
              <w:br/>
              <w:t>1) Actions taken to reduce risk of reoccurrence (pre-selected categories as well as free text option)</w:t>
            </w:r>
            <w:r w:rsidRPr="00FB062F">
              <w:rPr>
                <w:rFonts w:asciiTheme="minorHAnsi" w:eastAsia="Times New Roman" w:hAnsiTheme="minorHAnsi" w:cstheme="minorHAnsi"/>
                <w:sz w:val="20"/>
                <w:szCs w:val="20"/>
                <w:lang w:val="en-CA"/>
              </w:rPr>
              <w:br/>
              <w:t>2) Free text options i.e. Please described what happened?</w:t>
            </w:r>
          </w:p>
        </w:tc>
        <w:tc>
          <w:tcPr>
            <w:tcW w:w="1989" w:type="dxa"/>
            <w:tcBorders>
              <w:top w:val="nil"/>
              <w:left w:val="nil"/>
              <w:bottom w:val="single" w:sz="4" w:space="0" w:color="404040"/>
              <w:right w:val="single" w:sz="4" w:space="0" w:color="404040"/>
            </w:tcBorders>
            <w:vAlign w:val="center"/>
            <w:hideMark/>
          </w:tcPr>
          <w:p w14:paraId="7B304924"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w:t>
            </w:r>
            <w:r w:rsidRPr="00FB062F">
              <w:rPr>
                <w:rFonts w:asciiTheme="minorHAnsi" w:eastAsia="Times New Roman" w:hAnsiTheme="minorHAnsi" w:cstheme="minorHAnsi"/>
                <w:sz w:val="20"/>
                <w:szCs w:val="20"/>
                <w:lang w:val="en-CA"/>
              </w:rPr>
              <w:t xml:space="preserve"> — actions taken to reduce reoccurrence; avoidability question; free-text fields</w:t>
            </w:r>
          </w:p>
        </w:tc>
      </w:tr>
      <w:tr w:rsidR="00955DB9" w:rsidRPr="00FB062F" w14:paraId="0991B596" w14:textId="77777777" w:rsidTr="005F75FA">
        <w:trPr>
          <w:trHeight w:val="1360"/>
        </w:trPr>
        <w:tc>
          <w:tcPr>
            <w:tcW w:w="1457" w:type="dxa"/>
            <w:tcBorders>
              <w:top w:val="nil"/>
              <w:left w:val="single" w:sz="4" w:space="0" w:color="404040"/>
              <w:bottom w:val="single" w:sz="4" w:space="0" w:color="404040"/>
              <w:right w:val="single" w:sz="4" w:space="0" w:color="404040"/>
            </w:tcBorders>
            <w:vAlign w:val="center"/>
            <w:hideMark/>
          </w:tcPr>
          <w:p w14:paraId="7EE95CA0"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Incident Type</w:t>
            </w:r>
          </w:p>
        </w:tc>
        <w:tc>
          <w:tcPr>
            <w:tcW w:w="2324" w:type="dxa"/>
            <w:tcBorders>
              <w:top w:val="nil"/>
              <w:left w:val="nil"/>
              <w:bottom w:val="single" w:sz="4" w:space="0" w:color="404040"/>
              <w:right w:val="single" w:sz="4" w:space="0" w:color="404040"/>
            </w:tcBorders>
            <w:vAlign w:val="center"/>
            <w:hideMark/>
          </w:tcPr>
          <w:p w14:paraId="59935F0F"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 descriptive term for a category made up of incidents of a common nature, grouped according to shared, agreed features.</w:t>
            </w:r>
          </w:p>
        </w:tc>
        <w:tc>
          <w:tcPr>
            <w:tcW w:w="2516" w:type="dxa"/>
            <w:tcBorders>
              <w:top w:val="nil"/>
              <w:left w:val="nil"/>
              <w:bottom w:val="single" w:sz="4" w:space="0" w:color="404040"/>
              <w:right w:val="single" w:sz="4" w:space="0" w:color="404040"/>
            </w:tcBorders>
            <w:vAlign w:val="center"/>
            <w:hideMark/>
          </w:tcPr>
          <w:p w14:paraId="05B2A2E3"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New or worsening symptoms, immediate or delayed</w:t>
            </w:r>
          </w:p>
        </w:tc>
        <w:tc>
          <w:tcPr>
            <w:tcW w:w="2357" w:type="dxa"/>
            <w:tcBorders>
              <w:top w:val="nil"/>
              <w:left w:val="nil"/>
              <w:bottom w:val="single" w:sz="4" w:space="0" w:color="404040"/>
              <w:right w:val="single" w:sz="4" w:space="0" w:color="404040"/>
            </w:tcBorders>
            <w:vAlign w:val="center"/>
            <w:hideMark/>
          </w:tcPr>
          <w:p w14:paraId="311F892D"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Weak — symptom-based classification only (new or worsening symptom)</w:t>
            </w:r>
          </w:p>
        </w:tc>
        <w:tc>
          <w:tcPr>
            <w:tcW w:w="2312" w:type="dxa"/>
            <w:tcBorders>
              <w:top w:val="nil"/>
              <w:left w:val="nil"/>
              <w:bottom w:val="single" w:sz="4" w:space="0" w:color="404040"/>
              <w:right w:val="single" w:sz="4" w:space="0" w:color="404040"/>
            </w:tcBorders>
            <w:vAlign w:val="center"/>
            <w:hideMark/>
          </w:tcPr>
          <w:p w14:paraId="21DE4B5B"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Category and Subcategory of incident</w:t>
            </w:r>
            <w:r w:rsidRPr="00FB062F">
              <w:rPr>
                <w:rFonts w:asciiTheme="minorHAnsi" w:eastAsia="Times New Roman" w:hAnsiTheme="minorHAnsi" w:cstheme="minorHAnsi"/>
                <w:sz w:val="20"/>
                <w:szCs w:val="20"/>
                <w:lang w:val="en-CA"/>
              </w:rPr>
              <w:br/>
              <w:t>Severity of incident</w:t>
            </w:r>
            <w:r w:rsidRPr="00FB062F">
              <w:rPr>
                <w:rFonts w:asciiTheme="minorHAnsi" w:eastAsia="Times New Roman" w:hAnsiTheme="minorHAnsi" w:cstheme="minorHAnsi"/>
                <w:sz w:val="20"/>
                <w:szCs w:val="20"/>
                <w:lang w:val="en-CA"/>
              </w:rPr>
              <w:br/>
              <w:t>Grade of harm</w:t>
            </w:r>
            <w:r w:rsidRPr="00FB062F">
              <w:rPr>
                <w:rFonts w:asciiTheme="minorHAnsi" w:eastAsia="Times New Roman" w:hAnsiTheme="minorHAnsi" w:cstheme="minorHAnsi"/>
                <w:sz w:val="20"/>
                <w:szCs w:val="20"/>
                <w:lang w:val="en-CA"/>
              </w:rPr>
              <w:br/>
              <w:t>Keywords</w:t>
            </w:r>
          </w:p>
        </w:tc>
        <w:tc>
          <w:tcPr>
            <w:tcW w:w="1989" w:type="dxa"/>
            <w:tcBorders>
              <w:top w:val="nil"/>
              <w:left w:val="nil"/>
              <w:bottom w:val="single" w:sz="4" w:space="0" w:color="404040"/>
              <w:right w:val="single" w:sz="4" w:space="0" w:color="404040"/>
            </w:tcBorders>
            <w:vAlign w:val="center"/>
            <w:hideMark/>
          </w:tcPr>
          <w:p w14:paraId="67FDAAE3"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Strong — categorical taxonomy with category, subcategory, severity, grade of harm, and keywords</w:t>
            </w:r>
          </w:p>
        </w:tc>
      </w:tr>
      <w:tr w:rsidR="00955DB9" w:rsidRPr="00FB062F" w14:paraId="7DBE3BF6" w14:textId="77777777" w:rsidTr="005F75FA">
        <w:trPr>
          <w:trHeight w:val="1020"/>
        </w:trPr>
        <w:tc>
          <w:tcPr>
            <w:tcW w:w="1457" w:type="dxa"/>
            <w:tcBorders>
              <w:top w:val="nil"/>
              <w:left w:val="single" w:sz="4" w:space="0" w:color="404040"/>
              <w:bottom w:val="single" w:sz="4" w:space="0" w:color="404040"/>
              <w:right w:val="single" w:sz="4" w:space="0" w:color="404040"/>
            </w:tcBorders>
            <w:vAlign w:val="center"/>
            <w:hideMark/>
          </w:tcPr>
          <w:p w14:paraId="35EFFD48"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Incident Outcome</w:t>
            </w:r>
          </w:p>
        </w:tc>
        <w:tc>
          <w:tcPr>
            <w:tcW w:w="2324" w:type="dxa"/>
            <w:tcBorders>
              <w:top w:val="nil"/>
              <w:left w:val="nil"/>
              <w:bottom w:val="single" w:sz="4" w:space="0" w:color="404040"/>
              <w:right w:val="single" w:sz="4" w:space="0" w:color="404040"/>
            </w:tcBorders>
            <w:vAlign w:val="center"/>
            <w:hideMark/>
          </w:tcPr>
          <w:p w14:paraId="52D47910"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All impacts upon a patient or an organization wholly or partially attributable to the incident.</w:t>
            </w:r>
          </w:p>
        </w:tc>
        <w:tc>
          <w:tcPr>
            <w:tcW w:w="2516" w:type="dxa"/>
            <w:tcBorders>
              <w:top w:val="nil"/>
              <w:left w:val="nil"/>
              <w:bottom w:val="single" w:sz="4" w:space="0" w:color="404040"/>
              <w:right w:val="single" w:sz="4" w:space="0" w:color="404040"/>
            </w:tcBorders>
            <w:vAlign w:val="center"/>
            <w:hideMark/>
          </w:tcPr>
          <w:p w14:paraId="3C3546B6"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Information on Current State of Event collected</w:t>
            </w:r>
          </w:p>
        </w:tc>
        <w:tc>
          <w:tcPr>
            <w:tcW w:w="2357" w:type="dxa"/>
            <w:tcBorders>
              <w:top w:val="nil"/>
              <w:left w:val="nil"/>
              <w:bottom w:val="single" w:sz="4" w:space="0" w:color="404040"/>
              <w:right w:val="single" w:sz="4" w:space="0" w:color="404040"/>
            </w:tcBorders>
            <w:vAlign w:val="center"/>
            <w:hideMark/>
          </w:tcPr>
          <w:p w14:paraId="62E67D2C"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w:t>
            </w:r>
            <w:r w:rsidRPr="00FB062F">
              <w:rPr>
                <w:rFonts w:asciiTheme="minorHAnsi" w:eastAsia="Times New Roman" w:hAnsiTheme="minorHAnsi" w:cstheme="minorHAnsi"/>
                <w:sz w:val="20"/>
                <w:szCs w:val="20"/>
                <w:lang w:val="en-CA"/>
              </w:rPr>
              <w:t xml:space="preserve"> — NRS trajectories across time points and current state of event captured</w:t>
            </w:r>
          </w:p>
        </w:tc>
        <w:tc>
          <w:tcPr>
            <w:tcW w:w="2312" w:type="dxa"/>
            <w:tcBorders>
              <w:top w:val="nil"/>
              <w:left w:val="nil"/>
              <w:bottom w:val="single" w:sz="4" w:space="0" w:color="404040"/>
              <w:right w:val="single" w:sz="4" w:space="0" w:color="404040"/>
            </w:tcBorders>
            <w:vAlign w:val="center"/>
            <w:hideMark/>
          </w:tcPr>
          <w:p w14:paraId="3F5CDEA5"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Not directly recorder. However, maybe be reported within free text options i.e. Please described what happened?</w:t>
            </w:r>
          </w:p>
        </w:tc>
        <w:tc>
          <w:tcPr>
            <w:tcW w:w="1989" w:type="dxa"/>
            <w:tcBorders>
              <w:top w:val="nil"/>
              <w:left w:val="nil"/>
              <w:bottom w:val="single" w:sz="4" w:space="0" w:color="404040"/>
              <w:right w:val="single" w:sz="4" w:space="0" w:color="404040"/>
            </w:tcBorders>
            <w:vAlign w:val="center"/>
            <w:hideMark/>
          </w:tcPr>
          <w:p w14:paraId="68D63BBA"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Weak (a</w:t>
            </w:r>
            <w:r w:rsidRPr="00FB062F">
              <w:rPr>
                <w:rFonts w:asciiTheme="minorHAnsi" w:eastAsia="Times New Roman" w:hAnsiTheme="minorHAnsi" w:cstheme="minorHAnsi"/>
                <w:sz w:val="20"/>
                <w:szCs w:val="20"/>
                <w:lang w:val="en-CA"/>
              </w:rPr>
              <w:t>bsent as formal field</w:t>
            </w:r>
            <w:r>
              <w:rPr>
                <w:rFonts w:asciiTheme="minorHAnsi" w:eastAsia="Times New Roman" w:hAnsiTheme="minorHAnsi" w:cstheme="minorHAnsi"/>
                <w:sz w:val="20"/>
                <w:szCs w:val="20"/>
                <w:lang w:val="en-CA"/>
              </w:rPr>
              <w:t>)</w:t>
            </w:r>
            <w:r w:rsidRPr="00FB062F">
              <w:rPr>
                <w:rFonts w:asciiTheme="minorHAnsi" w:eastAsia="Times New Roman" w:hAnsiTheme="minorHAnsi" w:cstheme="minorHAnsi"/>
                <w:sz w:val="20"/>
                <w:szCs w:val="20"/>
                <w:lang w:val="en-CA"/>
              </w:rPr>
              <w:t xml:space="preserve"> — harm grading used as proxy; outcome recorded in free text only</w:t>
            </w:r>
          </w:p>
        </w:tc>
      </w:tr>
      <w:tr w:rsidR="00955DB9" w:rsidRPr="00FB062F" w14:paraId="1C29DEC0" w14:textId="77777777" w:rsidTr="005F75FA">
        <w:trPr>
          <w:trHeight w:val="4385"/>
        </w:trPr>
        <w:tc>
          <w:tcPr>
            <w:tcW w:w="1457" w:type="dxa"/>
            <w:tcBorders>
              <w:top w:val="nil"/>
              <w:left w:val="single" w:sz="4" w:space="0" w:color="404040"/>
              <w:bottom w:val="single" w:sz="4" w:space="0" w:color="404040"/>
              <w:right w:val="single" w:sz="4" w:space="0" w:color="404040"/>
            </w:tcBorders>
            <w:vAlign w:val="center"/>
            <w:hideMark/>
          </w:tcPr>
          <w:p w14:paraId="060F5411"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lastRenderedPageBreak/>
              <w:t>Resulting Action</w:t>
            </w:r>
          </w:p>
        </w:tc>
        <w:tc>
          <w:tcPr>
            <w:tcW w:w="2324" w:type="dxa"/>
            <w:tcBorders>
              <w:top w:val="nil"/>
              <w:left w:val="nil"/>
              <w:bottom w:val="single" w:sz="4" w:space="0" w:color="404040"/>
              <w:right w:val="single" w:sz="4" w:space="0" w:color="404040"/>
            </w:tcBorders>
            <w:vAlign w:val="center"/>
            <w:hideMark/>
          </w:tcPr>
          <w:p w14:paraId="1518C1DB"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All actions resulting from an incident.</w:t>
            </w:r>
          </w:p>
        </w:tc>
        <w:tc>
          <w:tcPr>
            <w:tcW w:w="2516" w:type="dxa"/>
            <w:tcBorders>
              <w:top w:val="nil"/>
              <w:left w:val="nil"/>
              <w:bottom w:val="single" w:sz="4" w:space="0" w:color="404040"/>
              <w:right w:val="single" w:sz="4" w:space="0" w:color="404040"/>
            </w:tcBorders>
            <w:vAlign w:val="center"/>
            <w:hideMark/>
          </w:tcPr>
          <w:p w14:paraId="71D1B271"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Avoidability/Preventability information collected:</w:t>
            </w:r>
            <w:r w:rsidRPr="00FB062F">
              <w:rPr>
                <w:rFonts w:asciiTheme="minorHAnsi" w:eastAsia="Times New Roman" w:hAnsiTheme="minorHAnsi" w:cstheme="minorHAnsi"/>
                <w:sz w:val="20"/>
                <w:szCs w:val="20"/>
                <w:lang w:val="en-CA"/>
              </w:rPr>
              <w:br/>
              <w:t>Practitioner Long Form Immediate Post-Treatment - Were there factors that could have minimized / prevented this event? Has this event caused you to make any changes to your practice? Please describe.</w:t>
            </w:r>
            <w:r w:rsidRPr="00FB062F">
              <w:rPr>
                <w:rFonts w:asciiTheme="minorHAnsi" w:eastAsia="Times New Roman" w:hAnsiTheme="minorHAnsi" w:cstheme="minorHAnsi"/>
                <w:sz w:val="20"/>
                <w:szCs w:val="20"/>
                <w:lang w:val="en-CA"/>
              </w:rPr>
              <w:br/>
              <w:t>Practitioner Long Form Delayed Post-Treatment - Were there factors that could have minimized / prevented this event? Has this event caused you to make any changes to your practice? Please describe.</w:t>
            </w:r>
          </w:p>
        </w:tc>
        <w:tc>
          <w:tcPr>
            <w:tcW w:w="2357" w:type="dxa"/>
            <w:tcBorders>
              <w:top w:val="nil"/>
              <w:left w:val="nil"/>
              <w:bottom w:val="single" w:sz="4" w:space="0" w:color="404040"/>
              <w:right w:val="single" w:sz="4" w:space="0" w:color="404040"/>
            </w:tcBorders>
            <w:vAlign w:val="center"/>
            <w:hideMark/>
          </w:tcPr>
          <w:p w14:paraId="14B7889F"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 (p</w:t>
            </w:r>
            <w:r w:rsidRPr="00FB062F">
              <w:rPr>
                <w:rFonts w:asciiTheme="minorHAnsi" w:eastAsia="Times New Roman" w:hAnsiTheme="minorHAnsi" w:cstheme="minorHAnsi"/>
                <w:sz w:val="20"/>
                <w:szCs w:val="20"/>
                <w:lang w:val="en-CA"/>
              </w:rPr>
              <w:t>resent but sparse</w:t>
            </w:r>
            <w:r>
              <w:rPr>
                <w:rFonts w:asciiTheme="minorHAnsi" w:eastAsia="Times New Roman" w:hAnsiTheme="minorHAnsi" w:cstheme="minorHAnsi"/>
                <w:sz w:val="20"/>
                <w:szCs w:val="20"/>
                <w:lang w:val="en-CA"/>
              </w:rPr>
              <w:t>)</w:t>
            </w:r>
            <w:r w:rsidRPr="00FB062F">
              <w:rPr>
                <w:rFonts w:asciiTheme="minorHAnsi" w:eastAsia="Times New Roman" w:hAnsiTheme="minorHAnsi" w:cstheme="minorHAnsi"/>
                <w:sz w:val="20"/>
                <w:szCs w:val="20"/>
                <w:lang w:val="en-CA"/>
              </w:rPr>
              <w:t xml:space="preserve"> — avoidability/preventability and practice change questions included</w:t>
            </w:r>
          </w:p>
        </w:tc>
        <w:tc>
          <w:tcPr>
            <w:tcW w:w="2312" w:type="dxa"/>
            <w:tcBorders>
              <w:top w:val="nil"/>
              <w:left w:val="nil"/>
              <w:bottom w:val="single" w:sz="4" w:space="0" w:color="404040"/>
              <w:right w:val="single" w:sz="4" w:space="0" w:color="404040"/>
            </w:tcBorders>
            <w:vAlign w:val="center"/>
            <w:hideMark/>
          </w:tcPr>
          <w:p w14:paraId="60010112"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Actions taken to reduce risk of reoccurrence (pre-selected categories as well as free text option)</w:t>
            </w:r>
            <w:r w:rsidRPr="00FB062F">
              <w:rPr>
                <w:rFonts w:asciiTheme="minorHAnsi" w:eastAsia="Times New Roman" w:hAnsiTheme="minorHAnsi" w:cstheme="minorHAnsi"/>
                <w:sz w:val="20"/>
                <w:szCs w:val="20"/>
                <w:lang w:val="en-CA"/>
              </w:rPr>
              <w:br/>
              <w:t>Likelihood of reoccurrence</w:t>
            </w:r>
            <w:r>
              <w:rPr>
                <w:rFonts w:asciiTheme="minorHAnsi" w:eastAsia="Times New Roman" w:hAnsiTheme="minorHAnsi" w:cstheme="minorHAnsi"/>
                <w:sz w:val="20"/>
                <w:szCs w:val="20"/>
                <w:lang w:val="en-CA"/>
              </w:rPr>
              <w:t xml:space="preserve"> </w:t>
            </w:r>
            <w:r w:rsidRPr="00FB062F">
              <w:rPr>
                <w:rFonts w:asciiTheme="minorHAnsi" w:eastAsia="Times New Roman" w:hAnsiTheme="minorHAnsi" w:cstheme="minorHAnsi"/>
                <w:sz w:val="20"/>
                <w:szCs w:val="20"/>
                <w:lang w:val="en-CA"/>
              </w:rPr>
              <w:t>following actions</w:t>
            </w:r>
          </w:p>
        </w:tc>
        <w:tc>
          <w:tcPr>
            <w:tcW w:w="1989" w:type="dxa"/>
            <w:tcBorders>
              <w:top w:val="nil"/>
              <w:left w:val="nil"/>
              <w:bottom w:val="single" w:sz="4" w:space="0" w:color="404040"/>
              <w:right w:val="single" w:sz="4" w:space="0" w:color="404040"/>
            </w:tcBorders>
            <w:vAlign w:val="center"/>
            <w:hideMark/>
          </w:tcPr>
          <w:p w14:paraId="2192EA0E" w14:textId="77777777" w:rsidR="00955DB9" w:rsidRPr="00FB062F" w:rsidRDefault="00955DB9" w:rsidP="005F75FA">
            <w:pPr>
              <w:spacing w:line="240" w:lineRule="auto"/>
              <w:rPr>
                <w:rFonts w:asciiTheme="minorHAnsi" w:eastAsia="Times New Roman" w:hAnsiTheme="minorHAnsi" w:cstheme="minorHAnsi"/>
                <w:color w:val="000000"/>
                <w:sz w:val="20"/>
                <w:szCs w:val="20"/>
                <w:lang w:val="en-CA"/>
              </w:rPr>
            </w:pPr>
            <w:r w:rsidRPr="00FB062F">
              <w:rPr>
                <w:rFonts w:asciiTheme="minorHAnsi" w:eastAsia="Times New Roman" w:hAnsiTheme="minorHAnsi" w:cstheme="minorHAnsi"/>
                <w:color w:val="000000"/>
                <w:sz w:val="20"/>
                <w:szCs w:val="20"/>
                <w:lang w:val="en-CA"/>
              </w:rPr>
              <w:t>Strong — actions to reduce reoccurrence and likelihood of reoccurrence recorded</w:t>
            </w:r>
          </w:p>
        </w:tc>
      </w:tr>
      <w:tr w:rsidR="00955DB9" w:rsidRPr="00FB062F" w14:paraId="3D56769C" w14:textId="77777777" w:rsidTr="005F75FA">
        <w:trPr>
          <w:trHeight w:val="1273"/>
        </w:trPr>
        <w:tc>
          <w:tcPr>
            <w:tcW w:w="1457" w:type="dxa"/>
            <w:tcBorders>
              <w:top w:val="nil"/>
              <w:left w:val="single" w:sz="4" w:space="0" w:color="404040"/>
              <w:bottom w:val="nil"/>
              <w:right w:val="single" w:sz="4" w:space="0" w:color="404040"/>
            </w:tcBorders>
            <w:vAlign w:val="center"/>
            <w:hideMark/>
          </w:tcPr>
          <w:p w14:paraId="0D53200E"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Reporter's Role</w:t>
            </w:r>
          </w:p>
        </w:tc>
        <w:tc>
          <w:tcPr>
            <w:tcW w:w="2324" w:type="dxa"/>
            <w:tcBorders>
              <w:top w:val="nil"/>
              <w:left w:val="nil"/>
              <w:bottom w:val="nil"/>
              <w:right w:val="single" w:sz="4" w:space="0" w:color="404040"/>
            </w:tcBorders>
            <w:vAlign w:val="center"/>
            <w:hideMark/>
          </w:tcPr>
          <w:p w14:paraId="49016452"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Role played in the incident by the person who collected and submitted the information about the incident</w:t>
            </w:r>
          </w:p>
        </w:tc>
        <w:tc>
          <w:tcPr>
            <w:tcW w:w="2516" w:type="dxa"/>
            <w:tcBorders>
              <w:top w:val="nil"/>
              <w:left w:val="nil"/>
              <w:bottom w:val="nil"/>
              <w:right w:val="single" w:sz="4" w:space="0" w:color="404040"/>
            </w:tcBorders>
            <w:vAlign w:val="center"/>
            <w:hideMark/>
          </w:tcPr>
          <w:p w14:paraId="55727036"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Practitioner (chiropractor) submits information on Practitioner forms</w:t>
            </w:r>
            <w:r w:rsidRPr="00FB062F">
              <w:rPr>
                <w:rFonts w:asciiTheme="minorHAnsi" w:eastAsia="Times New Roman" w:hAnsiTheme="minorHAnsi" w:cstheme="minorHAnsi"/>
                <w:sz w:val="20"/>
                <w:szCs w:val="20"/>
                <w:lang w:val="en-CA"/>
              </w:rPr>
              <w:br/>
              <w:t>Patient submits information on Patient forms</w:t>
            </w:r>
          </w:p>
        </w:tc>
        <w:tc>
          <w:tcPr>
            <w:tcW w:w="2357" w:type="dxa"/>
            <w:tcBorders>
              <w:top w:val="nil"/>
              <w:left w:val="nil"/>
              <w:bottom w:val="nil"/>
              <w:right w:val="single" w:sz="4" w:space="0" w:color="404040"/>
            </w:tcBorders>
            <w:vAlign w:val="center"/>
            <w:hideMark/>
          </w:tcPr>
          <w:p w14:paraId="224799F7"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Strong</w:t>
            </w:r>
            <w:r w:rsidRPr="00FB062F">
              <w:rPr>
                <w:rFonts w:asciiTheme="minorHAnsi" w:eastAsia="Times New Roman" w:hAnsiTheme="minorHAnsi" w:cstheme="minorHAnsi"/>
                <w:sz w:val="20"/>
                <w:szCs w:val="20"/>
                <w:lang w:val="en-CA"/>
              </w:rPr>
              <w:t xml:space="preserve"> — separate clinician and patient forms; both perspectives systematically captured</w:t>
            </w:r>
          </w:p>
        </w:tc>
        <w:tc>
          <w:tcPr>
            <w:tcW w:w="2312" w:type="dxa"/>
            <w:tcBorders>
              <w:top w:val="nil"/>
              <w:left w:val="nil"/>
              <w:bottom w:val="nil"/>
              <w:right w:val="single" w:sz="4" w:space="0" w:color="404040"/>
            </w:tcBorders>
            <w:vAlign w:val="center"/>
            <w:hideMark/>
          </w:tcPr>
          <w:p w14:paraId="2FEA641C"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Expected to be the practitioner directly involved with the incident; however, this is not explicitly requested.</w:t>
            </w:r>
          </w:p>
        </w:tc>
        <w:tc>
          <w:tcPr>
            <w:tcW w:w="1989" w:type="dxa"/>
            <w:tcBorders>
              <w:top w:val="nil"/>
              <w:left w:val="nil"/>
              <w:bottom w:val="nil"/>
              <w:right w:val="single" w:sz="4" w:space="0" w:color="404040"/>
            </w:tcBorders>
            <w:vAlign w:val="center"/>
            <w:hideMark/>
          </w:tcPr>
          <w:p w14:paraId="4E0F55AC"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Weak</w:t>
            </w:r>
            <w:r w:rsidRPr="00FB062F">
              <w:rPr>
                <w:rFonts w:asciiTheme="minorHAnsi" w:eastAsia="Times New Roman" w:hAnsiTheme="minorHAnsi" w:cstheme="minorHAnsi"/>
                <w:sz w:val="20"/>
                <w:szCs w:val="20"/>
                <w:lang w:val="en-CA"/>
              </w:rPr>
              <w:t xml:space="preserve"> — expected to be the treating clinician; not explicitly stated or verified</w:t>
            </w:r>
          </w:p>
        </w:tc>
      </w:tr>
      <w:tr w:rsidR="00955DB9" w:rsidRPr="00FB062F" w14:paraId="1AAFCE37" w14:textId="77777777" w:rsidTr="005F75FA">
        <w:trPr>
          <w:trHeight w:val="2400"/>
        </w:trPr>
        <w:tc>
          <w:tcPr>
            <w:tcW w:w="1457" w:type="dxa"/>
            <w:tcBorders>
              <w:top w:val="single" w:sz="4" w:space="0" w:color="404040"/>
              <w:left w:val="single" w:sz="4" w:space="0" w:color="404040"/>
              <w:bottom w:val="single" w:sz="8" w:space="0" w:color="000000"/>
              <w:right w:val="single" w:sz="4" w:space="0" w:color="404040"/>
            </w:tcBorders>
            <w:vAlign w:val="center"/>
            <w:hideMark/>
          </w:tcPr>
          <w:p w14:paraId="39111152" w14:textId="77777777" w:rsidR="00955DB9" w:rsidRPr="00FB062F" w:rsidRDefault="00955DB9" w:rsidP="005F75FA">
            <w:pPr>
              <w:spacing w:line="240" w:lineRule="auto"/>
              <w:jc w:val="center"/>
              <w:rPr>
                <w:rFonts w:asciiTheme="minorHAnsi" w:eastAsia="Times New Roman" w:hAnsiTheme="minorHAnsi" w:cstheme="minorHAnsi"/>
                <w:b/>
                <w:bCs/>
                <w:sz w:val="20"/>
                <w:szCs w:val="20"/>
                <w:lang w:val="en-CA"/>
              </w:rPr>
            </w:pPr>
            <w:r w:rsidRPr="00FB062F">
              <w:rPr>
                <w:rFonts w:asciiTheme="minorHAnsi" w:eastAsia="Times New Roman" w:hAnsiTheme="minorHAnsi" w:cstheme="minorHAnsi"/>
                <w:b/>
                <w:bCs/>
                <w:sz w:val="20"/>
                <w:szCs w:val="20"/>
                <w:lang w:val="en-CA"/>
              </w:rPr>
              <w:t>Free Text</w:t>
            </w:r>
          </w:p>
        </w:tc>
        <w:tc>
          <w:tcPr>
            <w:tcW w:w="2324" w:type="dxa"/>
            <w:tcBorders>
              <w:top w:val="single" w:sz="4" w:space="0" w:color="404040"/>
              <w:left w:val="nil"/>
              <w:bottom w:val="single" w:sz="8" w:space="0" w:color="000000"/>
              <w:right w:val="single" w:sz="4" w:space="0" w:color="404040"/>
            </w:tcBorders>
            <w:vAlign w:val="center"/>
            <w:hideMark/>
          </w:tcPr>
          <w:p w14:paraId="5ED237AD" w14:textId="77777777" w:rsidR="00955DB9" w:rsidRPr="00FB062F" w:rsidRDefault="00955DB9" w:rsidP="005F75FA">
            <w:pPr>
              <w:spacing w:line="240" w:lineRule="auto"/>
              <w:rPr>
                <w:rFonts w:asciiTheme="minorHAnsi" w:eastAsia="Times New Roman" w:hAnsiTheme="minorHAnsi" w:cstheme="minorHAnsi"/>
                <w:sz w:val="20"/>
                <w:szCs w:val="20"/>
                <w:lang w:val="en-CA"/>
              </w:rPr>
            </w:pPr>
          </w:p>
        </w:tc>
        <w:tc>
          <w:tcPr>
            <w:tcW w:w="2516" w:type="dxa"/>
            <w:tcBorders>
              <w:top w:val="single" w:sz="4" w:space="0" w:color="404040"/>
              <w:left w:val="nil"/>
              <w:bottom w:val="single" w:sz="8" w:space="0" w:color="000000"/>
              <w:right w:val="single" w:sz="4" w:space="0" w:color="404040"/>
            </w:tcBorders>
            <w:vAlign w:val="center"/>
            <w:hideMark/>
          </w:tcPr>
          <w:p w14:paraId="41AECD3A"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Free text additional comments solicited on Patient forms (baseline, immediate and delayed post-treatment forms) and Practitioner forms (immediate and delayed long forms)</w:t>
            </w:r>
          </w:p>
        </w:tc>
        <w:tc>
          <w:tcPr>
            <w:tcW w:w="2357" w:type="dxa"/>
            <w:tcBorders>
              <w:top w:val="single" w:sz="4" w:space="0" w:color="404040"/>
              <w:left w:val="nil"/>
              <w:bottom w:val="single" w:sz="8" w:space="0" w:color="000000"/>
              <w:right w:val="single" w:sz="4" w:space="0" w:color="404040"/>
            </w:tcBorders>
            <w:vAlign w:val="center"/>
            <w:hideMark/>
          </w:tcPr>
          <w:p w14:paraId="6A03FAB1"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t>Partial</w:t>
            </w:r>
            <w:r w:rsidRPr="00FB062F">
              <w:rPr>
                <w:rFonts w:asciiTheme="minorHAnsi" w:eastAsia="Times New Roman" w:hAnsiTheme="minorHAnsi" w:cstheme="minorHAnsi"/>
                <w:sz w:val="20"/>
                <w:szCs w:val="20"/>
                <w:lang w:val="en-CA"/>
              </w:rPr>
              <w:t xml:space="preserve"> — systematically structured across patient and practitioner forms at multiple time points</w:t>
            </w:r>
          </w:p>
        </w:tc>
        <w:tc>
          <w:tcPr>
            <w:tcW w:w="2312" w:type="dxa"/>
            <w:tcBorders>
              <w:top w:val="single" w:sz="4" w:space="0" w:color="404040"/>
              <w:left w:val="nil"/>
              <w:bottom w:val="single" w:sz="8" w:space="0" w:color="000000"/>
              <w:right w:val="single" w:sz="4" w:space="0" w:color="404040"/>
            </w:tcBorders>
            <w:vAlign w:val="center"/>
            <w:hideMark/>
          </w:tcPr>
          <w:p w14:paraId="35B54339"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sidRPr="00FB062F">
              <w:rPr>
                <w:rFonts w:asciiTheme="minorHAnsi" w:eastAsia="Times New Roman" w:hAnsiTheme="minorHAnsi" w:cstheme="minorHAnsi"/>
                <w:sz w:val="20"/>
                <w:szCs w:val="20"/>
                <w:lang w:val="en-CA"/>
              </w:rPr>
              <w:t xml:space="preserve">Free text questions on 1) Other clinically relevant patient characteristics 2) Please describe what happened 3) Further details (if any) of the associated factors 4) Further details (if any) of the actions undertaken 5) Please provide any further </w:t>
            </w:r>
            <w:r w:rsidRPr="00FB062F">
              <w:rPr>
                <w:rFonts w:asciiTheme="minorHAnsi" w:eastAsia="Times New Roman" w:hAnsiTheme="minorHAnsi" w:cstheme="minorHAnsi"/>
                <w:sz w:val="20"/>
                <w:szCs w:val="20"/>
                <w:lang w:val="en-CA"/>
              </w:rPr>
              <w:lastRenderedPageBreak/>
              <w:t>information about the incident</w:t>
            </w:r>
          </w:p>
        </w:tc>
        <w:tc>
          <w:tcPr>
            <w:tcW w:w="1989" w:type="dxa"/>
            <w:tcBorders>
              <w:top w:val="single" w:sz="4" w:space="0" w:color="404040"/>
              <w:left w:val="nil"/>
              <w:bottom w:val="single" w:sz="8" w:space="0" w:color="000000"/>
              <w:right w:val="single" w:sz="4" w:space="0" w:color="404040"/>
            </w:tcBorders>
            <w:vAlign w:val="center"/>
            <w:hideMark/>
          </w:tcPr>
          <w:p w14:paraId="05E0C344" w14:textId="77777777" w:rsidR="00955DB9" w:rsidRPr="00FB062F" w:rsidRDefault="00955DB9" w:rsidP="005F75FA">
            <w:pPr>
              <w:spacing w:line="240" w:lineRule="auto"/>
              <w:rPr>
                <w:rFonts w:asciiTheme="minorHAnsi" w:eastAsia="Times New Roman" w:hAnsiTheme="minorHAnsi" w:cstheme="minorHAnsi"/>
                <w:sz w:val="20"/>
                <w:szCs w:val="20"/>
                <w:lang w:val="en-CA"/>
              </w:rPr>
            </w:pPr>
            <w:r>
              <w:rPr>
                <w:rFonts w:asciiTheme="minorHAnsi" w:eastAsia="Times New Roman" w:hAnsiTheme="minorHAnsi" w:cstheme="minorHAnsi"/>
                <w:sz w:val="20"/>
                <w:szCs w:val="20"/>
                <w:lang w:val="en-CA"/>
              </w:rPr>
              <w:lastRenderedPageBreak/>
              <w:t>Partial</w:t>
            </w:r>
            <w:r w:rsidRPr="00FB062F">
              <w:rPr>
                <w:rFonts w:asciiTheme="minorHAnsi" w:eastAsia="Times New Roman" w:hAnsiTheme="minorHAnsi" w:cstheme="minorHAnsi"/>
                <w:sz w:val="20"/>
                <w:szCs w:val="20"/>
                <w:lang w:val="en-CA"/>
              </w:rPr>
              <w:t xml:space="preserve"> — multiple open-text fields across all report types</w:t>
            </w:r>
          </w:p>
        </w:tc>
      </w:tr>
    </w:tbl>
    <w:p w14:paraId="6586C488" w14:textId="77777777" w:rsidR="00955DB9" w:rsidRDefault="00955DB9" w:rsidP="00955DB9">
      <w:pPr>
        <w:autoSpaceDE w:val="0"/>
        <w:autoSpaceDN w:val="0"/>
        <w:adjustRightInd w:val="0"/>
        <w:spacing w:line="240" w:lineRule="auto"/>
      </w:pPr>
    </w:p>
    <w:p w14:paraId="7E2E8A37" w14:textId="77777777" w:rsidR="00955DB9" w:rsidRDefault="00955DB9" w:rsidP="00955DB9">
      <w:pPr>
        <w:autoSpaceDE w:val="0"/>
        <w:autoSpaceDN w:val="0"/>
        <w:adjustRightInd w:val="0"/>
        <w:spacing w:line="240" w:lineRule="auto"/>
      </w:pPr>
    </w:p>
    <w:p w14:paraId="4842B39C" w14:textId="77777777" w:rsidR="00DE6AE2" w:rsidRDefault="00DE6AE2"/>
    <w:sectPr w:rsidR="00DE6AE2" w:rsidSect="00955DB9">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DB9"/>
    <w:rsid w:val="00195413"/>
    <w:rsid w:val="003A03A7"/>
    <w:rsid w:val="003D0186"/>
    <w:rsid w:val="00684564"/>
    <w:rsid w:val="007278E4"/>
    <w:rsid w:val="00955DB9"/>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4E09C"/>
  <w15:chartTrackingRefBased/>
  <w15:docId w15:val="{B1507C8B-A04C-4CBC-BF1B-C2AA9D06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DB9"/>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955D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55D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55D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55DB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55DB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55DB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55DB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55DB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55DB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DB9"/>
    <w:rPr>
      <w:rFonts w:eastAsiaTheme="majorEastAsia" w:cstheme="majorBidi"/>
      <w:color w:val="272727" w:themeColor="text1" w:themeTint="D8"/>
    </w:rPr>
  </w:style>
  <w:style w:type="paragraph" w:styleId="Title">
    <w:name w:val="Title"/>
    <w:basedOn w:val="Normal"/>
    <w:next w:val="Normal"/>
    <w:link w:val="TitleChar"/>
    <w:uiPriority w:val="10"/>
    <w:qFormat/>
    <w:rsid w:val="00955DB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55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D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55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DB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55DB9"/>
    <w:rPr>
      <w:i/>
      <w:iCs/>
      <w:color w:val="404040" w:themeColor="text1" w:themeTint="BF"/>
    </w:rPr>
  </w:style>
  <w:style w:type="paragraph" w:styleId="ListParagraph">
    <w:name w:val="List Paragraph"/>
    <w:basedOn w:val="Normal"/>
    <w:uiPriority w:val="34"/>
    <w:qFormat/>
    <w:rsid w:val="00955DB9"/>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955DB9"/>
    <w:rPr>
      <w:i/>
      <w:iCs/>
      <w:color w:val="0F4761" w:themeColor="accent1" w:themeShade="BF"/>
    </w:rPr>
  </w:style>
  <w:style w:type="paragraph" w:styleId="IntenseQuote">
    <w:name w:val="Intense Quote"/>
    <w:basedOn w:val="Normal"/>
    <w:next w:val="Normal"/>
    <w:link w:val="IntenseQuoteChar"/>
    <w:uiPriority w:val="30"/>
    <w:qFormat/>
    <w:rsid w:val="00955D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55DB9"/>
    <w:rPr>
      <w:i/>
      <w:iCs/>
      <w:color w:val="0F4761" w:themeColor="accent1" w:themeShade="BF"/>
    </w:rPr>
  </w:style>
  <w:style w:type="character" w:styleId="IntenseReference">
    <w:name w:val="Intense Reference"/>
    <w:basedOn w:val="DefaultParagraphFont"/>
    <w:uiPriority w:val="32"/>
    <w:qFormat/>
    <w:rsid w:val="00955DB9"/>
    <w:rPr>
      <w:b/>
      <w:bCs/>
      <w:smallCaps/>
      <w:color w:val="0F4761" w:themeColor="accent1" w:themeShade="BF"/>
      <w:spacing w:val="5"/>
    </w:rPr>
  </w:style>
  <w:style w:type="paragraph" w:styleId="Bibliography">
    <w:name w:val="Bibliography"/>
    <w:basedOn w:val="Normal"/>
    <w:next w:val="Normal"/>
    <w:uiPriority w:val="37"/>
    <w:unhideWhenUsed/>
    <w:rsid w:val="00955DB9"/>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4117</Words>
  <Characters>23468</Characters>
  <Application>Microsoft Office Word</Application>
  <DocSecurity>0</DocSecurity>
  <Lines>195</Lines>
  <Paragraphs>55</Paragraphs>
  <ScaleCrop>false</ScaleCrop>
  <Company>Springer Nature</Company>
  <LinksUpToDate>false</LinksUpToDate>
  <CharactersWithSpaces>27530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2026-10-13T12:00:00Z</dcterms:created>
  <dcterms:modified xsi:type="dcterms:W3CDTF">2026-10-13T12:00:00Z</dcterms:modified>
</cp:coreProperties>
</file>