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C1DF9" w14:textId="2C885B77" w:rsidR="00F25134" w:rsidRPr="00B4364F" w:rsidRDefault="00B4364F" w:rsidP="0075277F">
      <w:pPr>
        <w:spacing w:line="480" w:lineRule="auto"/>
        <w:rPr>
          <w:b/>
          <w:bCs/>
        </w:rPr>
      </w:pPr>
      <w:r w:rsidRPr="00B4364F">
        <w:rPr>
          <w:b/>
          <w:bCs/>
        </w:rPr>
        <w:t xml:space="preserve">Supplemental Methods – </w:t>
      </w:r>
      <w:r w:rsidR="00F521A0">
        <w:rPr>
          <w:b/>
          <w:bCs/>
        </w:rPr>
        <w:t xml:space="preserve">Detailed </w:t>
      </w:r>
      <w:r w:rsidRPr="00B4364F">
        <w:rPr>
          <w:b/>
          <w:bCs/>
        </w:rPr>
        <w:t xml:space="preserve">Electron Microscopy </w:t>
      </w:r>
    </w:p>
    <w:p w14:paraId="6C8044D9" w14:textId="77777777" w:rsidR="00B4364F" w:rsidRPr="00B4364F" w:rsidRDefault="00B4364F" w:rsidP="0075277F">
      <w:pPr>
        <w:spacing w:line="480" w:lineRule="auto"/>
        <w:rPr>
          <w:i/>
          <w:iCs/>
        </w:rPr>
      </w:pPr>
      <w:r w:rsidRPr="00B4364F">
        <w:rPr>
          <w:i/>
          <w:iCs/>
        </w:rPr>
        <w:t xml:space="preserve">Tissue Collection and Sectioning </w:t>
      </w:r>
    </w:p>
    <w:p w14:paraId="59EE8F12" w14:textId="3DF0D4E8" w:rsidR="00B4364F" w:rsidRPr="00B53106" w:rsidRDefault="008A0514" w:rsidP="0075277F">
      <w:pPr>
        <w:spacing w:line="480" w:lineRule="auto"/>
        <w:ind w:firstLine="720"/>
        <w:jc w:val="both"/>
        <w:rPr>
          <w:color w:val="222222"/>
          <w:shd w:val="clear" w:color="auto" w:fill="FFFFFF"/>
        </w:rPr>
      </w:pPr>
      <w:r>
        <w:rPr>
          <w:color w:val="222222"/>
          <w:shd w:val="clear" w:color="auto" w:fill="FFFFFF"/>
        </w:rPr>
        <w:t>A p</w:t>
      </w:r>
      <w:r w:rsidR="00B4364F">
        <w:rPr>
          <w:color w:val="222222"/>
          <w:shd w:val="clear" w:color="auto" w:fill="FFFFFF"/>
        </w:rPr>
        <w:t xml:space="preserve">erfusion solution composed of 2.5% glutaraldehyde (GLUT) and 2% PFA was made in-house. Briefly, </w:t>
      </w:r>
      <w:r w:rsidR="007154DA">
        <w:rPr>
          <w:color w:val="222222"/>
          <w:shd w:val="clear" w:color="auto" w:fill="FFFFFF"/>
        </w:rPr>
        <w:t>EM-grade</w:t>
      </w:r>
      <w:r w:rsidR="00B4364F">
        <w:rPr>
          <w:color w:val="222222"/>
          <w:shd w:val="clear" w:color="auto" w:fill="FFFFFF"/>
        </w:rPr>
        <w:t xml:space="preserve"> 20% PFA (Electron Microscopy Sciences [EMS] #15713-S) and 50% GLUT (EMS #</w:t>
      </w:r>
      <w:r w:rsidR="00B4364F" w:rsidRPr="00172514">
        <w:rPr>
          <w:color w:val="000000"/>
          <w:shd w:val="clear" w:color="auto" w:fill="FFFFFF"/>
        </w:rPr>
        <w:t>100503-992</w:t>
      </w:r>
      <w:r w:rsidR="00B4364F">
        <w:rPr>
          <w:color w:val="000000"/>
          <w:shd w:val="clear" w:color="auto" w:fill="FFFFFF"/>
        </w:rPr>
        <w:t>)</w:t>
      </w:r>
      <w:r w:rsidR="00B4364F">
        <w:rPr>
          <w:rStyle w:val="apple-converted-space"/>
          <w:rFonts w:ascii="Roboto" w:hAnsi="Roboto"/>
          <w:color w:val="000000"/>
          <w:shd w:val="clear" w:color="auto" w:fill="FFFFFF"/>
        </w:rPr>
        <w:t xml:space="preserve"> </w:t>
      </w:r>
      <w:r w:rsidR="00B4364F">
        <w:rPr>
          <w:color w:val="222222"/>
          <w:shd w:val="clear" w:color="auto" w:fill="FFFFFF"/>
        </w:rPr>
        <w:t>were diluted in 100</w:t>
      </w:r>
      <w:r>
        <w:rPr>
          <w:color w:val="222222"/>
          <w:shd w:val="clear" w:color="auto" w:fill="FFFFFF"/>
        </w:rPr>
        <w:t xml:space="preserve"> </w:t>
      </w:r>
      <w:r w:rsidR="00B4364F">
        <w:rPr>
          <w:color w:val="222222"/>
          <w:shd w:val="clear" w:color="auto" w:fill="FFFFFF"/>
        </w:rPr>
        <w:t xml:space="preserve">mM </w:t>
      </w:r>
      <w:r w:rsidR="00913ED2">
        <w:rPr>
          <w:color w:val="222222"/>
          <w:shd w:val="clear" w:color="auto" w:fill="FFFFFF"/>
        </w:rPr>
        <w:t xml:space="preserve">phosphate-buffered saline </w:t>
      </w:r>
      <w:r w:rsidR="00B4364F">
        <w:rPr>
          <w:color w:val="222222"/>
          <w:shd w:val="clear" w:color="auto" w:fill="FFFFFF"/>
        </w:rPr>
        <w:t xml:space="preserve">(pH=7.4) immediately prior to perfusions and cooled on ice. Post-fixation solution composed of 4% PFA was prepared by diluting EM grade 20% PFA (EMS #15713-S) in 100 mM PB (pH = 7.4) and then chilled on ice. Mice were then euthanized via isoflurane overdose and perfused intracardially with 240 mL of the perfusion solution </w:t>
      </w:r>
      <w:r w:rsidR="00124AA4">
        <w:rPr>
          <w:color w:val="222222"/>
          <w:shd w:val="clear" w:color="auto" w:fill="FFFFFF"/>
        </w:rPr>
        <w:t>at</w:t>
      </w:r>
      <w:r w:rsidR="00B4364F">
        <w:rPr>
          <w:color w:val="222222"/>
          <w:shd w:val="clear" w:color="auto" w:fill="FFFFFF"/>
        </w:rPr>
        <w:t xml:space="preserve"> a flow rate of 24 mL/min. Brains were extracted and post-fixed in ice-cold post-fixation solution for </w:t>
      </w:r>
      <w:r w:rsidR="00124AA4">
        <w:rPr>
          <w:color w:val="222222"/>
          <w:shd w:val="clear" w:color="auto" w:fill="FFFFFF"/>
        </w:rPr>
        <w:t>2 h</w:t>
      </w:r>
      <w:r w:rsidR="00B4364F">
        <w:rPr>
          <w:color w:val="222222"/>
          <w:shd w:val="clear" w:color="auto" w:fill="FFFFFF"/>
        </w:rPr>
        <w:t xml:space="preserve">. </w:t>
      </w:r>
      <w:r w:rsidR="00913ED2">
        <w:rPr>
          <w:color w:val="222222"/>
          <w:shd w:val="clear" w:color="auto" w:fill="FFFFFF"/>
        </w:rPr>
        <w:t>After 2 h of post-fixation, brains were rinsed 3 times in 1</w:t>
      </w:r>
      <w:r w:rsidR="00E87EC1">
        <w:t>x</w:t>
      </w:r>
      <w:r w:rsidR="00913ED2">
        <w:rPr>
          <w:color w:val="222222"/>
          <w:shd w:val="clear" w:color="auto" w:fill="FFFFFF"/>
        </w:rPr>
        <w:t xml:space="preserve"> PBS and immediately sliced in ice-cold PBS on a Leica VT 1000S vibratome (Leica Biosystems, Deer Park, IL, USA) at 50 µm for the amygdala region </w:t>
      </w:r>
      <w:r w:rsidR="00124AA4">
        <w:rPr>
          <w:color w:val="222222"/>
          <w:shd w:val="clear" w:color="auto" w:fill="FFFFFF"/>
        </w:rPr>
        <w:t>(</w:t>
      </w:r>
      <w:r w:rsidR="005F1344">
        <w:rPr>
          <w:color w:val="222222"/>
          <w:shd w:val="clear" w:color="auto" w:fill="FFFFFF"/>
        </w:rPr>
        <w:t>b</w:t>
      </w:r>
      <w:r w:rsidR="00124AA4">
        <w:rPr>
          <w:color w:val="222222"/>
          <w:shd w:val="clear" w:color="auto" w:fill="FFFFFF"/>
        </w:rPr>
        <w:t>regma -1.4 mm to -3.4 mm</w:t>
      </w:r>
      <w:r w:rsidR="00B4364F">
        <w:rPr>
          <w:color w:val="222222"/>
          <w:shd w:val="clear" w:color="auto" w:fill="FFFFFF"/>
        </w:rPr>
        <w:t xml:space="preserve">). Slices were placed into microfuge tubes filled with cryoprotectant (30% </w:t>
      </w:r>
      <w:r w:rsidR="00B4364F" w:rsidRPr="009500A4">
        <w:rPr>
          <w:color w:val="222222"/>
          <w:shd w:val="clear" w:color="auto" w:fill="FFFFFF"/>
        </w:rPr>
        <w:t xml:space="preserve">v/v </w:t>
      </w:r>
      <w:r w:rsidR="00B4364F">
        <w:rPr>
          <w:color w:val="222222"/>
          <w:shd w:val="clear" w:color="auto" w:fill="FFFFFF"/>
        </w:rPr>
        <w:t>glycerol</w:t>
      </w:r>
      <w:r w:rsidR="00B4364F" w:rsidRPr="009500A4">
        <w:rPr>
          <w:color w:val="222222"/>
          <w:shd w:val="clear" w:color="auto" w:fill="FFFFFF"/>
        </w:rPr>
        <w:t>,</w:t>
      </w:r>
      <w:r w:rsidR="00B4364F">
        <w:rPr>
          <w:color w:val="222222"/>
          <w:shd w:val="clear" w:color="auto" w:fill="FFFFFF"/>
        </w:rPr>
        <w:t xml:space="preserve"> 30% </w:t>
      </w:r>
      <w:r w:rsidR="00B4364F" w:rsidRPr="009500A4">
        <w:rPr>
          <w:color w:val="222222"/>
          <w:shd w:val="clear" w:color="auto" w:fill="FFFFFF"/>
        </w:rPr>
        <w:t>w/v sucrose in</w:t>
      </w:r>
      <w:r w:rsidR="00B4364F">
        <w:rPr>
          <w:color w:val="222222"/>
          <w:shd w:val="clear" w:color="auto" w:fill="FFFFFF"/>
        </w:rPr>
        <w:t xml:space="preserve"> PBS) and frozen at -20</w:t>
      </w:r>
      <w:r w:rsidR="00B4364F">
        <w:rPr>
          <w:rFonts w:ascii="Symbol" w:eastAsia="Symbol" w:hAnsi="Symbol" w:cs="Symbol"/>
          <w:color w:val="222222"/>
          <w:shd w:val="clear" w:color="auto" w:fill="FFFFFF"/>
        </w:rPr>
        <w:t>°</w:t>
      </w:r>
      <w:r w:rsidR="00B4364F">
        <w:rPr>
          <w:color w:val="222222"/>
          <w:shd w:val="clear" w:color="auto" w:fill="FFFFFF"/>
        </w:rPr>
        <w:t xml:space="preserve">C until processing for EM. </w:t>
      </w:r>
    </w:p>
    <w:p w14:paraId="2FF394BC" w14:textId="77777777" w:rsidR="00B4364F" w:rsidRPr="00B4364F" w:rsidRDefault="00B4364F" w:rsidP="0075277F">
      <w:pPr>
        <w:spacing w:line="480" w:lineRule="auto"/>
        <w:rPr>
          <w:i/>
          <w:iCs/>
          <w:lang w:eastAsia="fr-CA"/>
        </w:rPr>
      </w:pPr>
      <w:r w:rsidRPr="00B4364F">
        <w:rPr>
          <w:i/>
          <w:iCs/>
          <w:lang w:eastAsia="fr-CA"/>
        </w:rPr>
        <w:t>Preparation for EM</w:t>
      </w:r>
    </w:p>
    <w:p w14:paraId="2E9DB90E" w14:textId="79F37876" w:rsidR="00B4364F" w:rsidRPr="0045613C" w:rsidRDefault="00B4364F" w:rsidP="0075277F">
      <w:pPr>
        <w:spacing w:line="480" w:lineRule="auto"/>
        <w:ind w:firstLine="720"/>
        <w:jc w:val="both"/>
        <w:rPr>
          <w:lang w:eastAsia="fr-CA"/>
        </w:rPr>
      </w:pPr>
      <w:r>
        <w:rPr>
          <w:lang w:eastAsia="fr-CA"/>
        </w:rPr>
        <w:t>Free-floating s</w:t>
      </w:r>
      <w:r w:rsidRPr="0045613C">
        <w:rPr>
          <w:lang w:eastAsia="fr-CA"/>
        </w:rPr>
        <w:t xml:space="preserve">ections containing the </w:t>
      </w:r>
      <w:r>
        <w:rPr>
          <w:lang w:eastAsia="fr-CA"/>
        </w:rPr>
        <w:t>ROI</w:t>
      </w:r>
      <w:r w:rsidRPr="0045613C">
        <w:rPr>
          <w:lang w:eastAsia="fr-CA"/>
        </w:rPr>
        <w:t xml:space="preserve"> </w:t>
      </w:r>
      <w:r>
        <w:rPr>
          <w:lang w:eastAsia="fr-CA"/>
        </w:rPr>
        <w:t xml:space="preserve">underwent heavy-metal incubation for visualization via electron microscopy as previously described </w:t>
      </w:r>
      <w:r>
        <w:rPr>
          <w:lang w:eastAsia="fr-CA"/>
        </w:rPr>
        <w:fldChar w:fldCharType="begin"/>
      </w:r>
      <w:r>
        <w:rPr>
          <w:lang w:eastAsia="fr-CA"/>
        </w:rPr>
        <w:instrText xml:space="preserve"> ADDIN ZOTERO_ITEM CSL_CITATION {"citationID":"bGAwtEub","properties":{"unsorted":false,"formattedCitation":"(St-Pierre et al., 2022)","plainCitation":"(St-Pierre et al., 2022)","noteIndex":0},"citationItems":[{"id":1748,"uris":["http://zotero.org/users/local/gsth8qRl/items/MFRPC6X4"],"itemData":{"id":1748,"type":"article-journal","abstract":"In recent decades, microglia have taken the field of neuroscience by storm, with numerous studies identifying key roles for these cells in the pathophysiology of neurodegenerative conditions, such as Alzheimer's disease (AD). The heterogeneity of these cells (e.g., the presence of various subtypes like the disease-associated microglia, microglia associated with neurodegeneration, dark microglia, lipid droplet-accumulating microglia), and their ultrastructural alterations arising from environmental challenges have become a central focus of recent studies. Dark microglia are electron-dense cells defined by their ultrastructural markers of cellular stress using electron microscopy (EM). In this protocol, we first describe the steps required for proper brain tissue preparation for EM experiments. Ultrastructural analysis of microglia and neurons/synapses in AD mouse models is also detailed, using transmission or scanning EM. We next explain how to characterize several ultrastructural markers of cellular stress, dystrophy or degeneration, in microglia and neurons/synapses, with relation to amyloid beta plaques.","container-title":"Methods in Molecular Biology","DOI":"10.1007/978-1-0716-2409-8_3","ISSN":"1940-6029","journalAbbreviation":"Methods Mol Biol","language":"eng","page":"29-58","PMID":"35776344","publisher-place":"Clifton, N.J.","source":"PubMed","title":"Investigating Microglial Ultrastructural Alterations and Intimate Relationships with Neuronal Stress, Dystrophy, and Degeneration in Mouse Models of Alzheimer's Disease","volume":"2515","author":[{"family":"St-Pierre","given":"Marie-Kim"},{"family":"Carrier","given":"Micaël"},{"family":"Lau","given":"Victor"},{"family":"Tremblay","given":"Marie-Ève"}],"issued":{"date-parts":[["2022"]]}}}],"schema":"https://github.com/citation-style-language/schema/raw/master/csl-citation.json"} </w:instrText>
      </w:r>
      <w:r>
        <w:rPr>
          <w:lang w:eastAsia="fr-CA"/>
        </w:rPr>
        <w:fldChar w:fldCharType="separate"/>
      </w:r>
      <w:r>
        <w:rPr>
          <w:kern w:val="0"/>
        </w:rPr>
        <w:t>(St-Pierre et al., 2022)</w:t>
      </w:r>
      <w:r>
        <w:rPr>
          <w:lang w:eastAsia="fr-CA"/>
        </w:rPr>
        <w:fldChar w:fldCharType="end"/>
      </w:r>
      <w:r>
        <w:rPr>
          <w:lang w:eastAsia="fr-CA"/>
        </w:rPr>
        <w:t>. Briefly, sections were washed with phosphate buffer (PB) and then incubated in 2% osmium tetroxide (EMS #19190) and 1.5% potassium ferrocyanide (Sigma Aldrich Canada #P9387) diluted in PB for 1</w:t>
      </w:r>
      <w:r w:rsidR="00E87EC1">
        <w:rPr>
          <w:lang w:eastAsia="fr-CA"/>
        </w:rPr>
        <w:t xml:space="preserve"> </w:t>
      </w:r>
      <w:r>
        <w:rPr>
          <w:lang w:eastAsia="fr-CA"/>
        </w:rPr>
        <w:t xml:space="preserve">h at RT. Tissue was washed with 100% PB, 50:50 </w:t>
      </w:r>
      <w:proofErr w:type="gramStart"/>
      <w:r>
        <w:rPr>
          <w:lang w:eastAsia="fr-CA"/>
        </w:rPr>
        <w:t>PB:ddH</w:t>
      </w:r>
      <w:proofErr w:type="gramEnd"/>
      <w:r>
        <w:rPr>
          <w:lang w:eastAsia="fr-CA"/>
        </w:rPr>
        <w:t xml:space="preserve">2O (double distilled water), and 100% ddH2O. Next, sections were incubated in filtered 1% </w:t>
      </w:r>
      <w:proofErr w:type="spellStart"/>
      <w:r>
        <w:rPr>
          <w:lang w:eastAsia="fr-CA"/>
        </w:rPr>
        <w:t>thiocarbohydrazide</w:t>
      </w:r>
      <w:proofErr w:type="spellEnd"/>
      <w:r>
        <w:rPr>
          <w:lang w:eastAsia="fr-CA"/>
        </w:rPr>
        <w:t xml:space="preserve"> (Sigma Aldrich Canada #223220) in ddH2O for 20 min at RT. </w:t>
      </w:r>
      <w:r w:rsidR="00124AA4">
        <w:rPr>
          <w:lang w:eastAsia="fr-CA"/>
        </w:rPr>
        <w:t xml:space="preserve">The tissue was washed with ddH2O and then </w:t>
      </w:r>
      <w:r w:rsidR="00124AA4">
        <w:rPr>
          <w:lang w:eastAsia="fr-CA"/>
        </w:rPr>
        <w:lastRenderedPageBreak/>
        <w:t>incubated in 2% osmium tetroxide in ddH2O for 30 min</w:t>
      </w:r>
      <w:r>
        <w:rPr>
          <w:lang w:eastAsia="fr-CA"/>
        </w:rPr>
        <w:t xml:space="preserve"> at RT. Next, the tissue was gradually dehydrated using ethanol (35% x 2, 50%, 70%, 80%, 90%, 100% x 3), then 100% </w:t>
      </w:r>
      <w:r w:rsidR="00124AA4">
        <w:rPr>
          <w:lang w:eastAsia="fr-CA"/>
        </w:rPr>
        <w:t>propylene oxide (Sigma Aldrich Canada #110205) for 5 min</w:t>
      </w:r>
      <w:r>
        <w:rPr>
          <w:lang w:eastAsia="fr-CA"/>
        </w:rPr>
        <w:t xml:space="preserve"> each at RT. Tissue underwent infiltration with </w:t>
      </w:r>
      <w:proofErr w:type="spellStart"/>
      <w:r>
        <w:rPr>
          <w:lang w:eastAsia="fr-CA"/>
        </w:rPr>
        <w:t>Durcupan</w:t>
      </w:r>
      <w:r w:rsidRPr="009006F4">
        <w:rPr>
          <w:vertAlign w:val="superscript"/>
          <w:lang w:eastAsia="fr-CA"/>
        </w:rPr>
        <w:t>TM</w:t>
      </w:r>
      <w:proofErr w:type="spellEnd"/>
      <w:r>
        <w:rPr>
          <w:lang w:eastAsia="fr-CA"/>
        </w:rPr>
        <w:t xml:space="preserve"> ACM resin (</w:t>
      </w:r>
      <w:r w:rsidR="00913ED2">
        <w:rPr>
          <w:lang w:eastAsia="fr-CA"/>
        </w:rPr>
        <w:t>EMS, cat# 14040</w:t>
      </w:r>
      <w:r>
        <w:rPr>
          <w:lang w:eastAsia="fr-CA"/>
        </w:rPr>
        <w:t xml:space="preserve">) overnight at RT. The next day, tissue was flat-embedded in resin between fluoropolymer film (EMS #50425-25) and polymerized for 3 days at 55°C. </w:t>
      </w:r>
    </w:p>
    <w:p w14:paraId="365ACA49" w14:textId="77777777" w:rsidR="00B4364F" w:rsidRPr="00B4364F" w:rsidRDefault="00B4364F" w:rsidP="0075277F">
      <w:pPr>
        <w:spacing w:line="480" w:lineRule="auto"/>
        <w:rPr>
          <w:i/>
          <w:iCs/>
          <w:lang w:eastAsia="fr-CA"/>
        </w:rPr>
      </w:pPr>
      <w:r w:rsidRPr="00B4364F">
        <w:rPr>
          <w:i/>
          <w:iCs/>
          <w:lang w:eastAsia="fr-CA"/>
        </w:rPr>
        <w:t xml:space="preserve">Focused Ion Beam-Scanning Electron Microscopy (FIB-SEM) </w:t>
      </w:r>
    </w:p>
    <w:p w14:paraId="540F1821" w14:textId="0D516DB6" w:rsidR="00B4364F" w:rsidRDefault="00B4364F" w:rsidP="0075277F">
      <w:pPr>
        <w:spacing w:line="480" w:lineRule="auto"/>
        <w:ind w:firstLine="720"/>
        <w:jc w:val="both"/>
        <w:rPr>
          <w:lang w:eastAsia="fr-CA"/>
        </w:rPr>
      </w:pPr>
      <w:r>
        <w:rPr>
          <w:lang w:eastAsia="fr-CA"/>
        </w:rPr>
        <w:t>The region of interest was</w:t>
      </w:r>
      <w:r w:rsidRPr="0045613C">
        <w:rPr>
          <w:lang w:eastAsia="fr-CA"/>
        </w:rPr>
        <w:t xml:space="preserve"> </w:t>
      </w:r>
      <w:r>
        <w:rPr>
          <w:lang w:eastAsia="fr-CA"/>
        </w:rPr>
        <w:t>excised from ACLAR sheets and glued</w:t>
      </w:r>
      <w:r w:rsidRPr="0045613C">
        <w:rPr>
          <w:lang w:eastAsia="fr-CA"/>
        </w:rPr>
        <w:t xml:space="preserve"> </w:t>
      </w:r>
      <w:r>
        <w:rPr>
          <w:lang w:eastAsia="fr-CA"/>
        </w:rPr>
        <w:t>to</w:t>
      </w:r>
      <w:r w:rsidRPr="0045613C">
        <w:rPr>
          <w:lang w:eastAsia="fr-CA"/>
        </w:rPr>
        <w:t xml:space="preserve"> a </w:t>
      </w:r>
      <w:r>
        <w:rPr>
          <w:lang w:eastAsia="fr-CA"/>
        </w:rPr>
        <w:t>separate</w:t>
      </w:r>
      <w:r w:rsidRPr="0045613C">
        <w:rPr>
          <w:lang w:eastAsia="fr-CA"/>
        </w:rPr>
        <w:t xml:space="preserve"> resin block. Using an ultramicrotome (Leica Artos 3D) and a </w:t>
      </w:r>
      <w:r>
        <w:rPr>
          <w:lang w:eastAsia="fr-CA"/>
        </w:rPr>
        <w:t xml:space="preserve">90° </w:t>
      </w:r>
      <w:r w:rsidRPr="0045613C">
        <w:rPr>
          <w:lang w:eastAsia="fr-CA"/>
        </w:rPr>
        <w:t>diamond trimming tool (</w:t>
      </w:r>
      <w:proofErr w:type="spellStart"/>
      <w:r w:rsidRPr="0045613C">
        <w:rPr>
          <w:lang w:eastAsia="fr-CA"/>
        </w:rPr>
        <w:t>Diatome</w:t>
      </w:r>
      <w:proofErr w:type="spellEnd"/>
      <w:r>
        <w:rPr>
          <w:lang w:eastAsia="fr-CA"/>
        </w:rPr>
        <w:t xml:space="preserve"> #</w:t>
      </w:r>
      <w:r w:rsidRPr="009006F4">
        <w:rPr>
          <w:lang w:eastAsia="fr-CA"/>
        </w:rPr>
        <w:t>TT-90</w:t>
      </w:r>
      <w:r w:rsidRPr="0045613C">
        <w:rPr>
          <w:lang w:eastAsia="fr-CA"/>
        </w:rPr>
        <w:t xml:space="preserve">), </w:t>
      </w:r>
      <w:r>
        <w:rPr>
          <w:lang w:eastAsia="fr-CA"/>
        </w:rPr>
        <w:t xml:space="preserve">the tissue surface was exposed and polished, and a 90° trench was created across the </w:t>
      </w:r>
      <w:r w:rsidRPr="0045613C">
        <w:rPr>
          <w:lang w:eastAsia="fr-CA"/>
        </w:rPr>
        <w:t>bas</w:t>
      </w:r>
      <w:r w:rsidR="005F1344">
        <w:rPr>
          <w:lang w:eastAsia="fr-CA"/>
        </w:rPr>
        <w:t>o</w:t>
      </w:r>
      <w:r w:rsidRPr="0045613C">
        <w:rPr>
          <w:lang w:eastAsia="fr-CA"/>
        </w:rPr>
        <w:t>lateral amygdala. Next, the block was trimmed and glued onto an aluminum stub using CCC carbon adhesive paint (EMS</w:t>
      </w:r>
      <w:r>
        <w:rPr>
          <w:lang w:eastAsia="fr-CA"/>
        </w:rPr>
        <w:t xml:space="preserve"> #</w:t>
      </w:r>
      <w:r w:rsidRPr="009006F4">
        <w:rPr>
          <w:lang w:eastAsia="fr-CA"/>
        </w:rPr>
        <w:t>12664</w:t>
      </w:r>
      <w:r w:rsidRPr="0045613C">
        <w:rPr>
          <w:lang w:eastAsia="fr-CA"/>
        </w:rPr>
        <w:t xml:space="preserve">). Using a sputter coater (Leica EM ACE600), the sample was coated with </w:t>
      </w:r>
      <w:r w:rsidR="007D052B">
        <w:rPr>
          <w:lang w:eastAsia="fr-CA"/>
        </w:rPr>
        <w:t>~</w:t>
      </w:r>
      <w:r w:rsidRPr="0045613C">
        <w:rPr>
          <w:lang w:eastAsia="fr-CA"/>
        </w:rPr>
        <w:t>3</w:t>
      </w:r>
      <w:r w:rsidR="007D052B">
        <w:rPr>
          <w:lang w:eastAsia="fr-CA"/>
        </w:rPr>
        <w:t>0</w:t>
      </w:r>
      <w:r>
        <w:rPr>
          <w:lang w:eastAsia="fr-CA"/>
        </w:rPr>
        <w:t xml:space="preserve"> </w:t>
      </w:r>
      <w:r w:rsidRPr="0045613C">
        <w:rPr>
          <w:lang w:eastAsia="fr-CA"/>
        </w:rPr>
        <w:t xml:space="preserve">nm of </w:t>
      </w:r>
      <w:r w:rsidR="007D052B">
        <w:rPr>
          <w:lang w:eastAsia="fr-CA"/>
        </w:rPr>
        <w:t>gold-palladium</w:t>
      </w:r>
      <w:r w:rsidR="007D052B" w:rsidRPr="0045613C">
        <w:rPr>
          <w:lang w:eastAsia="fr-CA"/>
        </w:rPr>
        <w:t xml:space="preserve"> </w:t>
      </w:r>
      <w:r w:rsidRPr="0045613C">
        <w:rPr>
          <w:lang w:eastAsia="fr-CA"/>
        </w:rPr>
        <w:t>and loaded into a focused ion beam-scanning electron microscope (FIB</w:t>
      </w:r>
      <w:r w:rsidR="005F1344">
        <w:rPr>
          <w:lang w:eastAsia="fr-CA"/>
        </w:rPr>
        <w:t>-</w:t>
      </w:r>
      <w:r w:rsidRPr="0045613C">
        <w:rPr>
          <w:lang w:eastAsia="fr-CA"/>
        </w:rPr>
        <w:t xml:space="preserve">SEM; Zeiss Crossbeam 350). The region of interest was identified using the 90° trench and other landmarks displaying proximity to </w:t>
      </w:r>
      <w:r>
        <w:rPr>
          <w:lang w:eastAsia="fr-CA"/>
        </w:rPr>
        <w:t xml:space="preserve">the </w:t>
      </w:r>
      <w:r w:rsidRPr="0045613C">
        <w:rPr>
          <w:lang w:eastAsia="fr-CA"/>
        </w:rPr>
        <w:t xml:space="preserve">lateral ventricle. </w:t>
      </w:r>
      <w:proofErr w:type="spellStart"/>
      <w:r w:rsidRPr="0045613C">
        <w:rPr>
          <w:lang w:eastAsia="fr-CA"/>
        </w:rPr>
        <w:t>SmartFIB</w:t>
      </w:r>
      <w:proofErr w:type="spellEnd"/>
      <w:r w:rsidRPr="0045613C">
        <w:rPr>
          <w:lang w:eastAsia="fr-CA"/>
        </w:rPr>
        <w:t xml:space="preserve"> (Zeiss) and ATLAS Engine 5 software (</w:t>
      </w:r>
      <w:proofErr w:type="spellStart"/>
      <w:r w:rsidRPr="0045613C">
        <w:rPr>
          <w:lang w:eastAsia="fr-CA"/>
        </w:rPr>
        <w:t>Fibics</w:t>
      </w:r>
      <w:proofErr w:type="spellEnd"/>
      <w:r w:rsidRPr="0045613C">
        <w:rPr>
          <w:lang w:eastAsia="fr-CA"/>
        </w:rPr>
        <w:t xml:space="preserve">) were used to </w:t>
      </w:r>
      <w:r>
        <w:rPr>
          <w:lang w:eastAsia="fr-CA"/>
        </w:rPr>
        <w:t>perform</w:t>
      </w:r>
      <w:r w:rsidRPr="0045613C">
        <w:rPr>
          <w:lang w:eastAsia="fr-CA"/>
        </w:rPr>
        <w:t xml:space="preserve"> </w:t>
      </w:r>
      <w:r>
        <w:rPr>
          <w:lang w:eastAsia="fr-CA"/>
        </w:rPr>
        <w:t>FIB</w:t>
      </w:r>
      <w:r w:rsidR="005F1344">
        <w:rPr>
          <w:lang w:eastAsia="fr-CA"/>
        </w:rPr>
        <w:t>-</w:t>
      </w:r>
      <w:r>
        <w:rPr>
          <w:lang w:eastAsia="fr-CA"/>
        </w:rPr>
        <w:t xml:space="preserve">SEM </w:t>
      </w:r>
      <w:r w:rsidRPr="0045613C">
        <w:rPr>
          <w:lang w:eastAsia="fr-CA"/>
        </w:rPr>
        <w:t xml:space="preserve">sample preparation and </w:t>
      </w:r>
      <w:r>
        <w:rPr>
          <w:lang w:eastAsia="fr-CA"/>
        </w:rPr>
        <w:t xml:space="preserve">acquire </w:t>
      </w:r>
      <w:r w:rsidR="00124AA4">
        <w:rPr>
          <w:lang w:eastAsia="fr-CA"/>
        </w:rPr>
        <w:t xml:space="preserve">a </w:t>
      </w:r>
      <w:r w:rsidRPr="0045613C">
        <w:rPr>
          <w:lang w:eastAsia="fr-CA"/>
        </w:rPr>
        <w:t xml:space="preserve">volume image. Briefly, the precise region of interest was identified, and the FIB-facing surface was protected with </w:t>
      </w:r>
      <w:r>
        <w:rPr>
          <w:lang w:eastAsia="fr-CA"/>
        </w:rPr>
        <w:t xml:space="preserve">a </w:t>
      </w:r>
      <w:r w:rsidRPr="0045613C">
        <w:rPr>
          <w:lang w:eastAsia="fr-CA"/>
        </w:rPr>
        <w:t>30</w:t>
      </w:r>
      <w:r>
        <w:rPr>
          <w:lang w:eastAsia="fr-CA"/>
        </w:rPr>
        <w:t xml:space="preserve"> </w:t>
      </w:r>
      <w:r w:rsidRPr="0045613C">
        <w:rPr>
          <w:lang w:eastAsia="fr-CA"/>
        </w:rPr>
        <w:t>µm x 30</w:t>
      </w:r>
      <w:r>
        <w:rPr>
          <w:lang w:eastAsia="fr-CA"/>
        </w:rPr>
        <w:t xml:space="preserve"> </w:t>
      </w:r>
      <w:r w:rsidRPr="0045613C">
        <w:rPr>
          <w:lang w:eastAsia="fr-CA"/>
        </w:rPr>
        <w:t xml:space="preserve">µm platinum pad. </w:t>
      </w:r>
      <w:r>
        <w:rPr>
          <w:lang w:eastAsia="fr-CA"/>
        </w:rPr>
        <w:t>After exposing and polishing the imaging surface</w:t>
      </w:r>
      <w:r w:rsidRPr="0045613C">
        <w:rPr>
          <w:lang w:eastAsia="fr-CA"/>
        </w:rPr>
        <w:t>, a 15</w:t>
      </w:r>
      <w:r>
        <w:rPr>
          <w:lang w:eastAsia="fr-CA"/>
        </w:rPr>
        <w:t xml:space="preserve"> </w:t>
      </w:r>
      <w:r w:rsidRPr="0045613C">
        <w:rPr>
          <w:lang w:eastAsia="fr-CA"/>
        </w:rPr>
        <w:t>µm x 15</w:t>
      </w:r>
      <w:r>
        <w:rPr>
          <w:lang w:eastAsia="fr-CA"/>
        </w:rPr>
        <w:t xml:space="preserve"> </w:t>
      </w:r>
      <w:r w:rsidRPr="0045613C">
        <w:rPr>
          <w:lang w:eastAsia="fr-CA"/>
        </w:rPr>
        <w:t xml:space="preserve">µm ROI was imaged at 5 nm resolution in </w:t>
      </w:r>
      <w:r>
        <w:rPr>
          <w:lang w:eastAsia="fr-CA"/>
        </w:rPr>
        <w:t xml:space="preserve">the </w:t>
      </w:r>
      <w:r w:rsidRPr="0045613C">
        <w:rPr>
          <w:lang w:eastAsia="fr-CA"/>
        </w:rPr>
        <w:t>x</w:t>
      </w:r>
      <w:r>
        <w:rPr>
          <w:lang w:eastAsia="fr-CA"/>
        </w:rPr>
        <w:t xml:space="preserve"> </w:t>
      </w:r>
      <w:r w:rsidRPr="0045613C">
        <w:rPr>
          <w:lang w:eastAsia="fr-CA"/>
        </w:rPr>
        <w:t>and</w:t>
      </w:r>
      <w:r>
        <w:rPr>
          <w:lang w:eastAsia="fr-CA"/>
        </w:rPr>
        <w:t xml:space="preserve"> </w:t>
      </w:r>
      <w:r w:rsidRPr="0045613C">
        <w:rPr>
          <w:lang w:eastAsia="fr-CA"/>
        </w:rPr>
        <w:t xml:space="preserve">y directions using the SE2 detector and </w:t>
      </w:r>
      <w:r w:rsidR="00124AA4">
        <w:rPr>
          <w:lang w:eastAsia="fr-CA"/>
        </w:rPr>
        <w:t>an SEM voltage of</w:t>
      </w:r>
      <w:r w:rsidRPr="0045613C">
        <w:rPr>
          <w:lang w:eastAsia="fr-CA"/>
        </w:rPr>
        <w:t xml:space="preserve"> 1.4 kV. Milling was performed </w:t>
      </w:r>
      <w:r w:rsidR="007D052B">
        <w:rPr>
          <w:lang w:eastAsia="fr-CA"/>
        </w:rPr>
        <w:t>for a minimum of 15 µm</w:t>
      </w:r>
      <w:r w:rsidR="007D052B" w:rsidRPr="0045613C">
        <w:rPr>
          <w:lang w:eastAsia="fr-CA"/>
        </w:rPr>
        <w:t xml:space="preserve"> </w:t>
      </w:r>
      <w:r w:rsidRPr="0045613C">
        <w:rPr>
          <w:lang w:eastAsia="fr-CA"/>
        </w:rPr>
        <w:t>at 20</w:t>
      </w:r>
      <w:r>
        <w:rPr>
          <w:lang w:eastAsia="fr-CA"/>
        </w:rPr>
        <w:t xml:space="preserve"> </w:t>
      </w:r>
      <w:r w:rsidRPr="0045613C">
        <w:rPr>
          <w:lang w:eastAsia="fr-CA"/>
        </w:rPr>
        <w:t xml:space="preserve">nm steps in </w:t>
      </w:r>
      <w:r>
        <w:rPr>
          <w:lang w:eastAsia="fr-CA"/>
        </w:rPr>
        <w:t xml:space="preserve">the </w:t>
      </w:r>
      <w:r w:rsidRPr="0045613C">
        <w:rPr>
          <w:lang w:eastAsia="fr-CA"/>
        </w:rPr>
        <w:t>z</w:t>
      </w:r>
      <w:r>
        <w:rPr>
          <w:lang w:eastAsia="fr-CA"/>
        </w:rPr>
        <w:t xml:space="preserve"> </w:t>
      </w:r>
      <w:r w:rsidRPr="0045613C">
        <w:rPr>
          <w:lang w:eastAsia="fr-CA"/>
        </w:rPr>
        <w:t xml:space="preserve">direction using the </w:t>
      </w:r>
      <w:r w:rsidR="007D052B">
        <w:rPr>
          <w:lang w:eastAsia="fr-CA"/>
        </w:rPr>
        <w:t>30kV:1.5pA FIB probe</w:t>
      </w:r>
      <w:r w:rsidRPr="0045613C">
        <w:rPr>
          <w:lang w:eastAsia="fr-CA"/>
        </w:rPr>
        <w:t xml:space="preserve">. </w:t>
      </w:r>
      <w:r>
        <w:rPr>
          <w:lang w:eastAsia="fr-CA"/>
        </w:rPr>
        <w:t xml:space="preserve">Final volumes ranged from </w:t>
      </w:r>
      <w:r w:rsidRPr="001F3C57">
        <w:rPr>
          <w:lang w:eastAsia="fr-CA"/>
        </w:rPr>
        <w:t>3,379.5</w:t>
      </w:r>
      <w:r>
        <w:rPr>
          <w:lang w:eastAsia="fr-CA"/>
        </w:rPr>
        <w:t xml:space="preserve"> to </w:t>
      </w:r>
      <w:r w:rsidRPr="001F3C57">
        <w:rPr>
          <w:lang w:eastAsia="fr-CA"/>
        </w:rPr>
        <w:t xml:space="preserve">5,503.5 </w:t>
      </w:r>
      <w:r>
        <w:rPr>
          <w:lang w:eastAsia="fr-CA"/>
        </w:rPr>
        <w:t>µm</w:t>
      </w:r>
      <w:r>
        <w:rPr>
          <w:vertAlign w:val="superscript"/>
          <w:lang w:eastAsia="fr-CA"/>
        </w:rPr>
        <w:t>3</w:t>
      </w:r>
      <w:r>
        <w:rPr>
          <w:lang w:eastAsia="fr-CA"/>
        </w:rPr>
        <w:t xml:space="preserve">. </w:t>
      </w:r>
      <w:r w:rsidRPr="0045613C">
        <w:rPr>
          <w:lang w:eastAsia="fr-CA"/>
        </w:rPr>
        <w:t xml:space="preserve">Image stacks were aligned </w:t>
      </w:r>
      <w:r w:rsidR="00EB222B">
        <w:rPr>
          <w:lang w:eastAsia="fr-CA"/>
        </w:rPr>
        <w:t xml:space="preserve">using the contrast method on ATLAS Engine 5 </w:t>
      </w:r>
      <w:r w:rsidRPr="0045613C">
        <w:rPr>
          <w:lang w:eastAsia="fr-CA"/>
        </w:rPr>
        <w:t xml:space="preserve">and exported as TIFs. </w:t>
      </w:r>
    </w:p>
    <w:p w14:paraId="376D642E" w14:textId="77777777" w:rsidR="00B4364F" w:rsidRPr="00B4364F" w:rsidRDefault="00B4364F" w:rsidP="0075277F">
      <w:pPr>
        <w:spacing w:line="480" w:lineRule="auto"/>
        <w:rPr>
          <w:i/>
          <w:iCs/>
          <w:lang w:eastAsia="fr-CA"/>
        </w:rPr>
      </w:pPr>
      <w:r w:rsidRPr="00B4364F">
        <w:rPr>
          <w:i/>
          <w:iCs/>
          <w:lang w:eastAsia="fr-CA"/>
        </w:rPr>
        <w:lastRenderedPageBreak/>
        <w:t>Dendrite Segmentation and Spine Identification</w:t>
      </w:r>
    </w:p>
    <w:p w14:paraId="7AA9056F" w14:textId="265B3D39" w:rsidR="00B4364F" w:rsidRPr="0045613C" w:rsidRDefault="00B4364F" w:rsidP="0075277F">
      <w:pPr>
        <w:spacing w:line="480" w:lineRule="auto"/>
        <w:ind w:firstLine="720"/>
        <w:jc w:val="both"/>
        <w:rPr>
          <w:lang w:eastAsia="fr-CA"/>
        </w:rPr>
      </w:pPr>
      <w:r w:rsidRPr="0045613C">
        <w:rPr>
          <w:lang w:eastAsia="fr-CA"/>
        </w:rPr>
        <w:t xml:space="preserve">Using </w:t>
      </w:r>
      <w:bookmarkStart w:id="0" w:name="_Hlk233204773"/>
      <w:proofErr w:type="spellStart"/>
      <w:r w:rsidRPr="0045613C">
        <w:rPr>
          <w:lang w:eastAsia="fr-CA"/>
        </w:rPr>
        <w:t>WebKnossos</w:t>
      </w:r>
      <w:bookmarkEnd w:id="0"/>
      <w:proofErr w:type="spellEnd"/>
      <w:r>
        <w:rPr>
          <w:lang w:eastAsia="fr-CA"/>
        </w:rPr>
        <w:t xml:space="preserve"> </w:t>
      </w:r>
      <w:r>
        <w:rPr>
          <w:lang w:eastAsia="fr-CA"/>
        </w:rPr>
        <w:fldChar w:fldCharType="begin"/>
      </w:r>
      <w:r>
        <w:rPr>
          <w:lang w:eastAsia="fr-CA"/>
        </w:rPr>
        <w:instrText xml:space="preserve"> ADDIN ZOTERO_ITEM CSL_CITATION {"citationID":"7a5lJged","properties":{"unsorted":false,"formattedCitation":"(Boergens et al., 2017)","plainCitation":"(Boergens et al., 2017)","noteIndex":0},"citationItems":[{"id":2345,"uris":["http://zotero.org/users/local/gsth8qRl/items/3AEQZ2HB"],"itemData":{"id":2345,"type":"article-journal","abstract":"webKnossos is a browser-based tracing and annotation tool for 3D electron microscopy data sets that is optimized for seamless data viewing. The tool’s flight-mode view facilitates fast neurite tracing because of its egocentric viewpoint.","container-title":"Nature Methods","DOI":"10.1038/nmeth.4331","ISSN":"1548-7105","issue":"7","journalAbbreviation":"Nat Methods","language":"en","license":"2017 Springer Nature America, Inc.","page":"691-694","publisher":"Nature Publishing Group","source":"www.nature.com","title":"webKnossos: efficient online 3D data annotation for connectomics","title-short":"webKnossos","volume":"14","author":[{"family":"Boergens","given":"Kevin M."},{"family":"Berning","given":"Manuel"},{"family":"Bocklisch","given":"Tom"},{"family":"Bräunlein","given":"Dominic"},{"family":"Drawitsch","given":"Florian"},{"family":"Frohnhofen","given":"Johannes"},{"family":"Herold","given":"Tom"},{"family":"Otto","given":"Philipp"},{"family":"Rzepka","given":"Norman"},{"family":"Werkmeister","given":"Thomas"},{"family":"Werner","given":"Daniel"},{"family":"Wiese","given":"Georg"},{"family":"Wissler","given":"Heiko"},{"family":"Helmstaedter","given":"Moritz"}],"issued":{"date-parts":[["2017",7]]}}}],"schema":"https://github.com/citation-style-language/schema/raw/master/csl-citation.json"} </w:instrText>
      </w:r>
      <w:r>
        <w:rPr>
          <w:lang w:eastAsia="fr-CA"/>
        </w:rPr>
        <w:fldChar w:fldCharType="separate"/>
      </w:r>
      <w:r>
        <w:rPr>
          <w:noProof/>
          <w:lang w:eastAsia="fr-CA"/>
        </w:rPr>
        <w:t>(Boergens et al., 2017)</w:t>
      </w:r>
      <w:r>
        <w:rPr>
          <w:lang w:eastAsia="fr-CA"/>
        </w:rPr>
        <w:fldChar w:fldCharType="end"/>
      </w:r>
      <w:r w:rsidRPr="0045613C">
        <w:rPr>
          <w:lang w:eastAsia="fr-CA"/>
        </w:rPr>
        <w:t xml:space="preserve">, de-identified TIF stacks underwent unsupervised segmentation. Next, dendrites were randomly selected. The dendrites </w:t>
      </w:r>
      <w:r>
        <w:rPr>
          <w:lang w:eastAsia="fr-CA"/>
        </w:rPr>
        <w:t>were subjected</w:t>
      </w:r>
      <w:r w:rsidRPr="0045613C">
        <w:rPr>
          <w:lang w:eastAsia="fr-CA"/>
        </w:rPr>
        <w:t xml:space="preserve"> </w:t>
      </w:r>
      <w:r>
        <w:rPr>
          <w:lang w:eastAsia="fr-CA"/>
        </w:rPr>
        <w:t>to</w:t>
      </w:r>
      <w:r w:rsidRPr="0045613C">
        <w:rPr>
          <w:lang w:eastAsia="fr-CA"/>
        </w:rPr>
        <w:t xml:space="preserve"> analysis if they met the following criteria: (1) contained at least 1 spine, (2) </w:t>
      </w:r>
      <w:r w:rsidR="00124AA4">
        <w:rPr>
          <w:lang w:eastAsia="fr-CA"/>
        </w:rPr>
        <w:t xml:space="preserve">were </w:t>
      </w:r>
      <w:r w:rsidRPr="0045613C">
        <w:rPr>
          <w:lang w:eastAsia="fr-CA"/>
        </w:rPr>
        <w:t xml:space="preserve">continuous through the entire stack in any direction, (3) did not branch, (4) were not contacting </w:t>
      </w:r>
      <w:r>
        <w:rPr>
          <w:lang w:eastAsia="fr-CA"/>
        </w:rPr>
        <w:t xml:space="preserve">other </w:t>
      </w:r>
      <w:r w:rsidRPr="0045613C">
        <w:rPr>
          <w:lang w:eastAsia="fr-CA"/>
        </w:rPr>
        <w:t>large neural structures (e.g.,</w:t>
      </w:r>
      <w:r>
        <w:rPr>
          <w:lang w:eastAsia="fr-CA"/>
        </w:rPr>
        <w:t xml:space="preserve"> cell</w:t>
      </w:r>
      <w:r w:rsidRPr="0045613C">
        <w:rPr>
          <w:lang w:eastAsia="fr-CA"/>
        </w:rPr>
        <w:t xml:space="preserve"> soma, blood vessel</w:t>
      </w:r>
      <w:r>
        <w:rPr>
          <w:lang w:eastAsia="fr-CA"/>
        </w:rPr>
        <w:t xml:space="preserve"> or associated structures</w:t>
      </w:r>
      <w:r w:rsidRPr="0045613C">
        <w:rPr>
          <w:lang w:eastAsia="fr-CA"/>
        </w:rPr>
        <w:t xml:space="preserve">) that may unevenly impact the presence of spines across </w:t>
      </w:r>
      <w:r>
        <w:rPr>
          <w:lang w:eastAsia="fr-CA"/>
        </w:rPr>
        <w:t>the</w:t>
      </w:r>
      <w:r w:rsidRPr="0045613C">
        <w:rPr>
          <w:lang w:eastAsia="fr-CA"/>
        </w:rPr>
        <w:t xml:space="preserve"> dendrite. </w:t>
      </w:r>
      <w:r>
        <w:rPr>
          <w:lang w:eastAsia="fr-CA"/>
        </w:rPr>
        <w:t>Next, t</w:t>
      </w:r>
      <w:r w:rsidRPr="0045613C">
        <w:rPr>
          <w:lang w:eastAsia="fr-CA"/>
        </w:rPr>
        <w:t xml:space="preserve">he segmentation was manually corrected to ensure accuracy. Using the </w:t>
      </w:r>
      <w:r w:rsidRPr="009006F4">
        <w:rPr>
          <w:i/>
          <w:iCs/>
          <w:lang w:eastAsia="fr-CA"/>
        </w:rPr>
        <w:t>skeleton</w:t>
      </w:r>
      <w:r w:rsidRPr="0045613C">
        <w:rPr>
          <w:lang w:eastAsia="fr-CA"/>
        </w:rPr>
        <w:t xml:space="preserve"> tool, a line was drawn along the center of the dendrite to measure its length in 3D. </w:t>
      </w:r>
      <w:r>
        <w:rPr>
          <w:lang w:eastAsia="fr-CA"/>
        </w:rPr>
        <w:t xml:space="preserve">Dendrite lengths ranged from 9.8 to 19.2 µm, depending on orientation. </w:t>
      </w:r>
      <w:r w:rsidRPr="0045613C">
        <w:rPr>
          <w:lang w:eastAsia="fr-CA"/>
        </w:rPr>
        <w:t xml:space="preserve">A new skeleton was </w:t>
      </w:r>
      <w:r>
        <w:rPr>
          <w:lang w:eastAsia="fr-CA"/>
        </w:rPr>
        <w:t xml:space="preserve">constructed by placing a </w:t>
      </w:r>
      <w:r w:rsidRPr="0045613C">
        <w:rPr>
          <w:lang w:eastAsia="fr-CA"/>
        </w:rPr>
        <w:t xml:space="preserve">node on </w:t>
      </w:r>
      <w:r>
        <w:rPr>
          <w:lang w:eastAsia="fr-CA"/>
        </w:rPr>
        <w:t>each spine</w:t>
      </w:r>
      <w:r w:rsidRPr="0045613C">
        <w:rPr>
          <w:lang w:eastAsia="fr-CA"/>
        </w:rPr>
        <w:t xml:space="preserve">; thus, the total number of spines </w:t>
      </w:r>
      <w:r>
        <w:rPr>
          <w:lang w:eastAsia="fr-CA"/>
        </w:rPr>
        <w:t>was</w:t>
      </w:r>
      <w:r w:rsidRPr="0045613C">
        <w:rPr>
          <w:lang w:eastAsia="fr-CA"/>
        </w:rPr>
        <w:t xml:space="preserve"> </w:t>
      </w:r>
      <w:r>
        <w:rPr>
          <w:lang w:eastAsia="fr-CA"/>
        </w:rPr>
        <w:t>counted</w:t>
      </w:r>
      <w:r w:rsidRPr="0045613C">
        <w:rPr>
          <w:lang w:eastAsia="fr-CA"/>
        </w:rPr>
        <w:t xml:space="preserve">. </w:t>
      </w:r>
      <w:r w:rsidR="00124AA4">
        <w:rPr>
          <w:lang w:eastAsia="fr-CA"/>
        </w:rPr>
        <w:t xml:space="preserve">We observed each spine for its ultrastructural characteristics and classified it </w:t>
      </w:r>
      <w:r>
        <w:rPr>
          <w:lang w:eastAsia="fr-CA"/>
        </w:rPr>
        <w:t xml:space="preserve">as </w:t>
      </w:r>
      <w:r w:rsidRPr="0045613C">
        <w:rPr>
          <w:lang w:eastAsia="fr-CA"/>
        </w:rPr>
        <w:t xml:space="preserve">filopodia, intermediate, or mature, based on previous </w:t>
      </w:r>
      <w:r>
        <w:rPr>
          <w:lang w:eastAsia="fr-CA"/>
        </w:rPr>
        <w:t>morphological</w:t>
      </w:r>
      <w:r w:rsidRPr="0045613C">
        <w:rPr>
          <w:lang w:eastAsia="fr-CA"/>
        </w:rPr>
        <w:t xml:space="preserve"> characterizations</w:t>
      </w:r>
      <w:r>
        <w:rPr>
          <w:lang w:eastAsia="fr-CA"/>
        </w:rPr>
        <w:t xml:space="preserve"> </w:t>
      </w:r>
      <w:r>
        <w:rPr>
          <w:lang w:eastAsia="fr-CA"/>
        </w:rPr>
        <w:fldChar w:fldCharType="begin"/>
      </w:r>
      <w:r>
        <w:rPr>
          <w:lang w:eastAsia="fr-CA"/>
        </w:rPr>
        <w:instrText xml:space="preserve"> ADDIN ZOTERO_ITEM CSL_CITATION {"citationID":"MkIodAgZ","properties":{"unsorted":false,"formattedCitation":"(Berry and Nedivi, 2017)","plainCitation":"(Berry and Nedivi, 2017)","noteIndex":0},"citationItems":[{"id":1750,"uris":["http://zotero.org/users/local/gsth8qRl/items/9CTWFIBW"],"itemData":{"id":1750,"type":"article-journal","abstract":"Since Cajal's first drawings of Golgi stained neurons, generations of researchers have been fascinated by the small protrusions, termed spines, studding many neuronal dendrites. Most excitatory synapses in the mammalian CNS are located on dendritic spines, making spines convenient proxies for excitatory synaptic presence. When in vivo imaging revealed that dendritic spines are dynamic structures, their addition and elimination were interpreted as excitatory synapse gain and loss, respectively. Spine imaging has since become a popular assay for excitatory circuit remodeling. In this review, we re-evaluate the validity of using spine dynamics as a straightforward reflection of circuit rewiring. Recent studies tracking both spines and synaptic markers in vivo reveal that 20% of spines lack PSD-95 and are short lived. Although they account for most spine dynamics, their remodeling is unlikely to impact long-term network structure. We discuss distinct roles that spine dynamics can play in circuit remodeling depending on synaptic content.","container-title":"Neuron","DOI":"10.1016/j.neuron.2017.08.008","ISSN":"1097-4199","issue":"1","journalAbbreviation":"Neuron","language":"eng","page":"43-55","PMID":"28957675","PMCID":"PMC5661952","source":"PubMed","title":"Spine Dynamics: Are They All the Same?","title-short":"Spine Dynamics","volume":"96","author":[{"family":"Berry","given":"Kalen P."},{"family":"Nedivi","given":"Elly"}],"issued":{"date-parts":[["2017",9,27]]}}}],"schema":"https://github.com/citation-style-language/schema/raw/master/csl-citation.json"} </w:instrText>
      </w:r>
      <w:r>
        <w:rPr>
          <w:lang w:eastAsia="fr-CA"/>
        </w:rPr>
        <w:fldChar w:fldCharType="separate"/>
      </w:r>
      <w:r>
        <w:rPr>
          <w:kern w:val="0"/>
        </w:rPr>
        <w:t>(Berry and Nedivi, 2017)</w:t>
      </w:r>
      <w:r>
        <w:rPr>
          <w:lang w:eastAsia="fr-CA"/>
        </w:rPr>
        <w:fldChar w:fldCharType="end"/>
      </w:r>
      <w:r>
        <w:rPr>
          <w:lang w:eastAsia="fr-CA"/>
        </w:rPr>
        <w:t xml:space="preserve">. </w:t>
      </w:r>
      <w:r w:rsidRPr="0045613C">
        <w:rPr>
          <w:lang w:eastAsia="fr-CA"/>
        </w:rPr>
        <w:t xml:space="preserve">Filopodia were identified by spine-like protrusions from the dendrite that did not result in a clear synapse—lacking both a </w:t>
      </w:r>
      <w:r w:rsidR="00124AA4">
        <w:rPr>
          <w:lang w:eastAsia="fr-CA"/>
        </w:rPr>
        <w:t>postsynaptic density (PSD) and presynaptic</w:t>
      </w:r>
      <w:r w:rsidRPr="0045613C">
        <w:rPr>
          <w:lang w:eastAsia="fr-CA"/>
        </w:rPr>
        <w:t xml:space="preserve"> vesicles. Whereas intermediate and mature spines were identified as protrusions from the dendrite that had </w:t>
      </w:r>
      <w:r w:rsidR="00124AA4">
        <w:rPr>
          <w:lang w:eastAsia="fr-CA"/>
        </w:rPr>
        <w:t xml:space="preserve">a </w:t>
      </w:r>
      <w:r w:rsidRPr="0045613C">
        <w:rPr>
          <w:lang w:eastAsia="fr-CA"/>
        </w:rPr>
        <w:t xml:space="preserve">clear PSD and presynaptic vesicles. Spine heads that were &lt; 500 nm in diameter were categorized </w:t>
      </w:r>
      <w:r>
        <w:rPr>
          <w:lang w:eastAsia="fr-CA"/>
        </w:rPr>
        <w:t xml:space="preserve">as </w:t>
      </w:r>
      <w:r w:rsidRPr="0045613C">
        <w:rPr>
          <w:lang w:eastAsia="fr-CA"/>
        </w:rPr>
        <w:t xml:space="preserve">intermediate spines. Spine heads that were </w:t>
      </w:r>
      <w:r w:rsidR="005F1344">
        <w:rPr>
          <w:lang w:eastAsia="fr-CA"/>
        </w:rPr>
        <w:t>≥</w:t>
      </w:r>
      <w:r>
        <w:rPr>
          <w:lang w:eastAsia="fr-CA"/>
        </w:rPr>
        <w:t xml:space="preserve"> </w:t>
      </w:r>
      <w:r w:rsidRPr="0045613C">
        <w:rPr>
          <w:lang w:eastAsia="fr-CA"/>
        </w:rPr>
        <w:t>500</w:t>
      </w:r>
      <w:r w:rsidR="00E87EC1">
        <w:rPr>
          <w:lang w:eastAsia="fr-CA"/>
        </w:rPr>
        <w:t xml:space="preserve"> </w:t>
      </w:r>
      <w:r w:rsidRPr="0045613C">
        <w:rPr>
          <w:lang w:eastAsia="fr-CA"/>
        </w:rPr>
        <w:t xml:space="preserve">nm in diameter were categorized as mature spines. </w:t>
      </w:r>
      <w:r>
        <w:rPr>
          <w:lang w:eastAsia="fr-CA"/>
        </w:rPr>
        <w:t xml:space="preserve">In the case of branched spines (a single neck from the dendrite splits into two or more separate spines), each spine that resulted from this branching was counted separately, and morphology was noted for each. </w:t>
      </w:r>
      <w:r w:rsidRPr="0045613C">
        <w:rPr>
          <w:lang w:eastAsia="fr-CA"/>
        </w:rPr>
        <w:t xml:space="preserve">The </w:t>
      </w:r>
      <w:r w:rsidR="00124AA4">
        <w:rPr>
          <w:lang w:eastAsia="fr-CA"/>
        </w:rPr>
        <w:t>measurements</w:t>
      </w:r>
      <w:r w:rsidRPr="0045613C">
        <w:rPr>
          <w:lang w:eastAsia="fr-CA"/>
        </w:rPr>
        <w:t xml:space="preserve"> and classifications were performed in </w:t>
      </w:r>
      <w:proofErr w:type="spellStart"/>
      <w:r w:rsidRPr="0045613C">
        <w:rPr>
          <w:lang w:eastAsia="fr-CA"/>
        </w:rPr>
        <w:t>WebKnossos</w:t>
      </w:r>
      <w:proofErr w:type="spellEnd"/>
      <w:r w:rsidRPr="0045613C">
        <w:rPr>
          <w:lang w:eastAsia="fr-CA"/>
        </w:rPr>
        <w:t xml:space="preserve">, using the </w:t>
      </w:r>
      <w:r w:rsidRPr="009006F4">
        <w:rPr>
          <w:i/>
          <w:iCs/>
          <w:lang w:eastAsia="fr-CA"/>
        </w:rPr>
        <w:t>measure</w:t>
      </w:r>
      <w:r w:rsidRPr="0045613C">
        <w:rPr>
          <w:lang w:eastAsia="fr-CA"/>
        </w:rPr>
        <w:t xml:space="preserve"> and </w:t>
      </w:r>
      <w:r w:rsidRPr="009006F4">
        <w:rPr>
          <w:i/>
          <w:iCs/>
          <w:lang w:eastAsia="fr-CA"/>
        </w:rPr>
        <w:t>comments</w:t>
      </w:r>
      <w:r w:rsidRPr="0045613C">
        <w:rPr>
          <w:lang w:eastAsia="fr-CA"/>
        </w:rPr>
        <w:t xml:space="preserve"> tools, respectively. Spine density was calculated using the following equation: </w:t>
      </w:r>
    </w:p>
    <w:p w14:paraId="41427387" w14:textId="77777777" w:rsidR="00B4364F" w:rsidRPr="003752FC" w:rsidRDefault="00B4364F" w:rsidP="0075277F">
      <w:pPr>
        <w:spacing w:line="480" w:lineRule="auto"/>
        <w:jc w:val="both"/>
        <w:rPr>
          <w:rFonts w:eastAsiaTheme="minorEastAsia"/>
          <w:sz w:val="21"/>
          <w:szCs w:val="21"/>
          <w:lang w:eastAsia="fr-CA"/>
        </w:rPr>
      </w:pPr>
      <m:oMathPara>
        <m:oMath>
          <m:r>
            <w:rPr>
              <w:rFonts w:ascii="Cambria Math" w:hAnsi="Cambria Math"/>
              <w:sz w:val="21"/>
              <w:szCs w:val="21"/>
              <w:lang w:eastAsia="fr-CA"/>
            </w:rPr>
            <w:lastRenderedPageBreak/>
            <m:t>spine density=</m:t>
          </m:r>
          <m:f>
            <m:fPr>
              <m:ctrlPr>
                <w:rPr>
                  <w:rFonts w:ascii="Cambria Math" w:hAnsi="Cambria Math"/>
                  <w:i/>
                  <w:sz w:val="21"/>
                  <w:szCs w:val="21"/>
                  <w:lang w:eastAsia="fr-CA"/>
                </w:rPr>
              </m:ctrlPr>
            </m:fPr>
            <m:num>
              <m:r>
                <w:rPr>
                  <w:rFonts w:ascii="Cambria Math" w:hAnsi="Cambria Math"/>
                  <w:sz w:val="21"/>
                  <w:szCs w:val="21"/>
                  <w:lang w:eastAsia="fr-CA"/>
                </w:rPr>
                <m:t># of spines (total or category)</m:t>
              </m:r>
            </m:num>
            <m:den>
              <m:r>
                <w:rPr>
                  <w:rFonts w:ascii="Cambria Math" w:hAnsi="Cambria Math"/>
                  <w:sz w:val="21"/>
                  <w:szCs w:val="21"/>
                  <w:lang w:eastAsia="fr-CA"/>
                </w:rPr>
                <m:t>length of dendrite</m:t>
              </m:r>
            </m:den>
          </m:f>
        </m:oMath>
      </m:oMathPara>
    </w:p>
    <w:p w14:paraId="7707CCBD" w14:textId="77777777" w:rsidR="00B4364F" w:rsidRPr="00B4364F" w:rsidRDefault="00B4364F" w:rsidP="0075277F">
      <w:pPr>
        <w:spacing w:line="480" w:lineRule="auto"/>
        <w:rPr>
          <w:i/>
          <w:iCs/>
          <w:lang w:eastAsia="fr-CA"/>
        </w:rPr>
      </w:pPr>
      <w:r w:rsidRPr="00B4364F">
        <w:rPr>
          <w:i/>
          <w:iCs/>
          <w:lang w:eastAsia="fr-CA"/>
        </w:rPr>
        <w:t>Mitochondrial Segmentation</w:t>
      </w:r>
    </w:p>
    <w:p w14:paraId="01465F22" w14:textId="2F8A7E27" w:rsidR="00B4364F" w:rsidRPr="0045613C" w:rsidRDefault="00B4364F" w:rsidP="0075277F">
      <w:pPr>
        <w:spacing w:line="480" w:lineRule="auto"/>
        <w:ind w:firstLine="720"/>
        <w:jc w:val="both"/>
        <w:rPr>
          <w:lang w:eastAsia="fr-CA"/>
        </w:rPr>
      </w:pPr>
      <w:r w:rsidRPr="0045613C">
        <w:rPr>
          <w:lang w:eastAsia="fr-CA"/>
        </w:rPr>
        <w:t xml:space="preserve">Using the </w:t>
      </w:r>
      <w:r w:rsidRPr="009006F4">
        <w:rPr>
          <w:i/>
          <w:iCs/>
          <w:lang w:eastAsia="fr-CA"/>
        </w:rPr>
        <w:t>brush</w:t>
      </w:r>
      <w:r w:rsidRPr="0045613C">
        <w:rPr>
          <w:lang w:eastAsia="fr-CA"/>
        </w:rPr>
        <w:t xml:space="preserve"> tool in </w:t>
      </w:r>
      <w:proofErr w:type="spellStart"/>
      <w:r w:rsidRPr="00135402">
        <w:rPr>
          <w:lang w:eastAsia="fr-CA"/>
        </w:rPr>
        <w:t>Webknossos</w:t>
      </w:r>
      <w:proofErr w:type="spellEnd"/>
      <w:r w:rsidRPr="0045613C">
        <w:rPr>
          <w:lang w:eastAsia="fr-CA"/>
        </w:rPr>
        <w:t xml:space="preserve">, all mitochondria contained within the same dendrites selected for spine analysis were individually segmented. All mitochondria, whether continuous or discontinuous </w:t>
      </w:r>
      <w:r>
        <w:rPr>
          <w:lang w:eastAsia="fr-CA"/>
        </w:rPr>
        <w:t>along</w:t>
      </w:r>
      <w:r w:rsidRPr="0045613C">
        <w:rPr>
          <w:lang w:eastAsia="fr-CA"/>
        </w:rPr>
        <w:t xml:space="preserve"> the length of the dendrite</w:t>
      </w:r>
      <w:r>
        <w:rPr>
          <w:lang w:eastAsia="fr-CA"/>
        </w:rPr>
        <w:t>,</w:t>
      </w:r>
      <w:r w:rsidRPr="0045613C">
        <w:rPr>
          <w:lang w:eastAsia="fr-CA"/>
        </w:rPr>
        <w:t xml:space="preserve"> were </w:t>
      </w:r>
      <w:r>
        <w:rPr>
          <w:lang w:eastAsia="fr-CA"/>
        </w:rPr>
        <w:t>included</w:t>
      </w:r>
      <w:r w:rsidRPr="0045613C">
        <w:rPr>
          <w:lang w:eastAsia="fr-CA"/>
        </w:rPr>
        <w:t xml:space="preserve">. </w:t>
      </w:r>
      <w:r>
        <w:rPr>
          <w:lang w:eastAsia="fr-CA"/>
        </w:rPr>
        <w:t xml:space="preserve">Only mitochondria found in the trunk of the dendrite were included in the analysis; mitochondria located in the spine neck or head were extremely rare. </w:t>
      </w:r>
      <w:r w:rsidRPr="0045613C">
        <w:rPr>
          <w:lang w:eastAsia="fr-CA"/>
        </w:rPr>
        <w:t>All mitochondria were exported as mesh (.</w:t>
      </w:r>
      <w:proofErr w:type="spellStart"/>
      <w:r w:rsidRPr="0045613C">
        <w:rPr>
          <w:lang w:eastAsia="fr-CA"/>
        </w:rPr>
        <w:t>stl</w:t>
      </w:r>
      <w:proofErr w:type="spellEnd"/>
      <w:r w:rsidRPr="0045613C">
        <w:rPr>
          <w:lang w:eastAsia="fr-CA"/>
        </w:rPr>
        <w:t xml:space="preserve">) files from </w:t>
      </w:r>
      <w:proofErr w:type="spellStart"/>
      <w:r w:rsidRPr="0045613C">
        <w:rPr>
          <w:lang w:eastAsia="fr-CA"/>
        </w:rPr>
        <w:t>WebKnossos</w:t>
      </w:r>
      <w:proofErr w:type="spellEnd"/>
      <w:r w:rsidRPr="0045613C">
        <w:rPr>
          <w:lang w:eastAsia="fr-CA"/>
        </w:rPr>
        <w:t xml:space="preserve">. Using </w:t>
      </w:r>
      <w:proofErr w:type="spellStart"/>
      <w:r w:rsidRPr="005F0DB8">
        <w:rPr>
          <w:i/>
          <w:iCs/>
          <w:lang w:eastAsia="fr-CA"/>
        </w:rPr>
        <w:t>trimesh</w:t>
      </w:r>
      <w:proofErr w:type="spellEnd"/>
      <w:r w:rsidRPr="0045613C">
        <w:rPr>
          <w:lang w:eastAsia="fr-CA"/>
        </w:rPr>
        <w:t xml:space="preserve"> (</w:t>
      </w:r>
      <w:r>
        <w:rPr>
          <w:lang w:eastAsia="fr-CA"/>
        </w:rPr>
        <w:t xml:space="preserve">v. </w:t>
      </w:r>
      <w:r w:rsidRPr="0045613C">
        <w:rPr>
          <w:lang w:eastAsia="fr-CA"/>
        </w:rPr>
        <w:t xml:space="preserve">4.11.1; </w:t>
      </w:r>
      <w:hyperlink r:id="rId4" w:history="1">
        <w:r w:rsidRPr="0045613C">
          <w:rPr>
            <w:rStyle w:val="Hyperlink"/>
            <w:lang w:eastAsia="fr-CA"/>
          </w:rPr>
          <w:t>https://trimesh.org/</w:t>
        </w:r>
      </w:hyperlink>
      <w:r w:rsidRPr="0045613C">
        <w:rPr>
          <w:lang w:eastAsia="fr-CA"/>
        </w:rPr>
        <w:t xml:space="preserve">), geometric characteristics of the mitochondria were measured, including volume, surface area, bounding box, vertices, faces, and sphericity. </w:t>
      </w:r>
      <w:r>
        <w:rPr>
          <w:lang w:eastAsia="fr-CA"/>
        </w:rPr>
        <w:t>D</w:t>
      </w:r>
      <w:r w:rsidRPr="0045613C">
        <w:rPr>
          <w:lang w:eastAsia="fr-CA"/>
        </w:rPr>
        <w:t xml:space="preserve">endritic mitochondrial volume </w:t>
      </w:r>
      <w:r>
        <w:rPr>
          <w:lang w:eastAsia="fr-CA"/>
        </w:rPr>
        <w:t>(and</w:t>
      </w:r>
      <w:r w:rsidRPr="0045613C">
        <w:rPr>
          <w:lang w:eastAsia="fr-CA"/>
        </w:rPr>
        <w:t xml:space="preserve"> surface </w:t>
      </w:r>
      <w:r>
        <w:rPr>
          <w:lang w:eastAsia="fr-CA"/>
        </w:rPr>
        <w:t>area) was</w:t>
      </w:r>
      <w:r w:rsidRPr="0045613C">
        <w:rPr>
          <w:lang w:eastAsia="fr-CA"/>
        </w:rPr>
        <w:t xml:space="preserve"> calculated using the following equation: </w:t>
      </w:r>
    </w:p>
    <w:p w14:paraId="03BC4132" w14:textId="77777777" w:rsidR="00B4364F" w:rsidRPr="0045613C" w:rsidRDefault="00B4364F" w:rsidP="0075277F">
      <w:pPr>
        <w:spacing w:line="480" w:lineRule="auto"/>
        <w:ind w:firstLine="720"/>
        <w:jc w:val="both"/>
        <w:rPr>
          <w:lang w:eastAsia="fr-CA"/>
        </w:rPr>
      </w:pPr>
    </w:p>
    <w:p w14:paraId="681DC439" w14:textId="77777777" w:rsidR="00B4364F" w:rsidRPr="00A87D82" w:rsidRDefault="00B4364F" w:rsidP="0075277F">
      <w:pPr>
        <w:spacing w:line="480" w:lineRule="auto"/>
        <w:jc w:val="both"/>
        <w:rPr>
          <w:i/>
          <w:sz w:val="22"/>
          <w:szCs w:val="22"/>
          <w:lang w:eastAsia="fr-CA"/>
        </w:rPr>
      </w:pPr>
      <m:oMathPara>
        <m:oMath>
          <m:r>
            <w:rPr>
              <w:rFonts w:ascii="Cambria Math" w:hAnsi="Cambria Math"/>
              <w:sz w:val="22"/>
              <w:szCs w:val="22"/>
              <w:lang w:eastAsia="fr-CA"/>
            </w:rPr>
            <m:t>dendritic mitochondrial volume=</m:t>
          </m:r>
          <m:f>
            <m:fPr>
              <m:ctrlPr>
                <w:rPr>
                  <w:rFonts w:ascii="Cambria Math" w:hAnsi="Cambria Math"/>
                  <w:i/>
                  <w:sz w:val="22"/>
                  <w:szCs w:val="22"/>
                  <w:lang w:eastAsia="fr-CA"/>
                </w:rPr>
              </m:ctrlPr>
            </m:fPr>
            <m:num>
              <m:nary>
                <m:naryPr>
                  <m:chr m:val="∑"/>
                  <m:limLoc m:val="undOvr"/>
                  <m:subHide m:val="1"/>
                  <m:supHide m:val="1"/>
                  <m:ctrlPr>
                    <w:rPr>
                      <w:rFonts w:ascii="Cambria Math" w:hAnsi="Cambria Math"/>
                      <w:i/>
                      <w:sz w:val="22"/>
                      <w:szCs w:val="22"/>
                      <w:lang w:eastAsia="fr-CA"/>
                    </w:rPr>
                  </m:ctrlPr>
                </m:naryPr>
                <m:sub/>
                <m:sup/>
                <m:e>
                  <m:r>
                    <w:rPr>
                      <w:rFonts w:ascii="Cambria Math" w:hAnsi="Cambria Math"/>
                      <w:sz w:val="22"/>
                      <w:szCs w:val="22"/>
                      <w:lang w:eastAsia="fr-CA"/>
                    </w:rPr>
                    <m:t>volume of all mitochondria within dendrite</m:t>
                  </m:r>
                </m:e>
              </m:nary>
            </m:num>
            <m:den>
              <m:r>
                <w:rPr>
                  <w:rFonts w:ascii="Cambria Math" w:hAnsi="Cambria Math"/>
                  <w:sz w:val="22"/>
                  <w:szCs w:val="22"/>
                  <w:lang w:eastAsia="fr-CA"/>
                </w:rPr>
                <m:t>length of dendrite</m:t>
              </m:r>
            </m:den>
          </m:f>
        </m:oMath>
      </m:oMathPara>
    </w:p>
    <w:p w14:paraId="1252908A" w14:textId="07FA963D" w:rsidR="00B4364F" w:rsidRDefault="00B06CA4" w:rsidP="0075277F">
      <w:pPr>
        <w:spacing w:line="480" w:lineRule="auto"/>
      </w:pPr>
      <w:r>
        <w:br w:type="page"/>
      </w:r>
    </w:p>
    <w:p w14:paraId="6E903617" w14:textId="09DB08D3" w:rsidR="00B4364F" w:rsidRDefault="00B4364F" w:rsidP="0075277F">
      <w:pPr>
        <w:spacing w:line="480" w:lineRule="auto"/>
        <w:rPr>
          <w:b/>
          <w:bCs/>
        </w:rPr>
      </w:pPr>
      <w:r>
        <w:rPr>
          <w:b/>
          <w:bCs/>
        </w:rPr>
        <w:lastRenderedPageBreak/>
        <w:t>Supplemental Figure</w:t>
      </w:r>
      <w:r w:rsidR="005C4EE9">
        <w:rPr>
          <w:b/>
          <w:bCs/>
        </w:rPr>
        <w:t xml:space="preserve"> Legends</w:t>
      </w:r>
      <w:r>
        <w:rPr>
          <w:b/>
          <w:bCs/>
        </w:rPr>
        <w:t xml:space="preserve"> </w:t>
      </w:r>
    </w:p>
    <w:p w14:paraId="22A4DC55" w14:textId="5155759D" w:rsidR="00B06CA4" w:rsidRPr="00124AA4" w:rsidRDefault="00B06CA4" w:rsidP="0075277F">
      <w:pPr>
        <w:pStyle w:val="Caption"/>
        <w:spacing w:line="480" w:lineRule="auto"/>
        <w:rPr>
          <w:rFonts w:ascii="Times New Roman" w:hAnsi="Times New Roman" w:cs="Times New Roman"/>
        </w:rPr>
      </w:pPr>
      <w:r w:rsidRPr="00124AA4">
        <w:rPr>
          <w:rFonts w:ascii="Times New Roman" w:hAnsi="Times New Roman" w:cs="Times New Roman"/>
        </w:rPr>
        <w:t xml:space="preserve">Figure S1. Z-score analysis of male and female </w:t>
      </w:r>
      <w:proofErr w:type="spellStart"/>
      <w:r w:rsidRPr="00124AA4">
        <w:rPr>
          <w:rFonts w:ascii="Times New Roman" w:hAnsi="Times New Roman" w:cs="Times New Roman"/>
        </w:rPr>
        <w:t>behavioural</w:t>
      </w:r>
      <w:proofErr w:type="spellEnd"/>
      <w:r w:rsidRPr="00124AA4">
        <w:rPr>
          <w:rFonts w:ascii="Times New Roman" w:hAnsi="Times New Roman" w:cs="Times New Roman"/>
        </w:rPr>
        <w:t xml:space="preserve"> measures.</w:t>
      </w:r>
    </w:p>
    <w:p w14:paraId="29A57ADA" w14:textId="5773FB97" w:rsidR="00B06CA4" w:rsidRPr="00124AA4" w:rsidRDefault="00B06CA4" w:rsidP="0075277F">
      <w:pPr>
        <w:spacing w:line="480" w:lineRule="auto"/>
        <w:jc w:val="both"/>
      </w:pPr>
      <w:r w:rsidRPr="00124AA4">
        <w:t>a-</w:t>
      </w:r>
      <w:r w:rsidR="005F1344">
        <w:t>d</w:t>
      </w:r>
      <w:r w:rsidRPr="00124AA4">
        <w:t>) Plots showing the individual z-scores used in the calculation of the emotionality scores for the OFT (a), EPM and L/D box (b-c) and FST (d) of male mice. e-h) Plots showing the individual z-scores used in the calculation of the emotionality scores for the OFT (e), EPM and L/D box (f-h) and FST (</w:t>
      </w:r>
      <w:r w:rsidR="005F1344">
        <w:t>h</w:t>
      </w:r>
      <w:r w:rsidRPr="00124AA4">
        <w:t>) of female mice. *p</w:t>
      </w:r>
      <w:r w:rsidRPr="00124AA4">
        <w:rPr>
          <w:rFonts w:eastAsia="Symbol"/>
        </w:rPr>
        <w:sym w:font="Symbol" w:char="F0A3"/>
      </w:r>
      <w:r w:rsidRPr="00124AA4">
        <w:t>0.05, ** p</w:t>
      </w:r>
      <w:r w:rsidRPr="00124AA4">
        <w:rPr>
          <w:rFonts w:eastAsia="Symbol"/>
        </w:rPr>
        <w:sym w:font="Symbol" w:char="F0A3"/>
      </w:r>
      <w:r w:rsidRPr="00124AA4">
        <w:t>0.01, *** p</w:t>
      </w:r>
      <w:r w:rsidRPr="00124AA4">
        <w:rPr>
          <w:rFonts w:eastAsia="Symbol"/>
        </w:rPr>
        <w:sym w:font="Symbol" w:char="F0A3"/>
      </w:r>
      <w:r w:rsidRPr="00124AA4">
        <w:t>0.001</w:t>
      </w:r>
    </w:p>
    <w:p w14:paraId="1B5E9FB8" w14:textId="77777777" w:rsidR="00B06CA4" w:rsidRPr="00124AA4" w:rsidRDefault="00B06CA4" w:rsidP="0075277F">
      <w:pPr>
        <w:spacing w:line="480" w:lineRule="auto"/>
        <w:jc w:val="both"/>
      </w:pPr>
    </w:p>
    <w:p w14:paraId="78E4B83C" w14:textId="16F54881" w:rsidR="00E14643" w:rsidRPr="00124AA4" w:rsidRDefault="00E14643" w:rsidP="0075277F">
      <w:pPr>
        <w:pStyle w:val="Caption"/>
        <w:spacing w:line="480" w:lineRule="auto"/>
        <w:rPr>
          <w:rFonts w:ascii="Times New Roman" w:hAnsi="Times New Roman" w:cs="Times New Roman"/>
        </w:rPr>
      </w:pPr>
      <w:r w:rsidRPr="00124AA4">
        <w:rPr>
          <w:rFonts w:ascii="Times New Roman" w:hAnsi="Times New Roman" w:cs="Times New Roman"/>
        </w:rPr>
        <w:t>Figure S2. Density of non-synapse-forming spines and mitochondrial measurements of male mice are unchanged in response to cis-RSV treatment.</w:t>
      </w:r>
    </w:p>
    <w:p w14:paraId="797CD82B" w14:textId="63E72EF7" w:rsidR="00E14643" w:rsidRPr="00124AA4" w:rsidRDefault="00E14643" w:rsidP="0075277F">
      <w:pPr>
        <w:spacing w:line="480" w:lineRule="auto"/>
        <w:jc w:val="both"/>
        <w:rPr>
          <w:u w:val="single"/>
        </w:rPr>
      </w:pPr>
      <w:r w:rsidRPr="00124AA4">
        <w:t xml:space="preserve">a) Violin plot showing that filopodia density within the BLA of male </w:t>
      </w:r>
      <w:r w:rsidRPr="00124AA4">
        <w:rPr>
          <w:i/>
          <w:iCs/>
        </w:rPr>
        <w:t>Eif4</w:t>
      </w:r>
      <w:r w:rsidR="005F1344">
        <w:rPr>
          <w:i/>
          <w:iCs/>
        </w:rPr>
        <w:t>e</w:t>
      </w:r>
      <w:r w:rsidRPr="00124AA4">
        <w:rPr>
          <w:i/>
          <w:iCs/>
        </w:rPr>
        <w:t>bp1/2</w:t>
      </w:r>
      <w:r w:rsidRPr="00124AA4">
        <w:rPr>
          <w:i/>
          <w:iCs/>
          <w:vertAlign w:val="superscript"/>
        </w:rPr>
        <w:t xml:space="preserve">+/+ </w:t>
      </w:r>
      <w:r w:rsidRPr="00124AA4">
        <w:t xml:space="preserve">and </w:t>
      </w:r>
      <w:r w:rsidRPr="00124AA4">
        <w:rPr>
          <w:i/>
          <w:iCs/>
        </w:rPr>
        <w:t>Eif4</w:t>
      </w:r>
      <w:r w:rsidR="005F1344">
        <w:rPr>
          <w:i/>
          <w:iCs/>
        </w:rPr>
        <w:t>e</w:t>
      </w:r>
      <w:r w:rsidRPr="00124AA4">
        <w:rPr>
          <w:i/>
          <w:iCs/>
        </w:rPr>
        <w:t>bp1/2</w:t>
      </w:r>
      <w:r w:rsidRPr="00124AA4">
        <w:rPr>
          <w:i/>
          <w:iCs/>
          <w:vertAlign w:val="superscript"/>
        </w:rPr>
        <w:t xml:space="preserve">-/- </w:t>
      </w:r>
      <w:r w:rsidRPr="00124AA4">
        <w:t>mice is not affected by chronic cis-RSV treatment (</w:t>
      </w:r>
      <w:r w:rsidR="00E37653" w:rsidRPr="00124AA4">
        <w:sym w:font="Symbol" w:char="F063"/>
      </w:r>
      <w:r w:rsidR="00E37653" w:rsidRPr="00124AA4">
        <w:rPr>
          <w:vertAlign w:val="superscript"/>
        </w:rPr>
        <w:t>2</w:t>
      </w:r>
      <w:r w:rsidR="00E37653" w:rsidRPr="00124AA4">
        <w:t xml:space="preserve"> (1) = 0.2969, </w:t>
      </w:r>
      <w:r w:rsidRPr="00124AA4">
        <w:t>p=0.58</w:t>
      </w:r>
      <w:r w:rsidR="00E37653" w:rsidRPr="00124AA4">
        <w:t>58</w:t>
      </w:r>
      <w:r w:rsidRPr="00124AA4">
        <w:t xml:space="preserve">). </w:t>
      </w:r>
      <w:r w:rsidR="00124AA4">
        <w:t>Filopodia density also did not differ</w:t>
      </w:r>
      <w:r w:rsidRPr="00124AA4">
        <w:t xml:space="preserve"> across genotypes </w:t>
      </w:r>
      <w:r w:rsidR="00E37653" w:rsidRPr="00124AA4">
        <w:t>(</w:t>
      </w:r>
      <w:r w:rsidR="00E37653" w:rsidRPr="00124AA4">
        <w:sym w:font="Symbol" w:char="F063"/>
      </w:r>
      <w:r w:rsidR="00E37653" w:rsidRPr="00124AA4">
        <w:rPr>
          <w:vertAlign w:val="superscript"/>
        </w:rPr>
        <w:t>2</w:t>
      </w:r>
      <w:r w:rsidR="00E37653" w:rsidRPr="00124AA4">
        <w:t xml:space="preserve"> (1) = 0.0688, </w:t>
      </w:r>
      <w:r w:rsidRPr="00124AA4">
        <w:t>p=0.</w:t>
      </w:r>
      <w:r w:rsidR="00E37653" w:rsidRPr="00124AA4">
        <w:t>793</w:t>
      </w:r>
      <w:r w:rsidRPr="00124AA4">
        <w:t xml:space="preserve">). b-d) Violin plots showing that the mitochondrial measurements within dendrites of the BLA of cis-RSV-treated mice are the same as those of saline-treated mice. b) Mitochondrial </w:t>
      </w:r>
      <w:r w:rsidR="00E37653" w:rsidRPr="00124AA4">
        <w:t>sphericity</w:t>
      </w:r>
      <w:r w:rsidRPr="00124AA4">
        <w:t xml:space="preserve"> was unchanged by cis-RSV treatment (</w:t>
      </w:r>
      <w:r w:rsidR="00E37653" w:rsidRPr="00124AA4">
        <w:sym w:font="Symbol" w:char="F063"/>
      </w:r>
      <w:r w:rsidR="00E37653" w:rsidRPr="00124AA4">
        <w:rPr>
          <w:vertAlign w:val="superscript"/>
        </w:rPr>
        <w:t>2</w:t>
      </w:r>
      <w:r w:rsidR="00E37653" w:rsidRPr="00124AA4">
        <w:t xml:space="preserve"> (1) = 1.9863, </w:t>
      </w:r>
      <w:r w:rsidRPr="00124AA4">
        <w:t>p=0.</w:t>
      </w:r>
      <w:r w:rsidR="00E37653" w:rsidRPr="00124AA4">
        <w:t>1587</w:t>
      </w:r>
      <w:r w:rsidRPr="00124AA4">
        <w:t xml:space="preserve">) and in </w:t>
      </w:r>
      <w:r w:rsidRPr="00124AA4">
        <w:rPr>
          <w:i/>
          <w:iCs/>
        </w:rPr>
        <w:t>Eif4</w:t>
      </w:r>
      <w:r w:rsidR="005F1344">
        <w:rPr>
          <w:i/>
          <w:iCs/>
        </w:rPr>
        <w:t>e</w:t>
      </w:r>
      <w:r w:rsidRPr="00124AA4">
        <w:rPr>
          <w:i/>
          <w:iCs/>
        </w:rPr>
        <w:t>bp1/2</w:t>
      </w:r>
      <w:r w:rsidRPr="00124AA4">
        <w:rPr>
          <w:i/>
          <w:iCs/>
          <w:vertAlign w:val="superscript"/>
        </w:rPr>
        <w:t xml:space="preserve">-/- </w:t>
      </w:r>
      <w:r w:rsidRPr="00124AA4">
        <w:t>mice (</w:t>
      </w:r>
      <w:r w:rsidR="00E37653" w:rsidRPr="00124AA4">
        <w:sym w:font="Symbol" w:char="F063"/>
      </w:r>
      <w:r w:rsidR="00E37653" w:rsidRPr="00124AA4">
        <w:rPr>
          <w:vertAlign w:val="superscript"/>
        </w:rPr>
        <w:t>2</w:t>
      </w:r>
      <w:r w:rsidR="00E37653" w:rsidRPr="00124AA4">
        <w:t xml:space="preserve"> (1) = 2.3316, </w:t>
      </w:r>
      <w:r w:rsidRPr="00124AA4">
        <w:t>p=0.</w:t>
      </w:r>
      <w:r w:rsidR="00E37653" w:rsidRPr="00124AA4">
        <w:t>1268</w:t>
      </w:r>
      <w:r w:rsidRPr="00124AA4">
        <w:t xml:space="preserve">). c) No differences in mitochondrial </w:t>
      </w:r>
      <w:r w:rsidR="00E37653" w:rsidRPr="00124AA4">
        <w:t>volume</w:t>
      </w:r>
      <w:r w:rsidRPr="00124AA4">
        <w:t xml:space="preserve"> were found due to cis-RSV treatment (</w:t>
      </w:r>
      <w:r w:rsidR="00E37653" w:rsidRPr="00124AA4">
        <w:sym w:font="Symbol" w:char="F063"/>
      </w:r>
      <w:r w:rsidR="00E37653" w:rsidRPr="00124AA4">
        <w:rPr>
          <w:vertAlign w:val="superscript"/>
        </w:rPr>
        <w:t>2</w:t>
      </w:r>
      <w:r w:rsidR="00E37653" w:rsidRPr="00124AA4">
        <w:t xml:space="preserve"> (1) = 0.0971, </w:t>
      </w:r>
      <w:r w:rsidRPr="00124AA4">
        <w:t>p=0.</w:t>
      </w:r>
      <w:r w:rsidR="00E37653" w:rsidRPr="00124AA4">
        <w:t>7554</w:t>
      </w:r>
      <w:r w:rsidRPr="00124AA4">
        <w:t>) or between genotypes (</w:t>
      </w:r>
      <w:r w:rsidR="00E37653" w:rsidRPr="00124AA4">
        <w:sym w:font="Symbol" w:char="F063"/>
      </w:r>
      <w:r w:rsidR="00E37653" w:rsidRPr="00124AA4">
        <w:rPr>
          <w:vertAlign w:val="superscript"/>
        </w:rPr>
        <w:t>2</w:t>
      </w:r>
      <w:r w:rsidR="00E37653" w:rsidRPr="00124AA4">
        <w:t xml:space="preserve"> (1) = 0.0988, </w:t>
      </w:r>
      <w:r w:rsidRPr="00124AA4">
        <w:t>p=0.7</w:t>
      </w:r>
      <w:r w:rsidR="00E37653" w:rsidRPr="00124AA4">
        <w:t>532</w:t>
      </w:r>
      <w:r w:rsidRPr="00124AA4">
        <w:t xml:space="preserve">). d) </w:t>
      </w:r>
      <w:r w:rsidR="00E37653" w:rsidRPr="00124AA4">
        <w:t>The mi</w:t>
      </w:r>
      <w:r w:rsidRPr="00124AA4">
        <w:t xml:space="preserve">tochondrial </w:t>
      </w:r>
      <w:r w:rsidR="00E37653" w:rsidRPr="00124AA4">
        <w:t xml:space="preserve">and bounding box volume ratio </w:t>
      </w:r>
      <w:r w:rsidRPr="00124AA4">
        <w:t>was also unchanged by cis-RSV treatment (</w:t>
      </w:r>
      <w:r w:rsidR="00E37653" w:rsidRPr="00124AA4">
        <w:sym w:font="Symbol" w:char="F063"/>
      </w:r>
      <w:r w:rsidR="00E37653" w:rsidRPr="00124AA4">
        <w:rPr>
          <w:vertAlign w:val="superscript"/>
        </w:rPr>
        <w:t>2</w:t>
      </w:r>
      <w:r w:rsidR="00E37653" w:rsidRPr="00124AA4">
        <w:t xml:space="preserve"> (1) = 2.2104, </w:t>
      </w:r>
      <w:r w:rsidRPr="00124AA4">
        <w:t>p=0</w:t>
      </w:r>
      <w:r w:rsidR="00E37653" w:rsidRPr="00124AA4">
        <w:t>.1371</w:t>
      </w:r>
      <w:r w:rsidRPr="00124AA4">
        <w:t xml:space="preserve">) and was similar in both </w:t>
      </w:r>
      <w:r w:rsidRPr="00124AA4">
        <w:rPr>
          <w:i/>
          <w:iCs/>
        </w:rPr>
        <w:t>Eif4</w:t>
      </w:r>
      <w:r w:rsidR="005F1344">
        <w:rPr>
          <w:i/>
          <w:iCs/>
        </w:rPr>
        <w:t>e</w:t>
      </w:r>
      <w:r w:rsidRPr="00124AA4">
        <w:rPr>
          <w:i/>
          <w:iCs/>
        </w:rPr>
        <w:t>bp1/2</w:t>
      </w:r>
      <w:r w:rsidRPr="00124AA4">
        <w:rPr>
          <w:i/>
          <w:iCs/>
          <w:vertAlign w:val="superscript"/>
        </w:rPr>
        <w:t xml:space="preserve">+/+ </w:t>
      </w:r>
      <w:r w:rsidRPr="00124AA4">
        <w:t xml:space="preserve">and </w:t>
      </w:r>
      <w:r w:rsidRPr="00124AA4">
        <w:rPr>
          <w:i/>
          <w:iCs/>
        </w:rPr>
        <w:t>Eif4</w:t>
      </w:r>
      <w:r w:rsidR="005F1344">
        <w:rPr>
          <w:i/>
          <w:iCs/>
        </w:rPr>
        <w:t>e</w:t>
      </w:r>
      <w:r w:rsidRPr="00124AA4">
        <w:rPr>
          <w:i/>
          <w:iCs/>
        </w:rPr>
        <w:t>bp1/2</w:t>
      </w:r>
      <w:r w:rsidRPr="00124AA4">
        <w:rPr>
          <w:i/>
          <w:iCs/>
          <w:vertAlign w:val="superscript"/>
        </w:rPr>
        <w:t xml:space="preserve">-/- </w:t>
      </w:r>
      <w:r w:rsidRPr="00124AA4">
        <w:t>mice (</w:t>
      </w:r>
      <w:r w:rsidR="00E37653" w:rsidRPr="00124AA4">
        <w:sym w:font="Symbol" w:char="F063"/>
      </w:r>
      <w:r w:rsidR="00E37653" w:rsidRPr="00124AA4">
        <w:rPr>
          <w:vertAlign w:val="superscript"/>
        </w:rPr>
        <w:t>2</w:t>
      </w:r>
      <w:r w:rsidR="00E37653" w:rsidRPr="00124AA4">
        <w:t xml:space="preserve"> (1) = 0.9539, </w:t>
      </w:r>
      <w:r w:rsidRPr="00124AA4">
        <w:t>p=0.</w:t>
      </w:r>
      <w:r w:rsidR="00E37653" w:rsidRPr="00124AA4">
        <w:t>3287</w:t>
      </w:r>
      <w:r w:rsidRPr="00124AA4">
        <w:t>). All data were analyzed using individual linear mixed-effects models. Planned contrasts were analyzed with Holm correction. Violin plots show the distribution of measurements per cell (n=6 cells/animal)</w:t>
      </w:r>
      <w:r w:rsidR="00124AA4">
        <w:t>,</w:t>
      </w:r>
      <w:r w:rsidRPr="00124AA4">
        <w:t xml:space="preserve"> with </w:t>
      </w:r>
      <w:r w:rsidRPr="00124AA4">
        <w:lastRenderedPageBreak/>
        <w:t>data points representing the measurements per animal (n=3 animals/genotype). *p</w:t>
      </w:r>
      <w:r w:rsidRPr="00124AA4">
        <w:rPr>
          <w:rFonts w:eastAsia="Symbol"/>
        </w:rPr>
        <w:sym w:font="Symbol" w:char="F0A3"/>
      </w:r>
      <w:r w:rsidRPr="00124AA4">
        <w:t>0.05, ** p</w:t>
      </w:r>
      <w:r w:rsidRPr="00124AA4">
        <w:rPr>
          <w:rFonts w:eastAsia="Symbol"/>
        </w:rPr>
        <w:sym w:font="Symbol" w:char="F0A3"/>
      </w:r>
      <w:r w:rsidRPr="00124AA4">
        <w:t>0.01, *** p</w:t>
      </w:r>
      <w:r w:rsidRPr="00124AA4">
        <w:rPr>
          <w:rFonts w:eastAsia="Symbol"/>
        </w:rPr>
        <w:sym w:font="Symbol" w:char="F0A3"/>
      </w:r>
      <w:r w:rsidRPr="00124AA4">
        <w:t>0.001</w:t>
      </w:r>
    </w:p>
    <w:p w14:paraId="40987A70" w14:textId="77777777" w:rsidR="00E14643" w:rsidRPr="00124AA4" w:rsidRDefault="00E14643" w:rsidP="0075277F">
      <w:pPr>
        <w:spacing w:line="480" w:lineRule="auto"/>
      </w:pPr>
    </w:p>
    <w:p w14:paraId="5D8AE0A7" w14:textId="782E22AD" w:rsidR="00E445C8" w:rsidRPr="00124AA4" w:rsidRDefault="00E445C8" w:rsidP="0075277F">
      <w:pPr>
        <w:pStyle w:val="Caption"/>
        <w:spacing w:line="480" w:lineRule="auto"/>
        <w:rPr>
          <w:rFonts w:ascii="Times New Roman" w:hAnsi="Times New Roman" w:cs="Times New Roman"/>
        </w:rPr>
      </w:pPr>
      <w:bookmarkStart w:id="1" w:name="_Toc233816666"/>
      <w:r w:rsidRPr="00124AA4">
        <w:rPr>
          <w:rFonts w:ascii="Times New Roman" w:hAnsi="Times New Roman" w:cs="Times New Roman"/>
        </w:rPr>
        <w:t xml:space="preserve">Figure S3. </w:t>
      </w:r>
      <w:bookmarkEnd w:id="1"/>
      <w:r w:rsidRPr="00124AA4">
        <w:rPr>
          <w:rFonts w:ascii="Times New Roman" w:hAnsi="Times New Roman" w:cs="Times New Roman"/>
        </w:rPr>
        <w:t>Graphs depicting the full fear extinction trials in 5-trial blocks.</w:t>
      </w:r>
    </w:p>
    <w:p w14:paraId="70224166" w14:textId="351F289F" w:rsidR="00E14643" w:rsidRPr="00124AA4" w:rsidRDefault="00E445C8" w:rsidP="0075277F">
      <w:pPr>
        <w:spacing w:line="480" w:lineRule="auto"/>
        <w:jc w:val="both"/>
      </w:pPr>
      <w:r w:rsidRPr="00124AA4">
        <w:t xml:space="preserve">a-b) Freezing percent of mice during fear extinction is similar between treatment groups. </w:t>
      </w:r>
      <w:r w:rsidRPr="00124AA4">
        <w:rPr>
          <w:i/>
          <w:iCs/>
        </w:rPr>
        <w:t>Eif4</w:t>
      </w:r>
      <w:r w:rsidR="005F1344">
        <w:rPr>
          <w:i/>
          <w:iCs/>
        </w:rPr>
        <w:t>e</w:t>
      </w:r>
      <w:r w:rsidRPr="00124AA4">
        <w:rPr>
          <w:i/>
          <w:iCs/>
        </w:rPr>
        <w:t>bp1/2</w:t>
      </w:r>
      <w:r w:rsidRPr="00124AA4">
        <w:rPr>
          <w:i/>
          <w:iCs/>
          <w:vertAlign w:val="superscript"/>
        </w:rPr>
        <w:t xml:space="preserve">+/+ </w:t>
      </w:r>
      <w:r w:rsidRPr="00124AA4">
        <w:t xml:space="preserve">VEH, n=7; </w:t>
      </w:r>
      <w:r w:rsidRPr="00124AA4">
        <w:rPr>
          <w:i/>
          <w:iCs/>
        </w:rPr>
        <w:t>Eif4</w:t>
      </w:r>
      <w:r w:rsidR="005F1344">
        <w:rPr>
          <w:i/>
          <w:iCs/>
        </w:rPr>
        <w:t>e</w:t>
      </w:r>
      <w:r w:rsidRPr="00124AA4">
        <w:rPr>
          <w:i/>
          <w:iCs/>
        </w:rPr>
        <w:t>bp1/2</w:t>
      </w:r>
      <w:r w:rsidRPr="00124AA4">
        <w:rPr>
          <w:i/>
          <w:iCs/>
          <w:vertAlign w:val="superscript"/>
        </w:rPr>
        <w:t xml:space="preserve">+/+ </w:t>
      </w:r>
      <w:r w:rsidRPr="00124AA4">
        <w:t xml:space="preserve">RSV, n=7; </w:t>
      </w:r>
      <w:r w:rsidRPr="00124AA4">
        <w:rPr>
          <w:i/>
          <w:iCs/>
        </w:rPr>
        <w:t>Eif4</w:t>
      </w:r>
      <w:r w:rsidR="005F1344">
        <w:rPr>
          <w:i/>
          <w:iCs/>
        </w:rPr>
        <w:t>e</w:t>
      </w:r>
      <w:r w:rsidRPr="00124AA4">
        <w:rPr>
          <w:i/>
          <w:iCs/>
        </w:rPr>
        <w:t>bp1/2</w:t>
      </w:r>
      <w:r w:rsidRPr="00124AA4">
        <w:rPr>
          <w:i/>
          <w:iCs/>
          <w:vertAlign w:val="superscript"/>
        </w:rPr>
        <w:t xml:space="preserve">-/- </w:t>
      </w:r>
      <w:r w:rsidRPr="00124AA4">
        <w:t xml:space="preserve">VEH, n=7; </w:t>
      </w:r>
      <w:r w:rsidRPr="00124AA4">
        <w:rPr>
          <w:i/>
          <w:iCs/>
        </w:rPr>
        <w:t>Eif4</w:t>
      </w:r>
      <w:r w:rsidR="005F1344">
        <w:rPr>
          <w:i/>
          <w:iCs/>
        </w:rPr>
        <w:t>e</w:t>
      </w:r>
      <w:r w:rsidRPr="00124AA4">
        <w:rPr>
          <w:i/>
          <w:iCs/>
        </w:rPr>
        <w:t>bp1/2</w:t>
      </w:r>
      <w:r w:rsidRPr="00124AA4">
        <w:rPr>
          <w:i/>
          <w:iCs/>
          <w:vertAlign w:val="superscript"/>
        </w:rPr>
        <w:t xml:space="preserve">-/- </w:t>
      </w:r>
      <w:r w:rsidRPr="00124AA4">
        <w:t xml:space="preserve">RSV, n=7. a) Freezing percent of </w:t>
      </w:r>
      <w:r w:rsidRPr="00124AA4">
        <w:rPr>
          <w:i/>
          <w:iCs/>
        </w:rPr>
        <w:t>Eif4</w:t>
      </w:r>
      <w:r w:rsidR="005F1344">
        <w:rPr>
          <w:i/>
          <w:iCs/>
        </w:rPr>
        <w:t>e</w:t>
      </w:r>
      <w:r w:rsidRPr="00124AA4">
        <w:rPr>
          <w:i/>
          <w:iCs/>
        </w:rPr>
        <w:t>bp1/2</w:t>
      </w:r>
      <w:r w:rsidRPr="00124AA4">
        <w:rPr>
          <w:i/>
          <w:iCs/>
          <w:vertAlign w:val="superscript"/>
        </w:rPr>
        <w:t xml:space="preserve">+/+ </w:t>
      </w:r>
      <w:r w:rsidRPr="00124AA4">
        <w:t xml:space="preserve">(left) and </w:t>
      </w:r>
      <w:r w:rsidRPr="00124AA4">
        <w:rPr>
          <w:i/>
          <w:iCs/>
        </w:rPr>
        <w:t>Eif4</w:t>
      </w:r>
      <w:r w:rsidR="005F1344">
        <w:rPr>
          <w:i/>
          <w:iCs/>
        </w:rPr>
        <w:t>e</w:t>
      </w:r>
      <w:r w:rsidRPr="00124AA4">
        <w:rPr>
          <w:i/>
          <w:iCs/>
        </w:rPr>
        <w:t>bp1/2</w:t>
      </w:r>
      <w:r w:rsidRPr="00124AA4">
        <w:rPr>
          <w:i/>
          <w:iCs/>
          <w:vertAlign w:val="superscript"/>
        </w:rPr>
        <w:t xml:space="preserve">-/- </w:t>
      </w:r>
      <w:r w:rsidRPr="00124AA4">
        <w:t xml:space="preserve">(right) mice during the first extinction trial. </w:t>
      </w:r>
      <w:r w:rsidR="00124AA4">
        <w:t xml:space="preserve">Genotype had a main effect (p=0.005), and treatment × trial block showed a significant </w:t>
      </w:r>
      <w:r w:rsidRPr="00124AA4">
        <w:t xml:space="preserve">interaction (p=0.013). Pairwise comparisons revealed that cis-RSV-treated mice had significantly lower freezing in the first 5-trial block. Slope estimates of the freezing percent from baseline to trial block 6 were used to assess the effectiveness of fear extinction, with slopes significantly above 0 indicating that freezing percent remained higher than baseline (as demarcated by the significance bars). Both saline (p=0.022) and cis-RSV (p&lt;0.001) treated </w:t>
      </w:r>
      <w:r w:rsidRPr="00124AA4">
        <w:rPr>
          <w:i/>
          <w:iCs/>
        </w:rPr>
        <w:t>Eif4</w:t>
      </w:r>
      <w:r w:rsidR="005F1344">
        <w:rPr>
          <w:i/>
          <w:iCs/>
        </w:rPr>
        <w:t>e</w:t>
      </w:r>
      <w:r w:rsidRPr="00124AA4">
        <w:rPr>
          <w:i/>
          <w:iCs/>
        </w:rPr>
        <w:t>bp1/2</w:t>
      </w:r>
      <w:r w:rsidRPr="00124AA4">
        <w:rPr>
          <w:i/>
          <w:iCs/>
          <w:vertAlign w:val="superscript"/>
        </w:rPr>
        <w:t xml:space="preserve">+/+ </w:t>
      </w:r>
      <w:r w:rsidRPr="00124AA4">
        <w:t xml:space="preserve">(left) mice had slopes significantly above 0. Similarly, cis-RSV-treated </w:t>
      </w:r>
      <w:r w:rsidRPr="00124AA4">
        <w:rPr>
          <w:i/>
          <w:iCs/>
        </w:rPr>
        <w:t>Eif4</w:t>
      </w:r>
      <w:r w:rsidR="005F1344">
        <w:rPr>
          <w:i/>
          <w:iCs/>
        </w:rPr>
        <w:t>e</w:t>
      </w:r>
      <w:r w:rsidRPr="00124AA4">
        <w:rPr>
          <w:i/>
          <w:iCs/>
        </w:rPr>
        <w:t>bp1/2</w:t>
      </w:r>
      <w:r w:rsidRPr="00124AA4">
        <w:rPr>
          <w:i/>
          <w:iCs/>
          <w:vertAlign w:val="superscript"/>
        </w:rPr>
        <w:t xml:space="preserve">-/- </w:t>
      </w:r>
      <w:r w:rsidRPr="00124AA4">
        <w:t xml:space="preserve">mice (right) had a non-zero slope estimate (p&lt;0.001). </w:t>
      </w:r>
      <w:r w:rsidR="00124AA4">
        <w:t xml:space="preserve">Freezing percentage in saline-treated </w:t>
      </w:r>
      <w:r w:rsidR="00124AA4" w:rsidRPr="005F1344">
        <w:rPr>
          <w:i/>
          <w:iCs/>
        </w:rPr>
        <w:t>Eif4</w:t>
      </w:r>
      <w:r w:rsidR="005F1344">
        <w:rPr>
          <w:i/>
          <w:iCs/>
        </w:rPr>
        <w:t>e</w:t>
      </w:r>
      <w:r w:rsidR="00124AA4" w:rsidRPr="005F1344">
        <w:rPr>
          <w:i/>
          <w:iCs/>
        </w:rPr>
        <w:t>bp1/2</w:t>
      </w:r>
      <w:r w:rsidR="00124AA4" w:rsidRPr="005F1344">
        <w:rPr>
          <w:vertAlign w:val="superscript"/>
        </w:rPr>
        <w:t>-/-</w:t>
      </w:r>
      <w:r w:rsidR="00124AA4">
        <w:t xml:space="preserve"> mice did not differ</w:t>
      </w:r>
      <w:r w:rsidRPr="00124AA4">
        <w:t xml:space="preserve"> from baseline, as the slope estimate was not significantly different from 0 (p=0.329). b) Freezing percent of saline (p&lt;0.001) and cis-RSV (p&lt;0.001) treated </w:t>
      </w:r>
      <w:r w:rsidRPr="00124AA4">
        <w:rPr>
          <w:i/>
          <w:iCs/>
        </w:rPr>
        <w:t>Eif4</w:t>
      </w:r>
      <w:r w:rsidR="005F1344">
        <w:rPr>
          <w:i/>
          <w:iCs/>
        </w:rPr>
        <w:t>e</w:t>
      </w:r>
      <w:r w:rsidRPr="00124AA4">
        <w:rPr>
          <w:i/>
          <w:iCs/>
        </w:rPr>
        <w:t>bp1/2</w:t>
      </w:r>
      <w:r w:rsidRPr="00124AA4">
        <w:rPr>
          <w:i/>
          <w:iCs/>
          <w:vertAlign w:val="superscript"/>
        </w:rPr>
        <w:t xml:space="preserve">+/+ </w:t>
      </w:r>
      <w:r w:rsidRPr="00124AA4">
        <w:t>mice (left</w:t>
      </w:r>
      <w:proofErr w:type="gramStart"/>
      <w:r w:rsidRPr="00124AA4">
        <w:t>)</w:t>
      </w:r>
      <w:proofErr w:type="gramEnd"/>
      <w:r w:rsidRPr="00124AA4">
        <w:t xml:space="preserve"> and saline (p&lt;0.001) and cis-RSV (p&lt;0.001) treated </w:t>
      </w:r>
      <w:r w:rsidRPr="00124AA4">
        <w:rPr>
          <w:i/>
          <w:iCs/>
        </w:rPr>
        <w:t>Eif4</w:t>
      </w:r>
      <w:r w:rsidR="005F1344">
        <w:rPr>
          <w:i/>
          <w:iCs/>
        </w:rPr>
        <w:t>e</w:t>
      </w:r>
      <w:r w:rsidRPr="00124AA4">
        <w:rPr>
          <w:i/>
          <w:iCs/>
        </w:rPr>
        <w:t>bp1/2</w:t>
      </w:r>
      <w:r w:rsidRPr="00124AA4">
        <w:rPr>
          <w:i/>
          <w:iCs/>
          <w:vertAlign w:val="superscript"/>
        </w:rPr>
        <w:t xml:space="preserve">-/- </w:t>
      </w:r>
      <w:r w:rsidRPr="00124AA4">
        <w:t>mice (right) was significantly higher than baseline on extinction day 2. There was no overall effect of genotype (p=0.223), treatment (p=0.463) or any interaction effects.</w:t>
      </w:r>
    </w:p>
    <w:sectPr w:rsidR="00E14643" w:rsidRPr="00124AA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64F"/>
    <w:rsid w:val="00042F8A"/>
    <w:rsid w:val="000D03F8"/>
    <w:rsid w:val="00124AA4"/>
    <w:rsid w:val="00212BFD"/>
    <w:rsid w:val="00314AEC"/>
    <w:rsid w:val="00363882"/>
    <w:rsid w:val="00392BDE"/>
    <w:rsid w:val="004B579D"/>
    <w:rsid w:val="005C4EE9"/>
    <w:rsid w:val="005F1344"/>
    <w:rsid w:val="007154DA"/>
    <w:rsid w:val="0075277F"/>
    <w:rsid w:val="007D052B"/>
    <w:rsid w:val="007F3AE6"/>
    <w:rsid w:val="0086061E"/>
    <w:rsid w:val="008A0514"/>
    <w:rsid w:val="008F352C"/>
    <w:rsid w:val="00913ED2"/>
    <w:rsid w:val="00AE0A65"/>
    <w:rsid w:val="00B06CA4"/>
    <w:rsid w:val="00B4364F"/>
    <w:rsid w:val="00B75F54"/>
    <w:rsid w:val="00D16A2D"/>
    <w:rsid w:val="00D84391"/>
    <w:rsid w:val="00D85A54"/>
    <w:rsid w:val="00D930C4"/>
    <w:rsid w:val="00DE2866"/>
    <w:rsid w:val="00E14643"/>
    <w:rsid w:val="00E37653"/>
    <w:rsid w:val="00E445C8"/>
    <w:rsid w:val="00E87EC1"/>
    <w:rsid w:val="00EB222B"/>
    <w:rsid w:val="00F25134"/>
    <w:rsid w:val="00F521A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065AE"/>
  <w15:chartTrackingRefBased/>
  <w15:docId w15:val="{699F1ACF-7ACE-2340-B69A-DBAB9D882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1C1D1E"/>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36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436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4364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4364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4364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4364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4364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364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364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6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36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364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B4364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4364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4364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4364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4364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4364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4364F"/>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4364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4364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64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4364F"/>
    <w:pPr>
      <w:spacing w:before="160"/>
      <w:jc w:val="center"/>
    </w:pPr>
    <w:rPr>
      <w:i/>
      <w:iCs/>
      <w:color w:val="404040" w:themeColor="text1" w:themeTint="BF"/>
    </w:rPr>
  </w:style>
  <w:style w:type="character" w:customStyle="1" w:styleId="QuoteChar">
    <w:name w:val="Quote Char"/>
    <w:basedOn w:val="DefaultParagraphFont"/>
    <w:link w:val="Quote"/>
    <w:uiPriority w:val="29"/>
    <w:rsid w:val="00B4364F"/>
    <w:rPr>
      <w:i/>
      <w:iCs/>
      <w:color w:val="404040" w:themeColor="text1" w:themeTint="BF"/>
    </w:rPr>
  </w:style>
  <w:style w:type="paragraph" w:styleId="ListParagraph">
    <w:name w:val="List Paragraph"/>
    <w:basedOn w:val="Normal"/>
    <w:uiPriority w:val="34"/>
    <w:qFormat/>
    <w:rsid w:val="00B4364F"/>
    <w:pPr>
      <w:ind w:left="720"/>
      <w:contextualSpacing/>
    </w:pPr>
  </w:style>
  <w:style w:type="character" w:styleId="IntenseEmphasis">
    <w:name w:val="Intense Emphasis"/>
    <w:basedOn w:val="DefaultParagraphFont"/>
    <w:uiPriority w:val="21"/>
    <w:qFormat/>
    <w:rsid w:val="00B4364F"/>
    <w:rPr>
      <w:i/>
      <w:iCs/>
      <w:color w:val="0F4761" w:themeColor="accent1" w:themeShade="BF"/>
    </w:rPr>
  </w:style>
  <w:style w:type="paragraph" w:styleId="IntenseQuote">
    <w:name w:val="Intense Quote"/>
    <w:basedOn w:val="Normal"/>
    <w:next w:val="Normal"/>
    <w:link w:val="IntenseQuoteChar"/>
    <w:uiPriority w:val="30"/>
    <w:qFormat/>
    <w:rsid w:val="00B436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364F"/>
    <w:rPr>
      <w:i/>
      <w:iCs/>
      <w:color w:val="0F4761" w:themeColor="accent1" w:themeShade="BF"/>
    </w:rPr>
  </w:style>
  <w:style w:type="character" w:styleId="IntenseReference">
    <w:name w:val="Intense Reference"/>
    <w:basedOn w:val="DefaultParagraphFont"/>
    <w:uiPriority w:val="32"/>
    <w:qFormat/>
    <w:rsid w:val="00B4364F"/>
    <w:rPr>
      <w:b/>
      <w:bCs/>
      <w:smallCaps/>
      <w:color w:val="0F4761" w:themeColor="accent1" w:themeShade="BF"/>
      <w:spacing w:val="5"/>
    </w:rPr>
  </w:style>
  <w:style w:type="character" w:styleId="Hyperlink">
    <w:name w:val="Hyperlink"/>
    <w:basedOn w:val="DefaultParagraphFont"/>
    <w:uiPriority w:val="99"/>
    <w:unhideWhenUsed/>
    <w:rsid w:val="00B4364F"/>
    <w:rPr>
      <w:color w:val="467886" w:themeColor="hyperlink"/>
      <w:u w:val="single"/>
    </w:rPr>
  </w:style>
  <w:style w:type="character" w:customStyle="1" w:styleId="apple-converted-space">
    <w:name w:val="apple-converted-space"/>
    <w:basedOn w:val="DefaultParagraphFont"/>
    <w:rsid w:val="00B4364F"/>
  </w:style>
  <w:style w:type="paragraph" w:styleId="Caption">
    <w:name w:val="caption"/>
    <w:basedOn w:val="Normal"/>
    <w:next w:val="Normal"/>
    <w:uiPriority w:val="35"/>
    <w:unhideWhenUsed/>
    <w:qFormat/>
    <w:rsid w:val="00B06CA4"/>
    <w:pPr>
      <w:spacing w:after="0" w:line="240" w:lineRule="auto"/>
      <w:jc w:val="both"/>
    </w:pPr>
    <w:rPr>
      <w:rFonts w:ascii="Arial" w:hAnsi="Arial" w:cs="Arial"/>
      <w:b/>
      <w:color w:val="auto"/>
      <w:lang w:val="en-US"/>
    </w:rPr>
  </w:style>
  <w:style w:type="paragraph" w:styleId="Revision">
    <w:name w:val="Revision"/>
    <w:hidden/>
    <w:uiPriority w:val="99"/>
    <w:semiHidden/>
    <w:rsid w:val="007D052B"/>
    <w:pPr>
      <w:spacing w:after="0" w:line="240" w:lineRule="auto"/>
    </w:pPr>
  </w:style>
  <w:style w:type="character" w:styleId="CommentReference">
    <w:name w:val="annotation reference"/>
    <w:basedOn w:val="DefaultParagraphFont"/>
    <w:uiPriority w:val="99"/>
    <w:semiHidden/>
    <w:unhideWhenUsed/>
    <w:rsid w:val="00D16A2D"/>
    <w:rPr>
      <w:sz w:val="16"/>
      <w:szCs w:val="16"/>
    </w:rPr>
  </w:style>
  <w:style w:type="paragraph" w:styleId="CommentText">
    <w:name w:val="annotation text"/>
    <w:basedOn w:val="Normal"/>
    <w:link w:val="CommentTextChar"/>
    <w:uiPriority w:val="99"/>
    <w:semiHidden/>
    <w:unhideWhenUsed/>
    <w:rsid w:val="00D16A2D"/>
    <w:pPr>
      <w:spacing w:line="240" w:lineRule="auto"/>
    </w:pPr>
    <w:rPr>
      <w:sz w:val="20"/>
      <w:szCs w:val="20"/>
    </w:rPr>
  </w:style>
  <w:style w:type="character" w:customStyle="1" w:styleId="CommentTextChar">
    <w:name w:val="Comment Text Char"/>
    <w:basedOn w:val="DefaultParagraphFont"/>
    <w:link w:val="CommentText"/>
    <w:uiPriority w:val="99"/>
    <w:semiHidden/>
    <w:rsid w:val="00D16A2D"/>
    <w:rPr>
      <w:sz w:val="20"/>
      <w:szCs w:val="20"/>
    </w:rPr>
  </w:style>
  <w:style w:type="paragraph" w:styleId="CommentSubject">
    <w:name w:val="annotation subject"/>
    <w:basedOn w:val="CommentText"/>
    <w:next w:val="CommentText"/>
    <w:link w:val="CommentSubjectChar"/>
    <w:uiPriority w:val="99"/>
    <w:semiHidden/>
    <w:unhideWhenUsed/>
    <w:rsid w:val="00D16A2D"/>
    <w:rPr>
      <w:b/>
      <w:bCs/>
    </w:rPr>
  </w:style>
  <w:style w:type="character" w:customStyle="1" w:styleId="CommentSubjectChar">
    <w:name w:val="Comment Subject Char"/>
    <w:basedOn w:val="CommentTextChar"/>
    <w:link w:val="CommentSubject"/>
    <w:uiPriority w:val="99"/>
    <w:semiHidden/>
    <w:rsid w:val="00D16A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rimes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2389</Words>
  <Characters>13619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Rodrigue</dc:creator>
  <cp:keywords/>
  <dc:description/>
  <cp:lastModifiedBy>Argel Aguilar Valles</cp:lastModifiedBy>
  <cp:revision>13</cp:revision>
  <dcterms:created xsi:type="dcterms:W3CDTF">2026-09-04T18:10:00Z</dcterms:created>
  <dcterms:modified xsi:type="dcterms:W3CDTF">2026-09-11T18:19:00Z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69135111-9fca-4edb-a374-5bee1e43d86b</vt:lpwstr>
  </property>
</Properties>
</file>