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Supplementary material</w:t>
      </w:r>
    </w:p>
    <w:p>
      <w:r>
        <w:t>Graphene oxide loading in hierarchical ZnO microflowers for room-temperature ethanol sensing and UVA photodetection</w:t>
      </w:r>
    </w:p>
    <w:p>
      <w:r>
        <w:drawing>
          <wp:inline xmlns:a="http://schemas.openxmlformats.org/drawingml/2006/main" xmlns:pic="http://schemas.openxmlformats.org/drawingml/2006/picture">
            <wp:extent cx="5029200" cy="32983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983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Fig. S1. </w:t>
      </w:r>
      <w:r>
        <w:t>Photograph of the interdigitated electrode used as the device substrate.</w:t>
      </w:r>
    </w:p>
    <w:p>
      <w:r>
        <w:drawing>
          <wp:inline xmlns:a="http://schemas.openxmlformats.org/drawingml/2006/main" xmlns:pic="http://schemas.openxmlformats.org/drawingml/2006/picture">
            <wp:extent cx="5029200" cy="35922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92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Fig. S2. </w:t>
      </w:r>
      <w:r>
        <w:t>Schematic of the ethanol sensing rig, with the Keysight E3640A DC supply, the series resistor R, the APPA-505 multimeter logged over USB, the air pump and the cylindrical test chamber with its heating plate, and the drop-cast film on interdigitated platinum electrodes carried on a glass slide.</w:t>
      </w:r>
    </w:p>
    <w:p>
      <w:r>
        <w:drawing>
          <wp:inline xmlns:a="http://schemas.openxmlformats.org/drawingml/2006/main" xmlns:pic="http://schemas.openxmlformats.org/drawingml/2006/picture">
            <wp:extent cx="5029200" cy="50197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19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Fig. S3. </w:t>
      </w:r>
      <w:r>
        <w:t>Schematic of the ultraviolet dark box, with the black-light UVA lamp, shutter, UV meter, lux meter, interdigitated device, series resistor and 2 V bias.</w:t>
      </w:r>
    </w:p>
    <w:p>
      <w:r>
        <w:drawing>
          <wp:inline xmlns:a="http://schemas.openxmlformats.org/drawingml/2006/main" xmlns:pic="http://schemas.openxmlformats.org/drawingml/2006/picture">
            <wp:extent cx="5029200" cy="390777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907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29200" cy="383572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35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29200" cy="394217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942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29200" cy="401800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018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Fig. S4. </w:t>
      </w:r>
      <w:r>
        <w:t>The (101) reflection of (a) ZnO/1.5 wt% GO, (b) ZnO, (c) ZnO/10 wt% GO and (d) ZnO/5 wt% GO together with the fitted profiles.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