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2FCE" w14:textId="1E8C33A1" w:rsidR="00800302" w:rsidRPr="00800302" w:rsidRDefault="00800302" w:rsidP="00246766">
      <w:pPr>
        <w:pStyle w:val="Heading1"/>
        <w:spacing w:before="0" w:after="100" w:line="480" w:lineRule="auto"/>
        <w:rPr>
          <w:rFonts w:ascii="Times New Roman" w:eastAsia="Times New Roman" w:hAnsi="Times New Roman" w:hint="cs"/>
          <w:sz w:val="28"/>
          <w:szCs w:val="28"/>
          <w:lang w:bidi="fa-IR"/>
        </w:rPr>
      </w:pPr>
      <w:r w:rsidRPr="00800302">
        <w:rPr>
          <w:rFonts w:ascii="Times New Roman" w:eastAsia="Times New Roman" w:hAnsi="Times New Roman"/>
          <w:sz w:val="28"/>
          <w:szCs w:val="28"/>
        </w:rPr>
        <w:t>Supplementary files:</w:t>
      </w:r>
      <w:r w:rsidRPr="00800302">
        <w:rPr>
          <w:rFonts w:ascii="Times New Roman" w:eastAsia="Times New Roman" w:hAnsi="Times New Roman" w:hint="cs"/>
          <w:sz w:val="28"/>
          <w:szCs w:val="28"/>
          <w:rtl/>
          <w:lang w:bidi="fa-IR"/>
        </w:rPr>
        <w:t xml:space="preserve"> </w:t>
      </w:r>
      <w:r w:rsidRPr="00800302">
        <w:rPr>
          <w:rFonts w:ascii="Times New Roman" w:eastAsia="Times New Roman" w:hAnsi="Times New Roman"/>
          <w:sz w:val="28"/>
          <w:szCs w:val="28"/>
          <w:lang w:bidi="fa-IR"/>
        </w:rPr>
        <w:t xml:space="preserve">This file included </w:t>
      </w:r>
      <w:proofErr w:type="spellStart"/>
      <w:r w:rsidRPr="00800302">
        <w:rPr>
          <w:rFonts w:ascii="Times New Roman" w:eastAsia="Times New Roman" w:hAnsi="Times New Roman"/>
          <w:sz w:val="28"/>
          <w:szCs w:val="28"/>
          <w:lang w:bidi="fa-IR"/>
        </w:rPr>
        <w:t>supplematary</w:t>
      </w:r>
      <w:proofErr w:type="spellEnd"/>
      <w:r w:rsidRPr="00800302">
        <w:rPr>
          <w:rFonts w:ascii="Times New Roman" w:eastAsia="Times New Roman" w:hAnsi="Times New Roman"/>
          <w:sz w:val="28"/>
          <w:szCs w:val="28"/>
          <w:lang w:bidi="fa-IR"/>
        </w:rPr>
        <w:t xml:space="preserve"> tables and figures.</w:t>
      </w:r>
    </w:p>
    <w:p w14:paraId="426B7BAA" w14:textId="41A8303B" w:rsidR="00246766" w:rsidRPr="00800302" w:rsidRDefault="00246766" w:rsidP="00246766">
      <w:pPr>
        <w:pStyle w:val="Heading1"/>
        <w:spacing w:before="0" w:after="100" w:line="480" w:lineRule="auto"/>
        <w:rPr>
          <w:sz w:val="28"/>
          <w:szCs w:val="28"/>
        </w:rPr>
      </w:pPr>
      <w:r w:rsidRPr="00800302">
        <w:rPr>
          <w:rFonts w:ascii="Times New Roman" w:eastAsia="Times New Roman" w:hAnsi="Times New Roman"/>
          <w:sz w:val="28"/>
          <w:szCs w:val="28"/>
        </w:rPr>
        <w:t>Supplementary Tables</w:t>
      </w:r>
    </w:p>
    <w:p w14:paraId="3073F290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t xml:space="preserve">Table S1. </w:t>
      </w:r>
      <w:r>
        <w:rPr>
          <w:rFonts w:eastAsia="Times New Roman"/>
          <w:sz w:val="19"/>
        </w:rPr>
        <w:t>Analytic counts and prespecified data-quality audit.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4032"/>
        <w:gridCol w:w="3384"/>
      </w:tblGrid>
      <w:tr w:rsidR="00246766" w14:paraId="4944D383" w14:textId="77777777">
        <w:trPr>
          <w:cantSplit/>
          <w:tblHeader/>
          <w:jc w:val="center"/>
        </w:trPr>
        <w:tc>
          <w:tcPr>
            <w:tcW w:w="30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2D54E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6"/>
              </w:rPr>
              <w:t>Domain</w:t>
            </w:r>
          </w:p>
        </w:tc>
        <w:tc>
          <w:tcPr>
            <w:tcW w:w="40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20076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6"/>
              </w:rPr>
              <w:t>Finding</w:t>
            </w:r>
          </w:p>
        </w:tc>
        <w:tc>
          <w:tcPr>
            <w:tcW w:w="33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C8C54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6"/>
              </w:rPr>
              <w:t>Interpretation</w:t>
            </w:r>
          </w:p>
        </w:tc>
      </w:tr>
      <w:tr w:rsidR="00246766" w14:paraId="28BF08F7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07334B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Unilateral; T1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BA081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97 patients; 97 eyes; 79 enucleations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1D4B8B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Included in primary eye-level analysis</w:t>
            </w:r>
          </w:p>
        </w:tc>
      </w:tr>
      <w:tr w:rsidR="00246766" w14:paraId="0BBF497C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C7C65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Unilateral; T2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10026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166 patients; 166 eyes; 99 enucleations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39996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Included in primary eye-level analysis</w:t>
            </w:r>
          </w:p>
        </w:tc>
      </w:tr>
      <w:tr w:rsidR="00246766" w14:paraId="28E8319E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72C29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Bilateral; T1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9FB23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72 patients; 144 eyes; 63 enucleations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85750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Included in primary eye-level analysis</w:t>
            </w:r>
          </w:p>
        </w:tc>
      </w:tr>
      <w:tr w:rsidR="00246766" w14:paraId="47759398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C43AA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Bilateral; T2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90C45E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156 patients; 312 eyes; 83 enucleations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E3AD2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Included in primary eye-level analysis</w:t>
            </w:r>
          </w:p>
        </w:tc>
      </w:tr>
      <w:tr w:rsidR="00246766" w14:paraId="3CAFACE8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4AC087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Primary adjusted GEE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6CC587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717 eyes; 489 clusters; maximum cluster size 2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6B051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Accepted; robust covariance finite</w:t>
            </w:r>
          </w:p>
        </w:tc>
      </w:tr>
      <w:tr w:rsidR="00246766" w14:paraId="3BA42875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8920D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All accepted GEE models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BE9D4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20/20 passed cluster validation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A52C5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Exchangeable working correlation retained</w:t>
            </w:r>
          </w:p>
        </w:tc>
      </w:tr>
      <w:tr w:rsidR="00246766" w14:paraId="6041AE07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B0D23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Missing age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7D6D4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2/719 eyes (0.3%)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D6532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Excluded only from adjusted models requiring age</w:t>
            </w:r>
          </w:p>
        </w:tc>
      </w:tr>
      <w:tr w:rsidR="00246766" w14:paraId="3A0D0D63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BE23B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Missing/invalid globe time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36D609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2/719 eyes (0.3%)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61FB91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Excluded from globe-preservation analysis</w:t>
            </w:r>
          </w:p>
        </w:tc>
      </w:tr>
      <w:tr w:rsidR="00246766" w14:paraId="73E39263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1C75B0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Enucleation type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FB904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 enucleated eye had unknown type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8DBD0B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Retained for any-enucleation analysis; not classified primary/secondary</w:t>
            </w:r>
          </w:p>
        </w:tc>
      </w:tr>
      <w:tr w:rsidR="00246766" w14:paraId="2102C5B3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73D4D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T1 targeted-treatment crossover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2B996D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5 eye records from 4 bilateral patients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4DBD83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Addressed in sensitivity analysis</w:t>
            </w:r>
          </w:p>
        </w:tc>
      </w:tr>
      <w:tr w:rsidR="00246766" w14:paraId="40CA5EB4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26716F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Bilateral eye-side metadata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7E9627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 patient had 2 records both labeled OS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F7258E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Outcomes retained as distinct source rows; patient clustering unaffected</w:t>
            </w:r>
          </w:p>
        </w:tc>
      </w:tr>
      <w:tr w:rsidR="00246766" w14:paraId="2B9A75CF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9FFABB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ICRB source files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629B8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All 10 group-specific files matched master-file row counts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F511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Used for validation only; not appended</w:t>
            </w:r>
          </w:p>
        </w:tc>
      </w:tr>
      <w:tr w:rsidR="00246766" w14:paraId="78B256B4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FA6583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Table 3 denominator audit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943EC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10/10 laterality-by-ICRB rows reconciled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38521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Initial management and final outcome balances passed</w:t>
            </w:r>
          </w:p>
        </w:tc>
      </w:tr>
      <w:tr w:rsidR="00246766" w14:paraId="19242DFD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CB53E7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Table 4 landmark audit</w:t>
            </w:r>
          </w:p>
        </w:tc>
        <w:tc>
          <w:tcPr>
            <w:tcW w:w="403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2B081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8/8 Kaplan-Meier strata passed</w:t>
            </w:r>
          </w:p>
        </w:tc>
        <w:tc>
          <w:tcPr>
            <w:tcW w:w="338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E1591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7-year risk sets and event counts reconciled to full follow-up totals</w:t>
            </w:r>
          </w:p>
        </w:tc>
      </w:tr>
    </w:tbl>
    <w:p w14:paraId="1C050834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OS denotes left eye; GEE, generalized estimating equation. Raw-data discrepancies are reported transparently and were not silently overwritten.</w:t>
      </w:r>
    </w:p>
    <w:p w14:paraId="08186EE5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2C62EF21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S2. </w:t>
      </w:r>
      <w:r>
        <w:rPr>
          <w:rFonts w:eastAsia="Times New Roman"/>
          <w:sz w:val="19"/>
        </w:rPr>
        <w:t>Detailed affected-eye characteristics by era and laterality.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72"/>
        <w:gridCol w:w="1656"/>
        <w:gridCol w:w="1656"/>
        <w:gridCol w:w="1656"/>
        <w:gridCol w:w="1656"/>
      </w:tblGrid>
      <w:tr w:rsidR="00246766" w14:paraId="6183DB28" w14:textId="77777777">
        <w:trPr>
          <w:cantSplit/>
          <w:tblHeader/>
          <w:jc w:val="center"/>
        </w:trPr>
        <w:tc>
          <w:tcPr>
            <w:tcW w:w="36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7C97B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5"/>
              </w:rPr>
              <w:t>Characteristic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D4E8F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Unilateral T1</w:t>
            </w:r>
            <w:r>
              <w:rPr>
                <w:rFonts w:eastAsia="Times New Roman"/>
                <w:b/>
                <w:sz w:val="15"/>
              </w:rPr>
              <w:br/>
              <w:t>(n=97 eyes)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FA79B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Unilateral T2</w:t>
            </w:r>
            <w:r>
              <w:rPr>
                <w:rFonts w:eastAsia="Times New Roman"/>
                <w:b/>
                <w:sz w:val="15"/>
              </w:rPr>
              <w:br/>
              <w:t>(n=166 eyes)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1C327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Bilateral T1</w:t>
            </w:r>
            <w:r>
              <w:rPr>
                <w:rFonts w:eastAsia="Times New Roman"/>
                <w:b/>
                <w:sz w:val="15"/>
              </w:rPr>
              <w:br/>
              <w:t>(n=144 eyes)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C959B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Bilateral T2</w:t>
            </w:r>
            <w:r>
              <w:rPr>
                <w:rFonts w:eastAsia="Times New Roman"/>
                <w:b/>
                <w:sz w:val="15"/>
              </w:rPr>
              <w:br/>
              <w:t>(n=312 eyes)</w:t>
            </w:r>
          </w:p>
        </w:tc>
      </w:tr>
      <w:tr w:rsidR="00246766" w14:paraId="4A8956DA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A7B7C4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Affected eye, right (OD)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5B751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46/97 (47.4%)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A840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93/166 (56.0%)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2D0E10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applicable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255A43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applicable</w:t>
            </w:r>
          </w:p>
        </w:tc>
      </w:tr>
      <w:tr w:rsidR="00246766" w14:paraId="07B07CE1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1D5D29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Affected eye, left (OS)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FDE70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51/97 (52.6%)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1955D3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73/166 (44.0%)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253CF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applicable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A024C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applicable</w:t>
            </w:r>
          </w:p>
        </w:tc>
      </w:tr>
      <w:tr w:rsidR="00246766" w14:paraId="3AF130A5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B3844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ICRB group A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E5742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 (1.0%)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2A5BB0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 (0.6%)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050A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 (6.3%)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B8225C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18 (5.8%)</w:t>
            </w:r>
          </w:p>
        </w:tc>
      </w:tr>
      <w:tr w:rsidR="00246766" w14:paraId="18A77895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E3F77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ICRB group B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9A768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 (4.1%)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C256D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20 (12.0%)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38A2D4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32 (22.2%)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F6E47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68 (21.8%)</w:t>
            </w:r>
          </w:p>
        </w:tc>
      </w:tr>
      <w:tr w:rsidR="00246766" w14:paraId="52FAAF95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C9AD5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ICRB group C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30AD75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 (8.2%)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F2FEA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11 (6.6%)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21FA69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24 (16.7%)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34757A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47 (15.1%)</w:t>
            </w:r>
          </w:p>
        </w:tc>
      </w:tr>
      <w:tr w:rsidR="00246766" w14:paraId="20CBAD0D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62EC20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ICRB group D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AD5F9F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23 (23.7%)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E2F20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16 (9.6%)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66D235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30 (20.8%)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F2484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50 (16.0%)</w:t>
            </w:r>
          </w:p>
        </w:tc>
      </w:tr>
      <w:tr w:rsidR="00246766" w14:paraId="147FE41A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BA9CB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ICRB group 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1B263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61 (62.9%)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6970BD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118 (71.1%)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ADFF7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49 (34.0%)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2F23D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129 (41.3%)</w:t>
            </w:r>
          </w:p>
        </w:tc>
      </w:tr>
      <w:tr w:rsidR="00246766" w14:paraId="61505562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5E750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Advanced ICRB D/E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BBDD7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84 (86.6%)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2AFA5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134 (80.7%)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4D3921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79 (54.9%)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990B3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179 (57.4%)</w:t>
            </w:r>
          </w:p>
        </w:tc>
      </w:tr>
      <w:tr w:rsidR="00246766" w14:paraId="66F8A3B9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E87BF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Any targeted chemotherapy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E8E47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 (0.0%)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79157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50 (30.1%)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DC3E74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 (3.5%)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F8B884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93 (29.8%)</w:t>
            </w:r>
          </w:p>
        </w:tc>
      </w:tr>
      <w:tr w:rsidR="00246766" w14:paraId="5102FD54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ADE16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Targeted: intra-arterial only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8ADD7A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 (0.0%)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0381A5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28 (16.9%)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570CD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 (2.1%)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94656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52 (16.7%)</w:t>
            </w:r>
          </w:p>
        </w:tc>
      </w:tr>
      <w:tr w:rsidR="00246766" w14:paraId="59A87F6E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ABD625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Targeted: intra-arterial + intravitreal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E72BA3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 (0.0%)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25E875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19 (11.4%)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7B6A7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 (0.7%)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AFA70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26 (8.3%)</w:t>
            </w:r>
          </w:p>
        </w:tc>
      </w:tr>
      <w:tr w:rsidR="00246766" w14:paraId="27BE8587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02D736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Targeted: intravitreal only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B12B7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 (0.0%)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DCF6B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 (1.8%)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CF1310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 (0.7%)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F1D67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15 (4.8%)</w:t>
            </w:r>
          </w:p>
        </w:tc>
      </w:tr>
      <w:tr w:rsidR="00246766" w14:paraId="7AF73B06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15592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Recurrence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509B6C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 (2.1%)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0B513E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14 (8.4%)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C9869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31/142 (21.8%)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3E45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57/311 (18.3%)</w:t>
            </w:r>
          </w:p>
        </w:tc>
      </w:tr>
      <w:tr w:rsidR="00246766" w14:paraId="156EE915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9A0514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Subretinal fluid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5A496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34 (35.1%)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BE30E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45 (27.1%)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B671B3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24/142 (16.9%)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8C964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69/311 (22.2%)</w:t>
            </w:r>
          </w:p>
        </w:tc>
      </w:tr>
      <w:tr w:rsidR="00246766" w14:paraId="0F0CF2EE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F08DB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Vitreous seeding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78889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29 (29.9%)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1C885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49 (29.5%)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A6F44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30/142 (21.1%)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F71C7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84/311 (27.0%)</w:t>
            </w:r>
          </w:p>
        </w:tc>
      </w:tr>
      <w:tr w:rsidR="00246766" w14:paraId="2A194DB8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D0502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Subretinal seeding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A0C5A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 (22.7%)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CAB84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44 (26.5%)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0C999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19/142 (13.4%)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6D246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74/312 (23.7%)</w:t>
            </w:r>
          </w:p>
        </w:tc>
      </w:tr>
      <w:tr w:rsidR="00246766" w14:paraId="61B593F0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C7535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Unifocal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4D47BE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60/84 (71.4%)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6A33F1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59/121 (48.8%)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FB72E5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53/131 (40.5%)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1799E2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78/273 (28.6%)</w:t>
            </w:r>
          </w:p>
        </w:tc>
      </w:tr>
      <w:tr w:rsidR="00246766" w14:paraId="6B85C2D1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F9409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Multifocal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2EE77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24/84 (28.6%)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872DCE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62/121 (51.2%)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99182D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78/131 (59.5%)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55C57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195/273 (71.4%)</w:t>
            </w:r>
          </w:p>
        </w:tc>
      </w:tr>
      <w:tr w:rsidR="00246766" w14:paraId="6CDE62AE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8FC28B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No enucleation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26F04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18 (18.6%)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BDD1DA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67 (40.4%)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C7505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81 (56.3%)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619D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229 (73.4%)</w:t>
            </w:r>
          </w:p>
        </w:tc>
      </w:tr>
      <w:tr w:rsidR="00246766" w14:paraId="7ABE331C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7C970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Primary enucleation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8BA13D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74 (76.3%)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9849C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83 (50.0%)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53C20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50 (34.7%)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47FCE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65 (20.8%)</w:t>
            </w:r>
          </w:p>
        </w:tc>
      </w:tr>
      <w:tr w:rsidR="00246766" w14:paraId="030166C1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DBBA96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Secondary enucleation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5F253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 (5.2%)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4249E5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16 (9.6%)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DBD2F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12 (8.3%)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381EC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18 (5.8%)</w:t>
            </w:r>
          </w:p>
        </w:tc>
      </w:tr>
      <w:tr w:rsidR="00246766" w14:paraId="55F58262" w14:textId="77777777">
        <w:trPr>
          <w:cantSplit/>
          <w:jc w:val="center"/>
        </w:trPr>
        <w:tc>
          <w:tcPr>
            <w:tcW w:w="367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7CF9EE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Unknown enucleation type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0FE4E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3CC57D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53A81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 (0.7%)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64E01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</w:t>
            </w:r>
          </w:p>
        </w:tc>
      </w:tr>
    </w:tbl>
    <w:p w14:paraId="4697D400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 xml:space="preserve">Values are n (%) or n/N (%) when the </w:t>
      </w:r>
      <w:proofErr w:type="spellStart"/>
      <w:r>
        <w:rPr>
          <w:rFonts w:eastAsia="Times New Roman"/>
          <w:sz w:val="16"/>
        </w:rPr>
        <w:t>nonmissing</w:t>
      </w:r>
      <w:proofErr w:type="spellEnd"/>
      <w:r>
        <w:rPr>
          <w:rFonts w:eastAsia="Times New Roman"/>
          <w:sz w:val="16"/>
        </w:rPr>
        <w:t xml:space="preserve"> denominator differs from the stratum total. OD and OS are summarized only for unilateral disease because bilateral disease involves both eyes by definition. </w:t>
      </w:r>
      <w:proofErr w:type="gramStart"/>
      <w:r>
        <w:rPr>
          <w:rFonts w:eastAsia="Times New Roman"/>
          <w:sz w:val="16"/>
        </w:rPr>
        <w:t>Overall</w:t>
      </w:r>
      <w:proofErr w:type="gramEnd"/>
      <w:r>
        <w:rPr>
          <w:rFonts w:eastAsia="Times New Roman"/>
          <w:sz w:val="16"/>
        </w:rPr>
        <w:t xml:space="preserve"> among unilateral patients, 139 of 263 affected eyes (52.9%) were OD and 124 (47.1%) were OS. These are descriptive eye-level summaries; inferential comparisons account for patient clustering.</w:t>
      </w:r>
    </w:p>
    <w:p w14:paraId="49ACDB24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075FD770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S3. </w:t>
      </w:r>
      <w:r>
        <w:rPr>
          <w:rFonts w:eastAsia="Times New Roman"/>
          <w:sz w:val="19"/>
        </w:rPr>
        <w:t>ICRB-group-specific era effects on enucleation with false-discovery-rate control.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648"/>
        <w:gridCol w:w="720"/>
        <w:gridCol w:w="720"/>
        <w:gridCol w:w="1944"/>
        <w:gridCol w:w="864"/>
        <w:gridCol w:w="936"/>
        <w:gridCol w:w="2952"/>
      </w:tblGrid>
      <w:tr w:rsidR="00246766" w14:paraId="632F1513" w14:textId="77777777">
        <w:trPr>
          <w:cantSplit/>
          <w:tblHeader/>
          <w:jc w:val="center"/>
        </w:trPr>
        <w:tc>
          <w:tcPr>
            <w:tcW w:w="12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2D8919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4"/>
              </w:rPr>
              <w:t>Laterality</w:t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957418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ICRB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378A2F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Eyes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60FE7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Events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2DD4F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T2 vs T1 RR (95% CI)</w:t>
            </w:r>
          </w:p>
        </w:tc>
        <w:tc>
          <w:tcPr>
            <w:tcW w:w="8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50643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P value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F228E2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BH q value</w:t>
            </w:r>
          </w:p>
        </w:tc>
        <w:tc>
          <w:tcPr>
            <w:tcW w:w="29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BB4D3D2" w14:textId="77777777" w:rsidR="00246766" w:rsidRDefault="00246766">
            <w:pPr>
              <w:spacing w:after="0" w:line="480" w:lineRule="auto"/>
              <w:jc w:val="center"/>
            </w:pPr>
            <w:proofErr w:type="spellStart"/>
            <w:r>
              <w:rPr>
                <w:rFonts w:eastAsia="Times New Roman"/>
                <w:b/>
                <w:sz w:val="14"/>
              </w:rPr>
              <w:t>Estimability</w:t>
            </w:r>
            <w:proofErr w:type="spellEnd"/>
          </w:p>
        </w:tc>
      </w:tr>
      <w:tr w:rsidR="00246766" w14:paraId="28B1CF52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48686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DACE0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A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1DBCE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27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E3C64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3A50A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NE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52629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5A04D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9E386A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Not estimable because one/both era groups have no events</w:t>
            </w:r>
          </w:p>
        </w:tc>
      </w:tr>
      <w:tr w:rsidR="00246766" w14:paraId="07C79B5A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6B530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85D365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B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FB938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100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057AB0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486D6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NE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AD89E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52680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F52D52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Not estimable because one/both era groups have no events</w:t>
            </w:r>
          </w:p>
        </w:tc>
      </w:tr>
      <w:tr w:rsidR="00246766" w14:paraId="678B53B2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9F73E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32F600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C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B84D6D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71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232191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6FA843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2.22 (0.26-18.77)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3AF168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0.466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F00567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0.466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02052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Estimable</w:t>
            </w:r>
          </w:p>
        </w:tc>
      </w:tr>
      <w:tr w:rsidR="00246766" w14:paraId="0320D89A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716C0E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F37E0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D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3725D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80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B38BA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24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00C09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0.25 (0.12-0.52)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E9025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0BF19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3FFED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Estimable</w:t>
            </w:r>
          </w:p>
        </w:tc>
      </w:tr>
      <w:tr w:rsidR="00246766" w14:paraId="231BD18A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22328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F97A2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DD0067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178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0956E2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116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AED2D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0.62 (0.52-0.74)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DB365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4C0258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6BC2C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Estimable</w:t>
            </w:r>
          </w:p>
        </w:tc>
      </w:tr>
      <w:tr w:rsidR="00246766" w14:paraId="032858B0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426A0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EA990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A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FCD55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7914EE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C8E090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NE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FE3CF1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74E81B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F925B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Not estimable because one/both era groups have no events</w:t>
            </w:r>
          </w:p>
        </w:tc>
      </w:tr>
      <w:tr w:rsidR="00246766" w14:paraId="365B2AB1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DDF19C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2ED9A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B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47471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24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7FE3E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56C98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NE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DBA6C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65A98A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25C09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Not estimable because one/both era groups have no events</w:t>
            </w:r>
          </w:p>
        </w:tc>
      </w:tr>
      <w:tr w:rsidR="00246766" w14:paraId="1F3C0455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81921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CEEC6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C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50EA8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427AE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72211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NE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6D925B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947CB6" w14:textId="77777777" w:rsidR="00246766" w:rsidRDefault="00246766">
            <w:pPr>
              <w:spacing w:after="0" w:line="480" w:lineRule="auto"/>
              <w:jc w:val="center"/>
            </w:pP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68108D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Not estimable because one/both era groups have no events</w:t>
            </w:r>
          </w:p>
        </w:tc>
      </w:tr>
      <w:tr w:rsidR="00246766" w14:paraId="0FC39130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7EF28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2A904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D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4EE34A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39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66FFB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6C5AB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0.15 (0.04-0.56)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E1969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0.005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5A225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0.006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E3A87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Estimable</w:t>
            </w:r>
          </w:p>
        </w:tc>
      </w:tr>
      <w:tr w:rsidR="00246766" w14:paraId="63207368" w14:textId="77777777">
        <w:trPr>
          <w:cantSplit/>
          <w:jc w:val="center"/>
        </w:trPr>
        <w:tc>
          <w:tcPr>
            <w:tcW w:w="122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A5A6B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FAABB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9ADD3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179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024FD8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156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61F755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0.83 (0.75-0.91)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FE4961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F5EDF4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A76D7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Estimable</w:t>
            </w:r>
          </w:p>
        </w:tc>
      </w:tr>
    </w:tbl>
    <w:p w14:paraId="6EF8478D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RRs are estimated with patient-clustered modified-Poisson GEE. BH denotes Benjamini-Hochberg; NE, not estimable because one or both era groups had no events.</w:t>
      </w:r>
    </w:p>
    <w:p w14:paraId="45DDE635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6CD54E00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S4. </w:t>
      </w:r>
      <w:r>
        <w:rPr>
          <w:rFonts w:eastAsia="Times New Roman"/>
          <w:sz w:val="19"/>
        </w:rPr>
        <w:t>Targeted-chemotherapy adoption and targeted modality by era and laterality.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48"/>
        <w:gridCol w:w="2016"/>
        <w:gridCol w:w="1728"/>
        <w:gridCol w:w="1584"/>
        <w:gridCol w:w="1800"/>
        <w:gridCol w:w="1440"/>
      </w:tblGrid>
      <w:tr w:rsidR="00246766" w14:paraId="3272617D" w14:textId="77777777">
        <w:trPr>
          <w:cantSplit/>
          <w:tblHeader/>
          <w:jc w:val="center"/>
        </w:trPr>
        <w:tc>
          <w:tcPr>
            <w:tcW w:w="11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E1E528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4"/>
              </w:rPr>
              <w:t>Laterality</w:t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51010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Era</w:t>
            </w:r>
          </w:p>
        </w:tc>
        <w:tc>
          <w:tcPr>
            <w:tcW w:w="20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A21AC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Patients with any targeted therapy</w:t>
            </w:r>
          </w:p>
        </w:tc>
        <w:tc>
          <w:tcPr>
            <w:tcW w:w="172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7EB049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Eyes with targeted therapy</w:t>
            </w:r>
          </w:p>
        </w:tc>
        <w:tc>
          <w:tcPr>
            <w:tcW w:w="15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1CC23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Intra-arterial only</w:t>
            </w: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053A74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Intra-arterial + intravitreal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44411F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Intravitreal only</w:t>
            </w:r>
          </w:p>
        </w:tc>
      </w:tr>
      <w:tr w:rsidR="00246766" w14:paraId="23AE2FEE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912BEB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2A74A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T1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CAEBA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BF91E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  <w:tc>
          <w:tcPr>
            <w:tcW w:w="15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14E21B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70438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DC121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</w:tr>
      <w:tr w:rsidR="00246766" w14:paraId="5344EEC8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C718CC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B33C8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CA948C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50/166 (30.1%)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55A3B7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50/166 (30.1%)</w:t>
            </w:r>
          </w:p>
        </w:tc>
        <w:tc>
          <w:tcPr>
            <w:tcW w:w="15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A7DBD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28/166 (16.9%)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FA95C8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19/166 (11.4%)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4FCBA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3/166 (1.8%)</w:t>
            </w:r>
          </w:p>
        </w:tc>
      </w:tr>
      <w:tr w:rsidR="00246766" w14:paraId="14EB5B29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89471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B78644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T1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AB5FA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4/72 (5.6%)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81EA3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5/144 (3.5%)</w:t>
            </w:r>
          </w:p>
        </w:tc>
        <w:tc>
          <w:tcPr>
            <w:tcW w:w="15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039B5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3/144 (2.1%)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6C5F5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1/144 (0.7%)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9309C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1/144 (0.7%)</w:t>
            </w:r>
          </w:p>
        </w:tc>
      </w:tr>
      <w:tr w:rsidR="00246766" w14:paraId="6D8D46BB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414E00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FE345D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FBD02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67/156 (42.9%)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6E449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93/312 (29.8%)</w:t>
            </w:r>
          </w:p>
        </w:tc>
        <w:tc>
          <w:tcPr>
            <w:tcW w:w="158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49FA1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52/312 (16.7%)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90C4F1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26/312 (8.3%)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44416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15/312 (4.8%)</w:t>
            </w:r>
          </w:p>
        </w:tc>
      </w:tr>
    </w:tbl>
    <w:p w14:paraId="5FDF7722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Patient-level receipt indicates targeted treatment in at least 1 affected eye. Eye-level modality categories are mutually exclusive and derived from the harmonized targeted-treatment field.</w:t>
      </w:r>
    </w:p>
    <w:p w14:paraId="1AEA2F4B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2524FEDA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S5. </w:t>
      </w:r>
      <w:r>
        <w:rPr>
          <w:rFonts w:eastAsia="Times New Roman"/>
          <w:sz w:val="19"/>
        </w:rPr>
        <w:t>Exploratory targeted-chemotherapy associations in the later treatment era.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1872"/>
        <w:gridCol w:w="1512"/>
        <w:gridCol w:w="720"/>
        <w:gridCol w:w="3168"/>
      </w:tblGrid>
      <w:tr w:rsidR="00246766" w14:paraId="7A4EEB45" w14:textId="77777777">
        <w:trPr>
          <w:cantSplit/>
          <w:tblHeader/>
          <w:jc w:val="center"/>
        </w:trPr>
        <w:tc>
          <w:tcPr>
            <w:tcW w:w="29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51CA4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5"/>
              </w:rPr>
              <w:t>Analysis population/outcome</w:t>
            </w:r>
          </w:p>
        </w:tc>
        <w:tc>
          <w:tcPr>
            <w:tcW w:w="18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7CA2B3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Contrast</w:t>
            </w:r>
          </w:p>
        </w:tc>
        <w:tc>
          <w:tcPr>
            <w:tcW w:w="15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E9790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RR (95% CI)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4D518B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P value</w:t>
            </w:r>
          </w:p>
        </w:tc>
        <w:tc>
          <w:tcPr>
            <w:tcW w:w="31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23465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Interpretive limitation</w:t>
            </w:r>
          </w:p>
        </w:tc>
      </w:tr>
      <w:tr w:rsidR="00246766" w14:paraId="7BE970D8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A4AA9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Any enucleation among T2 advanced eyes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830DAF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Targeted vs no targeted therapy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54DF2F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0.55 (0.42-0.72)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6F3D3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&lt;0.001</w:t>
            </w:r>
          </w:p>
        </w:tc>
        <w:tc>
          <w:tcPr>
            <w:tcW w:w="31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88BF2A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Exploratory association; vulnerable to confounding by indication and structural treatment selection</w:t>
            </w:r>
          </w:p>
        </w:tc>
      </w:tr>
      <w:tr w:rsidR="00246766" w14:paraId="1CD67493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9B0FC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Secondary enucleation among T2 eyes entering conservative management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8B9CC5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Targeted vs no targeted therapy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E2020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1.40 (0.73-2.68)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746BC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0.313</w:t>
            </w:r>
          </w:p>
        </w:tc>
        <w:tc>
          <w:tcPr>
            <w:tcW w:w="316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C57BC1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Exploratory association; treatment timing is not available, so immortal-time bias cannot be excluded</w:t>
            </w:r>
          </w:p>
        </w:tc>
      </w:tr>
    </w:tbl>
    <w:p w14:paraId="6A42FF2B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Models use patient-clustered GEE and are associational. RR denotes risk ratio.</w:t>
      </w:r>
    </w:p>
    <w:p w14:paraId="274417AC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7A4CEF68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S6. </w:t>
      </w:r>
      <w:r>
        <w:rPr>
          <w:rFonts w:eastAsia="Times New Roman"/>
          <w:sz w:val="19"/>
        </w:rPr>
        <w:t>Sensitivity analyses of treatment-era effects on enucleation.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672"/>
        <w:gridCol w:w="1224"/>
        <w:gridCol w:w="1512"/>
        <w:gridCol w:w="792"/>
      </w:tblGrid>
      <w:tr w:rsidR="00246766" w14:paraId="77B3D25C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89656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4"/>
              </w:rPr>
              <w:t>Sensitivity population</w:t>
            </w:r>
          </w:p>
        </w:tc>
        <w:tc>
          <w:tcPr>
            <w:tcW w:w="36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603638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Effect</w:t>
            </w:r>
          </w:p>
        </w:tc>
        <w:tc>
          <w:tcPr>
            <w:tcW w:w="12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B0D0BE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RR/ratio of RRs</w:t>
            </w:r>
          </w:p>
        </w:tc>
        <w:tc>
          <w:tcPr>
            <w:tcW w:w="15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8F688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95% CI</w: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AAC0C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P value</w:t>
            </w:r>
          </w:p>
        </w:tc>
      </w:tr>
      <w:tr w:rsidR="00246766" w14:paraId="42EEB165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9A1BB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Advanced eyes only (D/E)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B2624E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unilateral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62A18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0.71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DCDD8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0.63-0.79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2AE06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3C93DD8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18468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Advanced eyes only (D/E)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056BD4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bilateral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A7250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0.53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44633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0.44-0.64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9F47D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34283D1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A7008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Advanced eyes only (D/E)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CD00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Era-by-laterality interaction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861DF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0.75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37C93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0.60-0.94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2F504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0.014</w:t>
            </w:r>
          </w:p>
        </w:tc>
      </w:tr>
      <w:tr w:rsidR="00246766" w14:paraId="13C366CF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6BD62A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D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7E170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unilateral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2454AA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0.15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4D682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0.04-0.57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FA122D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0.005</w:t>
            </w:r>
          </w:p>
        </w:tc>
      </w:tr>
      <w:tr w:rsidR="00246766" w14:paraId="72057AE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4BC3A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D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9EB1B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bilateral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13B81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0.24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589BCD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0.11-0.53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1F762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360EB409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48F8F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D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83D7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Era-by-laterality interaction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F8A72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1.56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32860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0.34-7.18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4C66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0.566</w:t>
            </w:r>
          </w:p>
        </w:tc>
      </w:tr>
      <w:tr w:rsidR="00246766" w14:paraId="4004897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D1D806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E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D3E60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unilateral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2C891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0.82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93019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0.74-0.90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B071A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109BCBD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1AF28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E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9D7CDE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bilateral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03307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0.62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066663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0.53-0.74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6C664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5038BFA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E6E29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ICRB group E only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8FE0F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Era-by-laterality interaction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B67EA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0.76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26CB5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0.63-0.93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53217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0.007</w:t>
            </w:r>
          </w:p>
        </w:tc>
      </w:tr>
      <w:tr w:rsidR="00246766" w14:paraId="2B1BE1D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C1D648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Exclude T1 targeted-therapy crossovers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A74AD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unilateral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EFF1B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0.71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A1946B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0.63-0.79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6BA7B6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6471A8B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7B32E3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Exclude T1 targeted-therapy crossovers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0120F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bilateral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65B736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0.53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D67536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0.44-0.64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F711C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&lt;0.001</w:t>
            </w:r>
          </w:p>
        </w:tc>
      </w:tr>
      <w:tr w:rsidR="00246766" w14:paraId="4EFC08B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62D29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Exclude T1 targeted-therapy crossovers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34ED3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Era-by-laterality interaction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A7CA65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0.75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06A8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0.61-0.94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98C85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0.012</w:t>
            </w:r>
          </w:p>
        </w:tc>
      </w:tr>
      <w:tr w:rsidR="00246766" w14:paraId="0635268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5E7CA0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Secondary enucleation after excluding primary enucleations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3E04B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unilateral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47FE0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0.47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EA388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0.21-1.06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884E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0.069</w:t>
            </w:r>
          </w:p>
        </w:tc>
      </w:tr>
      <w:tr w:rsidR="00246766" w14:paraId="2EF50C7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12EF3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Secondary enucleation after excluding primary enucleations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6FEE5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 vs T1 within bilateral disease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1765E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0.39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AC669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0.21-0.71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E99B3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0.002</w:t>
            </w:r>
          </w:p>
        </w:tc>
      </w:tr>
      <w:tr w:rsidR="00246766" w14:paraId="1C8D485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ECDA0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Secondary enucleation after excluding primary enucleations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E74DE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Era-by-laterality interaction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75FE0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0.81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9ED2F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0.31-2.16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11378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0.679</w:t>
            </w:r>
          </w:p>
        </w:tc>
      </w:tr>
    </w:tbl>
    <w:p w14:paraId="731CC77B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All estimates use modified-Poisson GEE with patient clustering. Interaction rows are bilateral-to-unilateral ratios of era-specific RRs.</w:t>
      </w:r>
    </w:p>
    <w:p w14:paraId="321DBB63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39AA88A0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S7. </w:t>
      </w:r>
      <w:r>
        <w:rPr>
          <w:rFonts w:eastAsia="Times New Roman"/>
          <w:sz w:val="19"/>
        </w:rPr>
        <w:t>Scaled Schoenfeld-residual tests for the globe-loss Cox model.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1080"/>
        <w:gridCol w:w="648"/>
        <w:gridCol w:w="1080"/>
        <w:gridCol w:w="4176"/>
      </w:tblGrid>
      <w:tr w:rsidR="00246766" w14:paraId="478E9C84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E483CC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6"/>
              </w:rPr>
              <w:t>Cox model term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50E2F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6"/>
              </w:rPr>
              <w:t>χ²</w:t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20899A" w14:textId="77777777" w:rsidR="00246766" w:rsidRDefault="00246766">
            <w:pPr>
              <w:spacing w:after="0" w:line="480" w:lineRule="auto"/>
              <w:jc w:val="center"/>
            </w:pPr>
            <w:proofErr w:type="spellStart"/>
            <w:r>
              <w:rPr>
                <w:rFonts w:eastAsia="Times New Roman"/>
                <w:b/>
                <w:sz w:val="16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4BD1A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6"/>
              </w:rPr>
              <w:t>P value</w:t>
            </w:r>
          </w:p>
        </w:tc>
        <w:tc>
          <w:tcPr>
            <w:tcW w:w="41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B6E57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6"/>
              </w:rPr>
              <w:t>Interpretation</w:t>
            </w:r>
          </w:p>
        </w:tc>
      </w:tr>
      <w:tr w:rsidR="00246766" w14:paraId="5CF25A13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173EF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era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D7100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2.79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8E99E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9B3506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0.095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F20EB5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No statistical evidence of nonproportionality</w:t>
            </w:r>
          </w:p>
        </w:tc>
      </w:tr>
      <w:tr w:rsidR="00246766" w14:paraId="3580A8CB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8767E8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laterality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4E0723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0.52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8A367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57690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0.472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6666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No statistical evidence of nonproportionality</w:t>
            </w:r>
          </w:p>
        </w:tc>
      </w:tr>
      <w:tr w:rsidR="00246766" w14:paraId="30B1A21C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D853CE" w14:textId="77777777" w:rsidR="00246766" w:rsidRDefault="00246766">
            <w:pPr>
              <w:spacing w:after="0" w:line="480" w:lineRule="auto"/>
            </w:pPr>
            <w:proofErr w:type="spellStart"/>
            <w:r>
              <w:rPr>
                <w:rFonts w:eastAsia="Times New Roman"/>
                <w:sz w:val="16"/>
              </w:rPr>
              <w:t>stage_strata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D13DA6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10.59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DAF8A9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263F05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0.005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F08D3C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Potential nonproportionality</w:t>
            </w:r>
          </w:p>
        </w:tc>
      </w:tr>
      <w:tr w:rsidR="00246766" w14:paraId="08C8E95E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A4C8B7" w14:textId="77777777" w:rsidR="00246766" w:rsidRDefault="00246766">
            <w:pPr>
              <w:spacing w:after="0" w:line="480" w:lineRule="auto"/>
            </w:pPr>
            <w:proofErr w:type="gramStart"/>
            <w:r>
              <w:rPr>
                <w:rFonts w:eastAsia="Times New Roman"/>
                <w:sz w:val="16"/>
              </w:rPr>
              <w:t>splines::ns(</w:t>
            </w:r>
            <w:proofErr w:type="spellStart"/>
            <w:proofErr w:type="gramEnd"/>
            <w:r>
              <w:rPr>
                <w:rFonts w:eastAsia="Times New Roman"/>
                <w:sz w:val="16"/>
              </w:rPr>
              <w:t>age_months</w:t>
            </w:r>
            <w:proofErr w:type="spellEnd"/>
            <w:r>
              <w:rPr>
                <w:rFonts w:eastAsia="Times New Roman"/>
                <w:sz w:val="16"/>
              </w:rPr>
              <w:t xml:space="preserve">, knots = </w:t>
            </w:r>
            <w:proofErr w:type="gramStart"/>
            <w:r>
              <w:rPr>
                <w:rFonts w:eastAsia="Times New Roman"/>
                <w:sz w:val="16"/>
              </w:rPr>
              <w:t>c(</w:t>
            </w:r>
            <w:proofErr w:type="gramEnd"/>
            <w:r>
              <w:rPr>
                <w:rFonts w:eastAsia="Times New Roman"/>
                <w:sz w:val="16"/>
              </w:rPr>
              <w:t xml:space="preserve">12, 31), </w:t>
            </w:r>
            <w:proofErr w:type="spellStart"/>
            <w:r>
              <w:rPr>
                <w:rFonts w:eastAsia="Times New Roman"/>
                <w:sz w:val="16"/>
              </w:rPr>
              <w:t>Boundary.knots</w:t>
            </w:r>
            <w:proofErr w:type="spellEnd"/>
            <w:r>
              <w:rPr>
                <w:rFonts w:eastAsia="Times New Roman"/>
                <w:sz w:val="16"/>
              </w:rPr>
              <w:t xml:space="preserve"> = </w:t>
            </w:r>
            <w:proofErr w:type="gramStart"/>
            <w:r>
              <w:rPr>
                <w:rFonts w:eastAsia="Times New Roman"/>
                <w:sz w:val="16"/>
              </w:rPr>
              <w:t>c(</w:t>
            </w:r>
            <w:proofErr w:type="gramEnd"/>
            <w:r>
              <w:rPr>
                <w:rFonts w:eastAsia="Times New Roman"/>
                <w:sz w:val="16"/>
              </w:rPr>
              <w:t>1, 148))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B4E55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5.28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3CEA0F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02926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0.152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B65AD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No statistical evidence of nonproportionality</w:t>
            </w:r>
          </w:p>
        </w:tc>
      </w:tr>
      <w:tr w:rsidR="00246766" w14:paraId="3CAF27BC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AD7226" w14:textId="77777777" w:rsidR="00246766" w:rsidRDefault="00246766">
            <w:pPr>
              <w:spacing w:after="0" w:line="480" w:lineRule="auto"/>
            </w:pPr>
            <w:proofErr w:type="spellStart"/>
            <w:r>
              <w:rPr>
                <w:rFonts w:eastAsia="Times New Roman"/>
                <w:sz w:val="16"/>
              </w:rPr>
              <w:t>sex_f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F00DBB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1.17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EF9F95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6E01E4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0.280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EF589A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No statistical evidence of nonproportionality</w:t>
            </w:r>
          </w:p>
        </w:tc>
      </w:tr>
      <w:tr w:rsidR="00246766" w14:paraId="2EC55E64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6941D22" w14:textId="77777777" w:rsidR="00246766" w:rsidRDefault="00246766">
            <w:pPr>
              <w:spacing w:after="0" w:line="480" w:lineRule="auto"/>
            </w:pPr>
            <w:proofErr w:type="spellStart"/>
            <w:proofErr w:type="gramStart"/>
            <w:r>
              <w:rPr>
                <w:rFonts w:eastAsia="Times New Roman"/>
                <w:sz w:val="16"/>
              </w:rPr>
              <w:t>era:laterality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B2E5FE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0.86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D22878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0B6E32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0.354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34E1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No statistical evidence of nonproportionality</w:t>
            </w:r>
          </w:p>
        </w:tc>
      </w:tr>
      <w:tr w:rsidR="00246766" w14:paraId="10B8C6B4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4C2DB6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6"/>
              </w:rPr>
              <w:t>GLOBAL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268A7C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15.76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FA87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D29D7D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0.072</w:t>
            </w: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49D68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6"/>
              </w:rPr>
              <w:t>Global test</w:t>
            </w:r>
          </w:p>
        </w:tc>
      </w:tr>
    </w:tbl>
    <w:p w14:paraId="1BAB94F3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A small P value suggests departure from proportional hazards. The stage finding motivates cautious interpretation of Cox HRs as average summaries.</w:t>
      </w:r>
    </w:p>
    <w:p w14:paraId="207DF28A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1ACE5DD2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S8. </w:t>
      </w:r>
      <w:r>
        <w:rPr>
          <w:rFonts w:eastAsia="Times New Roman"/>
          <w:sz w:val="19"/>
        </w:rPr>
        <w:t>Endpoint availability and harmonization decisions for supplementary clinical analyses.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816"/>
        <w:gridCol w:w="4104"/>
      </w:tblGrid>
      <w:tr w:rsidR="00246766" w14:paraId="2F583BB9" w14:textId="77777777">
        <w:trPr>
          <w:cantSplit/>
          <w:tblHeader/>
          <w:jc w:val="center"/>
        </w:trPr>
        <w:tc>
          <w:tcPr>
            <w:tcW w:w="25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9F1F1E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5"/>
              </w:rPr>
              <w:t>Clinical domain</w:t>
            </w:r>
          </w:p>
        </w:tc>
        <w:tc>
          <w:tcPr>
            <w:tcW w:w="3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DA99C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Availability in supplied master files</w:t>
            </w:r>
          </w:p>
        </w:tc>
        <w:tc>
          <w:tcPr>
            <w:tcW w:w="410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4AB6E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Decision for this analysis</w:t>
            </w:r>
          </w:p>
        </w:tc>
      </w:tr>
      <w:tr w:rsidR="00246766" w14:paraId="26FE1268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F806B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Family history of retinoblastoma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42590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 validated harmonized variable identified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12A98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analyzed; parent examination is not treated as family history</w:t>
            </w:r>
          </w:p>
        </w:tc>
      </w:tr>
      <w:tr w:rsidR="00246766" w14:paraId="74B5ED9F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14F75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Metastasis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62DE5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 metastasis variable identified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F784F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analyzed and never imputed from mortality</w:t>
            </w:r>
          </w:p>
        </w:tc>
      </w:tr>
      <w:tr w:rsidR="00246766" w14:paraId="69A0F5A6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269D57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Secondary neoplasm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2DFA1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Variables identified only in the unilateral master file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DFF4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Reported descriptively for available unilateral data; no laterality comparison</w:t>
            </w:r>
          </w:p>
        </w:tc>
      </w:tr>
      <w:tr w:rsidR="00246766" w14:paraId="23FDC340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EFCC3F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Trilateral retinoblastoma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1F77CD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Variable identified only in the unilateral master file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7D9D0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Reported separately from secondary neoplasm; no laterality comparison</w:t>
            </w:r>
          </w:p>
        </w:tc>
      </w:tr>
      <w:tr w:rsidR="00246766" w14:paraId="3B25A75E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38407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Final globe preservation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E0D393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Directly derivable from recorded enucleation status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C58F11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Main clinical endpoint is anatomical retention without any enucleation; EBRT is reported separately</w:t>
            </w:r>
          </w:p>
        </w:tc>
      </w:tr>
      <w:tr w:rsidR="00246766" w14:paraId="5C0E4A22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929AD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Strict reference-defined globe salvage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94AEDD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 single validated endpoint variable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9332B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Retained only as supplementary sensitivity analysis using the comparator definition</w:t>
            </w:r>
          </w:p>
        </w:tc>
      </w:tr>
      <w:tr w:rsidR="00246766" w14:paraId="572B9D50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B3EF38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Affected eye side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10B7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OD/OS is recorded at eye level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593AA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 xml:space="preserve">Reported descriptively for unilateral disease; </w:t>
            </w:r>
          </w:p>
        </w:tc>
      </w:tr>
      <w:tr w:rsidR="00246766" w14:paraId="32C0578E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F3EE9F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Systemic chemotherapy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A1ACB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 xml:space="preserve">No harmonized bilateral/unilateral exposure variable; </w:t>
            </w:r>
            <w:proofErr w:type="spellStart"/>
            <w:r>
              <w:rPr>
                <w:rFonts w:eastAsia="Times New Roman"/>
                <w:sz w:val="15"/>
              </w:rPr>
              <w:t>IVChem</w:t>
            </w:r>
            <w:proofErr w:type="spellEnd"/>
            <w:r>
              <w:rPr>
                <w:rFonts w:eastAsia="Times New Roman"/>
                <w:sz w:val="15"/>
              </w:rPr>
              <w:t xml:space="preserve"> denotes intravitreal chemotherapy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46C1DC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Not compared quantitatively across era or laterality</w:t>
            </w:r>
          </w:p>
        </w:tc>
      </w:tr>
      <w:tr w:rsidR="00246766" w14:paraId="3D4C2FAF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EBB5C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Treatment timing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A89EC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Exact treatment dates unavailable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E0273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Targeted-therapy analyses remain associational; immortal-time bias cannot be excluded</w:t>
            </w:r>
          </w:p>
        </w:tc>
      </w:tr>
      <w:tr w:rsidR="00246766" w14:paraId="22792731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CE1ED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Calendar year 2012 boundary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4822F3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Only supplied binary era code is available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5B312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Use supplied T1/T2 coding;</w:t>
            </w:r>
          </w:p>
        </w:tc>
      </w:tr>
    </w:tbl>
    <w:p w14:paraId="1CE158F9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 xml:space="preserve">Unavailable endpoints were not imputed from correlated variables. </w:t>
      </w:r>
    </w:p>
    <w:p w14:paraId="0C1F0318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1CC65526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S9. </w:t>
      </w:r>
      <w:r>
        <w:rPr>
          <w:rFonts w:eastAsia="Times New Roman"/>
          <w:sz w:val="19"/>
        </w:rPr>
        <w:t>Patient-level mortality and availability of secondary safety outcomes.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76"/>
        <w:gridCol w:w="1440"/>
        <w:gridCol w:w="1656"/>
        <w:gridCol w:w="1656"/>
        <w:gridCol w:w="3960"/>
      </w:tblGrid>
      <w:tr w:rsidR="00246766" w14:paraId="5328031C" w14:textId="77777777">
        <w:trPr>
          <w:cantSplit/>
          <w:tblHeader/>
          <w:jc w:val="center"/>
        </w:trPr>
        <w:tc>
          <w:tcPr>
            <w:tcW w:w="11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FBD4F1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4"/>
              </w:rPr>
              <w:t>Laterality</w:t>
            </w:r>
          </w:p>
        </w:tc>
        <w:tc>
          <w:tcPr>
            <w:tcW w:w="5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C8FCAA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Era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5D7D9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Deaths, n/N (%)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A81AC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Secondary neoplasm, n/N (%)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17B64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Trilateral retinoblastoma, n/N (%)</w:t>
            </w:r>
          </w:p>
        </w:tc>
        <w:tc>
          <w:tcPr>
            <w:tcW w:w="39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8B8C34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4"/>
              </w:rPr>
              <w:t>Availability note</w:t>
            </w:r>
          </w:p>
        </w:tc>
      </w:tr>
      <w:tr w:rsidR="00246766" w14:paraId="5F7EDADB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0C36D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CA1B97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355DE4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1/97 (1.0%)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3C486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1/97 (1.0%)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3B209E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0/97 (0.0%)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33D4F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Secondary-neoplasm and trilateral endpoints are separate, descriptive outcomes from available unilateral variables.</w:t>
            </w:r>
          </w:p>
        </w:tc>
      </w:tr>
      <w:tr w:rsidR="00246766" w14:paraId="004A3D97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9EE17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Unilateral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3BAB2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20ED3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2/166 (1.2%)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39948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0/166 (0.0%)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04ADD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0/166 (0.0%)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8D783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Secondary-neoplasm and trilateral endpoints are separate, descriptive outcomes from available unilateral variables.</w:t>
            </w:r>
          </w:p>
        </w:tc>
      </w:tr>
      <w:tr w:rsidR="00246766" w14:paraId="60B8F0FD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B29684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E923BE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1088B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3/72 (4.2%)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59F47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Unavailable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03D86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Unavailable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921EE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Secondary-neoplasm and trilateral variables were unavailable in the bilateral master file; do not compare rates.</w:t>
            </w:r>
          </w:p>
        </w:tc>
      </w:tr>
      <w:tr w:rsidR="00246766" w14:paraId="4853EE17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2020F0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4"/>
              </w:rPr>
              <w:t>Bilateral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072F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T2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B03ED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5/156 (3.2%)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E67082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Unavailable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B0C8C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Unavailable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612BFC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4"/>
              </w:rPr>
              <w:t>Secondary-neoplasm and trilateral variables were unavailable in the bilateral master file; do not compare rates.</w:t>
            </w:r>
          </w:p>
        </w:tc>
      </w:tr>
    </w:tbl>
    <w:p w14:paraId="56E1CD22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Secondary-neoplasm and trilateral-retinoblastoma variables were available only in the unilateral master file; no laterality comparison was made.</w:t>
      </w:r>
    </w:p>
    <w:p w14:paraId="2F8776F5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7AEB542A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S10. </w:t>
      </w:r>
      <w:r>
        <w:rPr>
          <w:rFonts w:eastAsia="Times New Roman"/>
          <w:sz w:val="19"/>
        </w:rPr>
        <w:t>Validated treatment-modality use by era and laterality.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1296"/>
        <w:gridCol w:w="648"/>
        <w:gridCol w:w="1944"/>
        <w:gridCol w:w="1800"/>
      </w:tblGrid>
      <w:tr w:rsidR="00246766" w14:paraId="117ED318" w14:textId="77777777">
        <w:trPr>
          <w:cantSplit/>
          <w:tblHeader/>
          <w:jc w:val="center"/>
        </w:trPr>
        <w:tc>
          <w:tcPr>
            <w:tcW w:w="33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108D42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5"/>
              </w:rPr>
              <w:t>Treatment modality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C0CB8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Laterality</w:t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14D5D6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Era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04097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Treated eyes/known (%)</w:t>
            </w: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5EBC8B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95% CI</w:t>
            </w:r>
          </w:p>
        </w:tc>
      </w:tr>
      <w:tr w:rsidR="00246766" w14:paraId="1D28A66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974FA5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 chemotherapy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B3AA8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2A2B4B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6FCCED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97E49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-</w:t>
            </w:r>
          </w:p>
        </w:tc>
      </w:tr>
      <w:tr w:rsidR="00246766" w14:paraId="53C8305E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B84B6C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 chemotherapy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D65BA3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A52DA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D5A56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50/166 (30.1%)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03747B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-</w:t>
            </w:r>
          </w:p>
        </w:tc>
      </w:tr>
      <w:tr w:rsidR="00246766" w14:paraId="537DA8B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F47904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 chemotherapy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D3536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32DAF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08674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5/144 (3.5%)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6E74A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-</w:t>
            </w:r>
          </w:p>
        </w:tc>
      </w:tr>
      <w:tr w:rsidR="00246766" w14:paraId="300F5B79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BE7F5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Targeted chemotherapy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275CE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2319B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79FB7D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93/312 (29.8%)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55B711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-</w:t>
            </w:r>
          </w:p>
        </w:tc>
      </w:tr>
      <w:tr w:rsidR="00246766" w14:paraId="7913B28A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835070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Cryotherapy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5C4C4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E5F48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0E2277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7/97 (7.2%)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F1022C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3.5%-14.2%</w:t>
            </w:r>
          </w:p>
        </w:tc>
      </w:tr>
      <w:tr w:rsidR="00246766" w14:paraId="0B783C5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3B54E7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Cryotherapy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D8F3E0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B4CACB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78A346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17/166 (10.2%)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094A6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6.5%-15.8%</w:t>
            </w:r>
          </w:p>
        </w:tc>
      </w:tr>
      <w:tr w:rsidR="00246766" w14:paraId="65E047E3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AFB73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Cryotherapy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6156CA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F57C0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AA34DE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41/142 (28.9%)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F0E72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22.1%-36.8%</w:t>
            </w:r>
          </w:p>
        </w:tc>
      </w:tr>
      <w:tr w:rsidR="00246766" w14:paraId="1C494DFB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832BA4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Cryotherapy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D2269A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C3BF64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364982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113/312 (36.2%)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52DE22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31.1%-41.7%</w:t>
            </w:r>
          </w:p>
        </w:tc>
      </w:tr>
      <w:tr w:rsidR="00246766" w14:paraId="4B7D10A5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4153E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External-beam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C3D785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D3ED29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219FA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F7B23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0.0%-3.8%</w:t>
            </w:r>
          </w:p>
        </w:tc>
      </w:tr>
      <w:tr w:rsidR="00246766" w14:paraId="3BDF181D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F45EE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External-beam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E9E9B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CB8AA0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35F115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0/166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1288E1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0.0%-2.3%</w:t>
            </w:r>
          </w:p>
        </w:tc>
      </w:tr>
      <w:tr w:rsidR="00246766" w14:paraId="323B84C7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8ACE6C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External-beam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C1E3CC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F0D97A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7F857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6/142 (4.2%)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230B92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2.0%-8.9%</w:t>
            </w:r>
          </w:p>
        </w:tc>
      </w:tr>
      <w:tr w:rsidR="00246766" w14:paraId="0C242CF3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06192F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External-beam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4F20C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8A994D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BEC89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7/311 (2.3%)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21A78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1.1%-4.6%</w:t>
            </w:r>
          </w:p>
        </w:tc>
      </w:tr>
      <w:tr w:rsidR="00246766" w14:paraId="2DC7766D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2DD306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Focal 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95EBB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812D6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B7219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19/97 (19.6%)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E910DB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12.9%-28.6%</w:t>
            </w:r>
          </w:p>
        </w:tc>
      </w:tr>
      <w:tr w:rsidR="00246766" w14:paraId="3C503D23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8170AB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Focal 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03D80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82E5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DB4B77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27/166 (16.3%)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F00DD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11.4%-22.6%</w:t>
            </w:r>
          </w:p>
        </w:tc>
      </w:tr>
      <w:tr w:rsidR="00246766" w14:paraId="6710B58C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D46327E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Focal 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0BF04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A0CB76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E55A7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73/142 (51.4%)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DCD46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43.3%-59.5%</w:t>
            </w:r>
          </w:p>
        </w:tc>
      </w:tr>
      <w:tr w:rsidR="00246766" w14:paraId="7B1C6ABB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11A74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Focal therapy (any)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4C474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5871B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40F9FC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153/312 (49.0%)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6703E8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43.5%-54.6%</w:t>
            </w:r>
          </w:p>
        </w:tc>
      </w:tr>
      <w:tr w:rsidR="00246766" w14:paraId="61A0F4C7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C377B07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Intra-arterial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7776F0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EAE47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4C68C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75D4EB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0.0%-3.8%</w:t>
            </w:r>
          </w:p>
        </w:tc>
      </w:tr>
      <w:tr w:rsidR="00246766" w14:paraId="0C45E31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6DB68A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Intra-arterial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A49EFB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7ED3E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93AE7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47/166 (28.3%)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197EC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22.0%-35.6%</w:t>
            </w:r>
          </w:p>
        </w:tc>
      </w:tr>
      <w:tr w:rsidR="00246766" w14:paraId="33E8A361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025C57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Intra-arterial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1462F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2521D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49081B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4/144 (2.8%)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6CDE57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1.1%-6.9%</w:t>
            </w:r>
          </w:p>
        </w:tc>
      </w:tr>
      <w:tr w:rsidR="00246766" w14:paraId="489DDD2C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ED08CF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Intra-arterial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1BCB99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27E7C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5F3EA6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78/312 (25.0%)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73555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20.5%-30.1%</w:t>
            </w:r>
          </w:p>
        </w:tc>
      </w:tr>
      <w:tr w:rsidR="00246766" w14:paraId="061DDA8E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3AB06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Intravitreal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8E744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1084D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5C40D6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43339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0.0%-3.8%</w:t>
            </w:r>
          </w:p>
        </w:tc>
      </w:tr>
      <w:tr w:rsidR="00246766" w14:paraId="61256E6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25638C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Intravitreal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0CBFC5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C9B456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BC17C8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22/166 (13.3%)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8D3D1D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8.9%-19.3%</w:t>
            </w:r>
          </w:p>
        </w:tc>
      </w:tr>
      <w:tr w:rsidR="00246766" w14:paraId="640BA3EE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09750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Intravitreal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9DC7BC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85EF3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F35F97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2/144 (1.4%)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4B08C8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0.4%-4.9%</w:t>
            </w:r>
          </w:p>
        </w:tc>
      </w:tr>
      <w:tr w:rsidR="00246766" w14:paraId="0C26B995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9CC49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Intravitreal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22EBA9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B9BFC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FEE55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41/312 (13.1%)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B0652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9.8%-17.3%</w:t>
            </w:r>
          </w:p>
        </w:tc>
      </w:tr>
      <w:tr w:rsidR="00246766" w14:paraId="6A8D159E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4AA461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Perioperative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350E78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D019A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7764C6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0/97 (0.0%)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5CFE1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0.0%-3.8%</w:t>
            </w:r>
          </w:p>
        </w:tc>
      </w:tr>
      <w:tr w:rsidR="00246766" w14:paraId="627C7E0B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183370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Perioperative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E1C45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36AA3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2D64B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47/166 (28.3%)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7E6F3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22.0%-35.6%</w:t>
            </w:r>
          </w:p>
        </w:tc>
      </w:tr>
      <w:tr w:rsidR="00246766" w14:paraId="3FD60E8A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FC64A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lastRenderedPageBreak/>
              <w:t>Perioperative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9AD5F4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B2C60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908C1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4/144 (2.8%)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45C312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1.1%-6.9%</w:t>
            </w:r>
          </w:p>
        </w:tc>
      </w:tr>
      <w:tr w:rsidR="00246766" w14:paraId="1A56679A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1F8A38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Perioperative chemotherapy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AA5E19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CB064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FBD087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79/312 (25.3%)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1FAB74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20.8%-30.4%</w:t>
            </w:r>
          </w:p>
        </w:tc>
      </w:tr>
      <w:tr w:rsidR="00246766" w14:paraId="6E0A353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FD150F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Plaque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C1CF62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E1BA33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5512A2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6/97 (6.2%)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5CBFF3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2.9%-12.8%</w:t>
            </w:r>
          </w:p>
        </w:tc>
      </w:tr>
      <w:tr w:rsidR="00246766" w14:paraId="52DE6AB9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A8A28D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Plaque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870C2C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8ED380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F8BB91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5/166 (3.0%)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E49737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1.3%-6.9%</w:t>
            </w:r>
          </w:p>
        </w:tc>
      </w:tr>
      <w:tr w:rsidR="00246766" w14:paraId="11B808E7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B12FA5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Plaque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D7DB11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A00C67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ACB3CD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18/142 (12.7%)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1E8F97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8.2%-19.1%</w:t>
            </w:r>
          </w:p>
        </w:tc>
      </w:tr>
      <w:tr w:rsidR="00246766" w14:paraId="6350C89F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3A4D53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Plaque radiotherapy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3B546F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C70351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7B1988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20/311 (6.4%)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334955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4.2%-9.7%</w:t>
            </w:r>
          </w:p>
        </w:tc>
      </w:tr>
      <w:tr w:rsidR="00246766" w14:paraId="27044C58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2D5C3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Thermotherapy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036BB3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EB9DB2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B19C97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9/97 (9.3%)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7522FE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5.0%-16.7%</w:t>
            </w:r>
          </w:p>
        </w:tc>
      </w:tr>
      <w:tr w:rsidR="00246766" w14:paraId="73AC1ABE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AF19206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Thermotherapy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07BEA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Unilateral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CCD5C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5F3AD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15/166 (9.0%)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961B010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5.6%-14.4%</w:t>
            </w:r>
          </w:p>
        </w:tc>
      </w:tr>
      <w:tr w:rsidR="00246766" w14:paraId="1721CBD5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C8AEF6C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Thermotherapy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90FDA9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041192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T1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6F18F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47/142 (33.1%)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1E1BE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25.9%-41.2%</w:t>
            </w:r>
          </w:p>
        </w:tc>
      </w:tr>
      <w:tr w:rsidR="00246766" w14:paraId="324FA382" w14:textId="77777777">
        <w:trPr>
          <w:cantSplit/>
          <w:jc w:val="center"/>
        </w:trPr>
        <w:tc>
          <w:tcPr>
            <w:tcW w:w="338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6956C7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Thermotherapy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D6EF30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6D958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B0D406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77/312 (24.7%)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66D1872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20.2%-29.8%</w:t>
            </w:r>
          </w:p>
        </w:tc>
      </w:tr>
    </w:tbl>
    <w:p w14:paraId="344080C1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 xml:space="preserve">Wilson 95% CIs are shown for source treatment-modality variables. </w:t>
      </w:r>
      <w:proofErr w:type="spellStart"/>
      <w:r>
        <w:rPr>
          <w:rFonts w:eastAsia="Times New Roman"/>
          <w:sz w:val="16"/>
        </w:rPr>
        <w:t>IVChem</w:t>
      </w:r>
      <w:proofErr w:type="spellEnd"/>
      <w:r>
        <w:rPr>
          <w:rFonts w:eastAsia="Times New Roman"/>
          <w:sz w:val="16"/>
        </w:rPr>
        <w:t xml:space="preserve"> denotes intravitreal chemotherapy. Perioperative chemotherapy is retained as its own validated source variable and is not used as a substitute for systemic chemotherapy. A comparable systemic-chemotherapy variable was not available in both master datasets; therefore, systemic chemotherapy use was not quantitatively compared across treatment eras or laterality groups.</w:t>
      </w:r>
    </w:p>
    <w:p w14:paraId="29982D61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4E119DBB" w14:textId="77777777" w:rsidR="00246766" w:rsidRDefault="00246766" w:rsidP="00246766">
      <w:pPr>
        <w:keepNext/>
        <w:spacing w:after="80" w:line="480" w:lineRule="auto"/>
      </w:pPr>
      <w:r>
        <w:rPr>
          <w:rFonts w:eastAsia="Times New Roman"/>
          <w:b/>
          <w:sz w:val="19"/>
        </w:rPr>
        <w:lastRenderedPageBreak/>
        <w:t xml:space="preserve">Table S11. </w:t>
      </w:r>
      <w:r>
        <w:rPr>
          <w:rFonts w:eastAsia="Times New Roman"/>
          <w:sz w:val="19"/>
        </w:rPr>
        <w:t>Sensitivity analysis using a strict literature-comparable globe-salvage definition.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3672"/>
        <w:gridCol w:w="1368"/>
        <w:gridCol w:w="1944"/>
        <w:gridCol w:w="1239"/>
      </w:tblGrid>
      <w:tr w:rsidR="00246766" w14:paraId="1137F17C" w14:textId="77777777">
        <w:trPr>
          <w:cantSplit/>
          <w:tblHeader/>
          <w:jc w:val="center"/>
        </w:trPr>
        <w:tc>
          <w:tcPr>
            <w:tcW w:w="22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4DCF151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sz w:val="15"/>
              </w:rPr>
              <w:t>Analysis</w:t>
            </w:r>
          </w:p>
        </w:tc>
        <w:tc>
          <w:tcPr>
            <w:tcW w:w="36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B2276D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Contrast</w:t>
            </w:r>
          </w:p>
        </w:tc>
        <w:tc>
          <w:tcPr>
            <w:tcW w:w="13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436A5D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Effect measure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F862EA8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Estimate (95% CI)</w: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B8CA5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b/>
                <w:sz w:val="15"/>
              </w:rPr>
              <w:t>P value</w:t>
            </w:r>
          </w:p>
        </w:tc>
      </w:tr>
      <w:tr w:rsidR="00246766" w14:paraId="3A12F258" w14:textId="77777777">
        <w:trPr>
          <w:cantSplit/>
          <w:jc w:val="center"/>
        </w:trPr>
        <w:tc>
          <w:tcPr>
            <w:tcW w:w="10455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A37CF28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i/>
                <w:sz w:val="15"/>
              </w:rPr>
              <w:t>Cross-sectional associations with strict salvage</w:t>
            </w:r>
          </w:p>
        </w:tc>
      </w:tr>
      <w:tr w:rsidR="00246766" w14:paraId="34C174B7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3E7F86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Logistic GEE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53075F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Bilateral vs unilateral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F2B08BB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OR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0FAD32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1.55 (0.84-2.85)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83B4F3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0.157</w:t>
            </w:r>
          </w:p>
        </w:tc>
      </w:tr>
      <w:tr w:rsidR="00246766" w14:paraId="57B384A9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CA77149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Logistic GEE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3EB1FCEF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Advanced D/E vs A-C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41455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OR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C0E501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0.11 (0.05-0.23)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C230CEC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&lt;0.001</w:t>
            </w:r>
          </w:p>
        </w:tc>
      </w:tr>
      <w:tr w:rsidR="00246766" w14:paraId="06B7A20E" w14:textId="77777777">
        <w:trPr>
          <w:cantSplit/>
          <w:jc w:val="center"/>
        </w:trPr>
        <w:tc>
          <w:tcPr>
            <w:tcW w:w="10455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CF539D0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b/>
                <w:i/>
                <w:sz w:val="15"/>
              </w:rPr>
              <w:t>Era effects under the strict salvage definition</w:t>
            </w:r>
          </w:p>
        </w:tc>
      </w:tr>
      <w:tr w:rsidR="00246766" w14:paraId="4562FA1B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DD09D1F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Modified-Poisson GEE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57288447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 vs T1 within unilateral disease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6785B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RR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68182DD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1.09 (0.87-1.36)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718639C4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0.448</w:t>
            </w:r>
          </w:p>
        </w:tc>
      </w:tr>
      <w:tr w:rsidR="00246766" w14:paraId="43FE0DBF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121B8DA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Modified-Poisson GEE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5BD2AE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T2 vs T1 within bilateral disease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23EA7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RR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DE69096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1.14 (1.03-1.26)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1458B4E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0.008</w:t>
            </w:r>
          </w:p>
        </w:tc>
      </w:tr>
      <w:tr w:rsidR="00246766" w14:paraId="2B694710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4622D22" w14:textId="77777777" w:rsidR="00246766" w:rsidRDefault="00246766">
            <w:pPr>
              <w:spacing w:after="0" w:line="480" w:lineRule="auto"/>
            </w:pPr>
            <w:r>
              <w:rPr>
                <w:rFonts w:eastAsia="Times New Roman"/>
                <w:sz w:val="15"/>
              </w:rPr>
              <w:t>Modified-Poisson GEE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56A3589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Era-by-laterality interaction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1694ADDA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Ratio of RRs</w:t>
            </w:r>
          </w:p>
        </w:tc>
        <w:tc>
          <w:tcPr>
            <w:tcW w:w="1944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60DE38F1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1.05 (0.82-1.33)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483B70F5" w14:textId="77777777" w:rsidR="00246766" w:rsidRDefault="00246766">
            <w:pPr>
              <w:spacing w:after="0" w:line="480" w:lineRule="auto"/>
              <w:jc w:val="center"/>
            </w:pPr>
            <w:r>
              <w:rPr>
                <w:rFonts w:eastAsia="Times New Roman"/>
                <w:sz w:val="15"/>
              </w:rPr>
              <w:t>0.702</w:t>
            </w:r>
          </w:p>
        </w:tc>
      </w:tr>
    </w:tbl>
    <w:p w14:paraId="00D80569" w14:textId="77777777" w:rsidR="00246766" w:rsidRDefault="00246766" w:rsidP="00246766">
      <w:pPr>
        <w:spacing w:before="60" w:after="0" w:line="480" w:lineRule="auto"/>
      </w:pPr>
      <w:r>
        <w:rPr>
          <w:rFonts w:eastAsia="Times New Roman"/>
          <w:i/>
          <w:sz w:val="16"/>
        </w:rPr>
        <w:t xml:space="preserve">Note: </w:t>
      </w:r>
      <w:r>
        <w:rPr>
          <w:rFonts w:eastAsia="Times New Roman"/>
          <w:sz w:val="16"/>
        </w:rPr>
        <w:t>This supplementary definition is intentionally different from the main anatomical globe-preservation outcome. Primary enucleations are excluded. Among eyes initially managed conservatively, a retained eye must have at least 12 months of recorded follow-up; secondary enucleation or external-beam radiotherapy is classified as failure. OR denotes odds ratio; RR, risk ratio; GEE, generalized estimating equation.</w:t>
      </w:r>
    </w:p>
    <w:p w14:paraId="7A544364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0DAA40A7" w14:textId="77777777" w:rsidR="00246766" w:rsidRPr="00800302" w:rsidRDefault="00246766" w:rsidP="00246766">
      <w:pPr>
        <w:pStyle w:val="Heading1"/>
        <w:spacing w:before="0" w:after="100" w:line="480" w:lineRule="auto"/>
        <w:rPr>
          <w:sz w:val="28"/>
          <w:szCs w:val="28"/>
        </w:rPr>
      </w:pPr>
      <w:r w:rsidRPr="00800302">
        <w:rPr>
          <w:rFonts w:ascii="Times New Roman" w:eastAsia="Times New Roman" w:hAnsi="Times New Roman"/>
          <w:sz w:val="28"/>
          <w:szCs w:val="28"/>
        </w:rPr>
        <w:lastRenderedPageBreak/>
        <w:t>Supplementary Figures</w:t>
      </w:r>
    </w:p>
    <w:p w14:paraId="577F0648" w14:textId="033E3ADF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drawing>
          <wp:inline distT="0" distB="0" distL="0" distR="0" wp14:anchorId="327C34A4" wp14:editId="1169C916">
            <wp:extent cx="5943600" cy="3942715"/>
            <wp:effectExtent l="0" t="0" r="0" b="635"/>
            <wp:docPr id="188492667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0DA2A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S1. </w:t>
      </w:r>
      <w:r>
        <w:rPr>
          <w:rFonts w:eastAsia="Times New Roman"/>
          <w:sz w:val="19"/>
        </w:rPr>
        <w:t>Sensitivity analyses of the T2-versus-T1 enucleation risk ratio.</w:t>
      </w:r>
      <w:r>
        <w:rPr>
          <w:rFonts w:eastAsia="Times New Roman"/>
          <w:sz w:val="18"/>
        </w:rPr>
        <w:t xml:space="preserve"> Points and 95% CIs are patient-clustered modified-Poisson GEE estimates; values below 1 favor T2.</w:t>
      </w:r>
    </w:p>
    <w:p w14:paraId="6A5E4736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3DDEC72C" w14:textId="4C8A4EE8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61FC394A" wp14:editId="7494F437">
            <wp:extent cx="5943600" cy="4005580"/>
            <wp:effectExtent l="0" t="0" r="0" b="0"/>
            <wp:docPr id="14315399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BB3AF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S2. </w:t>
      </w:r>
      <w:r>
        <w:rPr>
          <w:rFonts w:eastAsia="Times New Roman"/>
          <w:sz w:val="19"/>
        </w:rPr>
        <w:t>Final anatomical globe preservation by ICRB group, treatment era, and laterality.</w:t>
      </w:r>
      <w:r>
        <w:rPr>
          <w:rFonts w:eastAsia="Times New Roman"/>
          <w:sz w:val="18"/>
        </w:rPr>
        <w:t xml:space="preserve"> Final preservation means that the eye remained in situ without any recorded primary or secondary enucleation. External-beam radiotherapy is not classified as anatomical globe loss.</w:t>
      </w:r>
    </w:p>
    <w:p w14:paraId="58790C1A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36D21EE2" w14:textId="3BB83445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242EB130" wp14:editId="454148DC">
            <wp:extent cx="5943600" cy="3270885"/>
            <wp:effectExtent l="0" t="0" r="0" b="5715"/>
            <wp:docPr id="18979806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78AFC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S3. </w:t>
      </w:r>
      <w:r>
        <w:rPr>
          <w:rFonts w:eastAsia="Times New Roman"/>
          <w:sz w:val="19"/>
        </w:rPr>
        <w:t>Strict literature-comparable globe-salvage models.</w:t>
      </w:r>
      <w:r>
        <w:rPr>
          <w:rFonts w:eastAsia="Times New Roman"/>
          <w:sz w:val="18"/>
        </w:rPr>
        <w:t xml:space="preserve"> Orange estimates are ORs from logistic GEE and blue estimates are RRs from modified-Poisson GEE. These estimates use the supplementary strict salvage definition rather than the main anatomical globe-preservation outcome.</w:t>
      </w:r>
    </w:p>
    <w:p w14:paraId="749BB8F0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1512D5C3" w14:textId="55F83EDD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2E504818" wp14:editId="29268176">
            <wp:extent cx="5943600" cy="4005580"/>
            <wp:effectExtent l="0" t="0" r="0" b="0"/>
            <wp:docPr id="96157114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F5603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S4. </w:t>
      </w:r>
      <w:r>
        <w:rPr>
          <w:rFonts w:eastAsia="Times New Roman"/>
          <w:sz w:val="19"/>
        </w:rPr>
        <w:t>Strict literature-comparable globe salvage by ICRB group, treatment era, and laterality.</w:t>
      </w:r>
      <w:r>
        <w:rPr>
          <w:rFonts w:eastAsia="Times New Roman"/>
          <w:sz w:val="18"/>
        </w:rPr>
        <w:t xml:space="preserve"> Primary enucleations are excluded. A retained eye must have at least 12 months of recorded follow-up, and secondary enucleation or external-beam radiotherapy is classified as failure.</w:t>
      </w:r>
    </w:p>
    <w:p w14:paraId="11B35F19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295409CA" w14:textId="7DA6525C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58EA8966" wp14:editId="1AC8EC86">
            <wp:extent cx="5943600" cy="3608705"/>
            <wp:effectExtent l="0" t="0" r="0" b="0"/>
            <wp:docPr id="2687949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5DB5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S5. </w:t>
      </w:r>
      <w:r>
        <w:rPr>
          <w:rFonts w:eastAsia="Times New Roman"/>
          <w:sz w:val="19"/>
        </w:rPr>
        <w:t>Validated treatment-modality use by treatment era and laterality.</w:t>
      </w:r>
      <w:r>
        <w:rPr>
          <w:rFonts w:eastAsia="Times New Roman"/>
          <w:sz w:val="18"/>
        </w:rPr>
        <w:t xml:space="preserve"> The heatmap summarizes source-validated treatment variables. </w:t>
      </w:r>
      <w:proofErr w:type="spellStart"/>
      <w:r>
        <w:rPr>
          <w:rFonts w:eastAsia="Times New Roman"/>
          <w:sz w:val="18"/>
        </w:rPr>
        <w:t>IVChem</w:t>
      </w:r>
      <w:proofErr w:type="spellEnd"/>
      <w:r>
        <w:rPr>
          <w:rFonts w:eastAsia="Times New Roman"/>
          <w:sz w:val="18"/>
        </w:rPr>
        <w:t xml:space="preserve"> denotes intravitreal chemotherapy. A systemic-chemotherapy row is not shown because a comparable variable was not available in both master datasets.</w:t>
      </w:r>
    </w:p>
    <w:p w14:paraId="13FF9BA2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50025624" w14:textId="19565DBF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38A5EF3D" wp14:editId="7701CAAB">
            <wp:extent cx="5757545" cy="5054600"/>
            <wp:effectExtent l="0" t="0" r="0" b="0"/>
            <wp:docPr id="1137719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50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F7714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S6A. </w:t>
      </w:r>
      <w:r>
        <w:rPr>
          <w:rFonts w:eastAsia="Times New Roman"/>
          <w:sz w:val="19"/>
        </w:rPr>
        <w:t>Patient overall survival in unilateral retinoblastoma by treatment era.</w:t>
      </w:r>
      <w:r>
        <w:rPr>
          <w:rFonts w:eastAsia="Times New Roman"/>
          <w:sz w:val="18"/>
        </w:rPr>
        <w:t xml:space="preserve"> Shaded bands are 95% CIs; tick marks indicate censoring.</w:t>
      </w:r>
    </w:p>
    <w:p w14:paraId="5A77DF21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43B7DCEA" w14:textId="40E44754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50D7C130" wp14:editId="2FB612F3">
            <wp:extent cx="5757545" cy="5054600"/>
            <wp:effectExtent l="0" t="0" r="0" b="0"/>
            <wp:docPr id="10951254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505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D45F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S6B. </w:t>
      </w:r>
      <w:r>
        <w:rPr>
          <w:rFonts w:eastAsia="Times New Roman"/>
          <w:sz w:val="19"/>
        </w:rPr>
        <w:t>Patient overall survival in bilateral retinoblastoma by treatment era.</w:t>
      </w:r>
      <w:r>
        <w:rPr>
          <w:rFonts w:eastAsia="Times New Roman"/>
          <w:sz w:val="18"/>
        </w:rPr>
        <w:t xml:space="preserve"> Sparse deaths and small late risk sets limit precision.</w:t>
      </w:r>
    </w:p>
    <w:p w14:paraId="24BA38C6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1720CBF0" w14:textId="48079172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001B39F7" wp14:editId="492F1E9C">
            <wp:extent cx="5943600" cy="4246880"/>
            <wp:effectExtent l="0" t="0" r="0" b="1270"/>
            <wp:docPr id="3697047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7F04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S7. </w:t>
      </w:r>
      <w:r>
        <w:rPr>
          <w:rFonts w:eastAsia="Times New Roman"/>
          <w:sz w:val="19"/>
        </w:rPr>
        <w:t>Scaled Schoenfeld-residual diagnostics for the adjusted globe-loss Cox model.</w:t>
      </w:r>
      <w:r>
        <w:rPr>
          <w:rFonts w:eastAsia="Times New Roman"/>
          <w:sz w:val="18"/>
        </w:rPr>
        <w:t xml:space="preserve"> The grouped ICRB severity term shows evidence of nonproportionality; the global test P value is 0.072.</w:t>
      </w:r>
    </w:p>
    <w:p w14:paraId="0BE1AB93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6B7FE830" w14:textId="283B3E38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2F8B5EF2" wp14:editId="28831E53">
            <wp:extent cx="5943600" cy="3632200"/>
            <wp:effectExtent l="0" t="0" r="0" b="6350"/>
            <wp:docPr id="17287583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B65B6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S8. </w:t>
      </w:r>
      <w:r>
        <w:rPr>
          <w:rFonts w:eastAsia="Times New Roman"/>
          <w:sz w:val="19"/>
        </w:rPr>
        <w:t>Patient-level age-at-diagnosis distributions by era and laterality.</w:t>
      </w:r>
      <w:r>
        <w:rPr>
          <w:rFonts w:eastAsia="Times New Roman"/>
          <w:sz w:val="18"/>
        </w:rPr>
        <w:t xml:space="preserve"> Violin density and embedded boxplots show medians and IQRs.</w:t>
      </w:r>
    </w:p>
    <w:p w14:paraId="5B79BCB9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6849FB97" w14:textId="23351D6B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10C635D2" wp14:editId="7B23D3D9">
            <wp:extent cx="5943600" cy="3632200"/>
            <wp:effectExtent l="0" t="0" r="0" b="6350"/>
            <wp:docPr id="2365633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5CFC1" w14:textId="77777777" w:rsidR="00246766" w:rsidRDefault="00246766" w:rsidP="00246766">
      <w:pPr>
        <w:spacing w:before="100" w:after="80" w:line="480" w:lineRule="auto"/>
      </w:pPr>
      <w:r>
        <w:rPr>
          <w:rFonts w:eastAsia="Times New Roman"/>
          <w:b/>
          <w:sz w:val="19"/>
        </w:rPr>
        <w:t xml:space="preserve">Figure S9. </w:t>
      </w:r>
      <w:r>
        <w:rPr>
          <w:rFonts w:eastAsia="Times New Roman"/>
          <w:sz w:val="19"/>
        </w:rPr>
        <w:t>Eye-level ICRB group distribution by era and laterality.</w:t>
      </w:r>
      <w:r>
        <w:rPr>
          <w:rFonts w:eastAsia="Times New Roman"/>
          <w:sz w:val="18"/>
        </w:rPr>
        <w:t xml:space="preserve"> Bars show the case-mix composition of affected eyes within each era-by-laterality stratum.</w:t>
      </w:r>
    </w:p>
    <w:p w14:paraId="064021A4" w14:textId="77777777" w:rsidR="00246766" w:rsidRDefault="00246766" w:rsidP="00246766">
      <w:pPr>
        <w:spacing w:after="0" w:line="480" w:lineRule="auto"/>
      </w:pPr>
      <w:r>
        <w:rPr>
          <w:rFonts w:eastAsia="Times New Roman"/>
        </w:rPr>
        <w:br w:type="page"/>
      </w:r>
    </w:p>
    <w:p w14:paraId="6557543D" w14:textId="514392A1" w:rsidR="00246766" w:rsidRDefault="00246766" w:rsidP="00246766">
      <w:pPr>
        <w:keepNext/>
        <w:spacing w:after="60" w:line="480" w:lineRule="auto"/>
        <w:jc w:val="center"/>
      </w:pPr>
      <w:r>
        <w:rPr>
          <w:rFonts w:eastAsia="Times New Roman"/>
          <w:noProof/>
        </w:rPr>
        <w:lastRenderedPageBreak/>
        <w:drawing>
          <wp:inline distT="0" distB="0" distL="0" distR="0" wp14:anchorId="1F0B7B3A" wp14:editId="575536CA">
            <wp:extent cx="5943600" cy="3170555"/>
            <wp:effectExtent l="0" t="0" r="0" b="0"/>
            <wp:docPr id="758342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782D2" w14:textId="77777777" w:rsidR="00246766" w:rsidRDefault="00246766" w:rsidP="00246766">
      <w:pPr>
        <w:spacing w:before="100" w:after="80" w:line="480" w:lineRule="auto"/>
        <w:rPr>
          <w:rFonts w:eastAsia="Times New Roman"/>
          <w:sz w:val="18"/>
        </w:rPr>
      </w:pPr>
      <w:r>
        <w:rPr>
          <w:rFonts w:eastAsia="Times New Roman"/>
          <w:b/>
          <w:sz w:val="19"/>
        </w:rPr>
        <w:t xml:space="preserve">Figure S10. </w:t>
      </w:r>
      <w:r>
        <w:rPr>
          <w:rFonts w:eastAsia="Times New Roman"/>
          <w:sz w:val="19"/>
        </w:rPr>
        <w:t>Primary and secondary enucleation composition by ICRB group, era, and laterality.</w:t>
      </w:r>
      <w:r>
        <w:rPr>
          <w:rFonts w:eastAsia="Times New Roman"/>
          <w:sz w:val="18"/>
        </w:rPr>
        <w:t xml:space="preserve"> Bars sum to 100% within each stratum; the single unknown-type enucleation is retained explicitly.</w:t>
      </w:r>
    </w:p>
    <w:p w14:paraId="6C72AA3F" w14:textId="77777777" w:rsidR="00246766" w:rsidRDefault="00246766" w:rsidP="00246766">
      <w:pPr>
        <w:spacing w:before="100" w:after="80" w:line="480" w:lineRule="auto"/>
        <w:rPr>
          <w:rFonts w:eastAsia="Times New Roman"/>
          <w:sz w:val="18"/>
        </w:rPr>
      </w:pPr>
    </w:p>
    <w:p w14:paraId="2CAC3AD1" w14:textId="77777777" w:rsidR="0056180A" w:rsidRDefault="0056180A"/>
    <w:sectPr w:rsidR="0056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5371783">
    <w:abstractNumId w:val="5"/>
  </w:num>
  <w:num w:numId="2" w16cid:durableId="1765422222">
    <w:abstractNumId w:val="4"/>
    <w:lvlOverride w:ilvl="0">
      <w:startOverride w:val="1"/>
    </w:lvlOverride>
  </w:num>
  <w:num w:numId="3" w16cid:durableId="1798064119">
    <w:abstractNumId w:val="3"/>
  </w:num>
  <w:num w:numId="4" w16cid:durableId="870995122">
    <w:abstractNumId w:val="2"/>
  </w:num>
  <w:num w:numId="5" w16cid:durableId="500973534">
    <w:abstractNumId w:val="1"/>
    <w:lvlOverride w:ilvl="0">
      <w:startOverride w:val="1"/>
    </w:lvlOverride>
  </w:num>
  <w:num w:numId="6" w16cid:durableId="646895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EB"/>
    <w:rsid w:val="000441D5"/>
    <w:rsid w:val="00246766"/>
    <w:rsid w:val="003200F5"/>
    <w:rsid w:val="0056180A"/>
    <w:rsid w:val="00577BB0"/>
    <w:rsid w:val="005806EB"/>
    <w:rsid w:val="00642936"/>
    <w:rsid w:val="00800302"/>
    <w:rsid w:val="0087565D"/>
    <w:rsid w:val="00A62D89"/>
    <w:rsid w:val="00A6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8B3C"/>
  <w15:chartTrackingRefBased/>
  <w15:docId w15:val="{A4871918-17E6-4554-9AA0-53CAF784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766"/>
    <w:pPr>
      <w:spacing w:after="100" w:line="268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6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6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6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6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6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6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6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6EB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246766"/>
    <w:pPr>
      <w:spacing w:before="100" w:beforeAutospacing="1" w:afterAutospacing="1" w:line="240" w:lineRule="auto"/>
    </w:pPr>
    <w:rPr>
      <w:rFonts w:eastAsia="Times New Roman" w:cs="Times New Roman"/>
      <w:color w:val="auto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67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6766"/>
    <w:rPr>
      <w:rFonts w:ascii="Times New Roman" w:eastAsiaTheme="minorEastAsia" w:hAnsi="Times New Roman"/>
      <w:color w:val="000000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246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6766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246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6766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676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MacroText">
    <w:name w:val="macro"/>
    <w:link w:val="MacroTextChar"/>
    <w:uiPriority w:val="99"/>
    <w:semiHidden/>
    <w:unhideWhenUsed/>
    <w:rsid w:val="00246766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46766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246766"/>
    <w:pPr>
      <w:ind w:left="36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46766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246766"/>
    <w:pPr>
      <w:numPr>
        <w:numId w:val="2"/>
      </w:numPr>
      <w:tabs>
        <w:tab w:val="clear" w:pos="360"/>
      </w:tabs>
      <w:ind w:left="0" w:firstLine="0"/>
      <w:contextualSpacing/>
    </w:pPr>
  </w:style>
  <w:style w:type="paragraph" w:styleId="List2">
    <w:name w:val="List 2"/>
    <w:basedOn w:val="Normal"/>
    <w:uiPriority w:val="99"/>
    <w:semiHidden/>
    <w:unhideWhenUsed/>
    <w:rsid w:val="0024676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46766"/>
    <w:pPr>
      <w:ind w:left="108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46766"/>
    <w:pPr>
      <w:numPr>
        <w:numId w:val="3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46766"/>
    <w:pPr>
      <w:numPr>
        <w:numId w:val="4"/>
      </w:numPr>
      <w:tabs>
        <w:tab w:val="clear" w:pos="1080"/>
      </w:tabs>
      <w:ind w:left="0"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46766"/>
    <w:pPr>
      <w:numPr>
        <w:numId w:val="5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46766"/>
    <w:pPr>
      <w:numPr>
        <w:numId w:val="6"/>
      </w:numPr>
      <w:tabs>
        <w:tab w:val="clear" w:pos="1080"/>
      </w:tabs>
      <w:ind w:left="0" w:firstLine="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2467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46766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ListContinue">
    <w:name w:val="List Continue"/>
    <w:basedOn w:val="Normal"/>
    <w:uiPriority w:val="99"/>
    <w:semiHidden/>
    <w:unhideWhenUsed/>
    <w:rsid w:val="0024676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4676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46766"/>
    <w:pPr>
      <w:spacing w:after="120"/>
      <w:ind w:left="108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24676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46766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4676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46766"/>
    <w:rPr>
      <w:rFonts w:ascii="Times New Roman" w:eastAsiaTheme="minorEastAsia" w:hAnsi="Times New Roman"/>
      <w:color w:val="000000"/>
      <w:kern w:val="0"/>
      <w:sz w:val="16"/>
      <w:szCs w:val="16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766"/>
    <w:rPr>
      <w:rFonts w:ascii="Times New Roman" w:eastAsiaTheme="minorEastAsia" w:hAnsi="Times New Roman"/>
      <w:b/>
      <w:bCs/>
      <w:color w:val="000000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Revision">
    <w:name w:val="Revision"/>
    <w:uiPriority w:val="99"/>
    <w:semiHidden/>
    <w:rsid w:val="00246766"/>
    <w:pPr>
      <w:spacing w:after="0" w:line="24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6766"/>
    <w:pPr>
      <w:spacing w:before="160"/>
      <w:outlineLvl w:val="9"/>
    </w:pPr>
    <w:rPr>
      <w:b/>
      <w:bCs/>
      <w:color w:val="000000"/>
      <w:sz w:val="28"/>
      <w:szCs w:val="28"/>
    </w:rPr>
  </w:style>
  <w:style w:type="character" w:customStyle="1" w:styleId="EndNoteBibliographyTitleChar">
    <w:name w:val="EndNote Bibliography Title Char"/>
    <w:basedOn w:val="DefaultParagraphFont"/>
    <w:link w:val="EndNoteBibliographyTitle"/>
    <w:locked/>
    <w:rsid w:val="00246766"/>
    <w:rPr>
      <w:rFonts w:ascii="Times New Roman" w:hAnsi="Times New Roman" w:cs="Times New Roman"/>
      <w:noProof/>
      <w:color w:val="000000"/>
    </w:rPr>
  </w:style>
  <w:style w:type="paragraph" w:customStyle="1" w:styleId="EndNoteBibliographyTitle">
    <w:name w:val="EndNote Bibliography Title"/>
    <w:basedOn w:val="Normal"/>
    <w:link w:val="EndNoteBibliographyTitleChar"/>
    <w:rsid w:val="00246766"/>
    <w:pPr>
      <w:spacing w:after="0"/>
      <w:jc w:val="center"/>
    </w:pPr>
    <w:rPr>
      <w:rFonts w:eastAsiaTheme="minorHAnsi" w:cs="Times New Roman"/>
      <w:noProof/>
      <w:kern w:val="2"/>
      <w:sz w:val="24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246766"/>
    <w:rPr>
      <w:rFonts w:ascii="Times New Roman" w:hAnsi="Times New Roman" w:cs="Times New Roman"/>
      <w:noProof/>
      <w:color w:val="000000"/>
    </w:rPr>
  </w:style>
  <w:style w:type="paragraph" w:customStyle="1" w:styleId="EndNoteBibliography">
    <w:name w:val="EndNote Bibliography"/>
    <w:basedOn w:val="Normal"/>
    <w:link w:val="EndNoteBibliographyChar"/>
    <w:rsid w:val="00246766"/>
    <w:pPr>
      <w:spacing w:line="240" w:lineRule="auto"/>
    </w:pPr>
    <w:rPr>
      <w:rFonts w:eastAsiaTheme="minorHAnsi" w:cs="Times New Roman"/>
      <w:noProof/>
      <w:kern w:val="2"/>
      <w:sz w:val="24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46766"/>
    <w:rPr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246766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246766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246766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2">
    <w:name w:val="Colorful List Accent 2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46766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 w:hint="default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467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467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46766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46766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2614</Words>
  <Characters>14906</Characters>
  <Application>Microsoft Office Word</Application>
  <DocSecurity>0</DocSecurity>
  <Lines>124</Lines>
  <Paragraphs>34</Paragraphs>
  <ScaleCrop>false</ScaleCrop>
  <Company/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Mohammadreza Fazel</dc:creator>
  <cp:keywords/>
  <dc:description/>
  <cp:lastModifiedBy>Mohammadreza Fazel</cp:lastModifiedBy>
  <cp:revision>5</cp:revision>
  <dcterms:created xsi:type="dcterms:W3CDTF">2026-09-13T20:21:00Z</dcterms:created>
  <dcterms:modified xsi:type="dcterms:W3CDTF">2026-09-13T20:25:00Z</dcterms:modified>
</cp:coreProperties>
</file>