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0" w:name="supplementary-information"/>
    <w:p>
      <w:pPr>
        <w:pStyle w:val="Title"/>
        <w:widowControl/>
        <w:spacing w:after="160"/>
        <w:ind w:firstLine="0"/>
      </w:pPr>
      <w:r>
        <w:rPr>
          <w:rFonts w:ascii="Times New Roman" w:hAnsi="Times New Roman" w:eastAsia="Times New Roman" w:cs="Times New Roman"/>
          <w:color w:val="000000"/>
        </w:rPr>
        <w:t xml:space="preserve">Supplementary Information</w:t>
      </w:r>
    </w:p>
    <w:p>
      <w:pPr>
        <w:pStyle w:val="FirstParagraph"/>
        <w:widowControl/>
        <w:spacing w:after="240"/>
        <w:ind w:firstLine="0"/>
      </w:pPr>
      <w:r>
        <w:rPr>
          <w:bCs/>
          <w:rFonts w:ascii="Times New Roman" w:hAnsi="Times New Roman" w:eastAsia="Times New Roman" w:cs="Times New Roman"/>
          <w:b/>
          <w:color w:val="000000"/>
        </w:rPr>
        <w:t xml:space="preserve">Waiting, judgment, and responsibility: lessons from divination for human oversight of irreversible decisions</w:t>
      </w:r>
    </w:p>
    <w:bookmarkStart w:id="20" w:name="contents"/>
    <w:p>
      <w:pPr>
        <w:pStyle w:val="Heading2"/>
        <w:widowControl/>
        <w:ind w:firstLine="0"/>
        <w:keepNext/>
      </w:pPr>
      <w:r>
        <w:rPr>
          <w:rFonts w:ascii="Times New Roman" w:hAnsi="Times New Roman" w:eastAsia="Times New Roman" w:cs="Times New Roman"/>
          <w:color w:val="000000"/>
        </w:rPr>
        <w:t xml:space="preserve">Contents</w:t>
      </w:r>
    </w:p>
    <w:p>
      <w:pPr>
        <w:pStyle w:val="BodyText"/>
        <w:widowControl/>
        <w:ind w:firstLine="0"/>
      </w:pPr>
      <w:r>
        <w:rPr>
          <w:rFonts w:ascii="Times New Roman" w:hAnsi="Times New Roman" w:eastAsia="Times New Roman" w:cs="Times New Roman"/>
          <w:color w:val="000000"/>
        </w:rPr>
        <w:t xml:space="preserve">Supplementary Figures S1 to S5</w:t>
      </w:r>
    </w:p>
    <w:p>
      <w:pPr>
        <w:pStyle w:val="BodyText"/>
        <w:widowControl/>
        <w:ind w:firstLine="0"/>
      </w:pPr>
      <w:r>
        <w:rPr>
          <w:rFonts w:ascii="Times New Roman" w:hAnsi="Times New Roman" w:eastAsia="Times New Roman" w:cs="Times New Roman"/>
          <w:color w:val="000000"/>
        </w:rPr>
        <w:t xml:space="preserve">Supplementary Tables S1 to S12</w:t>
      </w:r>
    </w:p>
    <w:p>
      <w:pPr>
        <w:pStyle w:val="FirstParagraph"/>
        <w:widowControl/>
        <w:ind w:firstLine="0"/>
      </w:pPr>
      <w:r>
        <w:rPr>
          <w:rFonts w:ascii="Times New Roman" w:hAnsi="Times New Roman" w:eastAsia="Times New Roman" w:cs="Times New Roman"/>
          <w:color w:val="000000"/>
        </w:rPr>
        <w:t xml:space="preserve">Supplementary Note: The model in full and its numerical solution</w:t>
      </w:r>
    </w:p>
    <w:p>
      <w:pPr>
        <w:pStyle w:val="BodyText"/>
        <w:widowControl/>
        <w:ind w:firstLine="0"/>
      </w:pPr>
      <w:r>
        <w:t xml:space="preserve">Casting probabilities and the model verdict</w:t>
      </w:r>
    </w:p>
    <w:p>
      <w:pPr>
        <w:pStyle w:val="BodyText"/>
        <w:widowControl/>
        <w:ind w:firstLine="0"/>
      </w:pPr>
      <w:r>
        <w:rPr>
          <w:rFonts w:ascii="Times New Roman" w:hAnsi="Times New Roman" w:eastAsia="Times New Roman" w:cs="Times New Roman"/>
          <w:color w:val="000000"/>
        </w:rPr>
        <w:t xml:space="preserve">Supplementary Note: Agent checking and follower scenarios</w:t>
      </w:r>
    </w:p>
    <w:p>
      <w:pPr>
        <w:pStyle w:val="BodyText"/>
        <w:widowControl/>
        <w:ind w:firstLine="0"/>
      </w:pPr>
      <w:r>
        <w:rPr>
          <w:rFonts w:ascii="Times New Roman" w:hAnsi="Times New Roman" w:eastAsia="Times New Roman" w:cs="Times New Roman"/>
          <w:color w:val="000000"/>
        </w:rPr>
        <w:t xml:space="preserve">What the empirical studies can establish</w:t>
      </w:r>
    </w:p>
    <w:p>
      <w:pPr>
        <w:pStyle w:val="BodyText"/>
        <w:widowControl/>
        <w:ind w:firstLine="0"/>
      </w:pPr>
      <w:r>
        <w:rPr>
          <w:rFonts w:ascii="Times New Roman" w:hAnsi="Times New Roman" w:eastAsia="Times New Roman" w:cs="Times New Roman"/>
          <w:color w:val="000000"/>
        </w:rPr>
        <w:t xml:space="preserve">Parameter choices and sensitivity ranges (with Supplementary Table S3)</w:t>
      </w:r>
    </w:p>
    <w:p>
      <w:pPr>
        <w:pStyle w:val="BodyText"/>
        <w:widowControl/>
        <w:ind w:firstLine="0"/>
      </w:pPr>
      <w:r>
        <w:rPr>
          <w:rFonts w:ascii="Times New Roman" w:hAnsi="Times New Roman" w:eastAsia="Times New Roman" w:cs="Times New Roman"/>
          <w:color w:val="000000"/>
        </w:rPr>
        <w:t xml:space="preserve">Product reports and review settings</w:t>
      </w:r>
    </w:p>
    <w:p>
      <w:pPr>
        <w:pStyle w:val="BodyText"/>
        <w:widowControl/>
        <w:ind w:firstLine="0"/>
      </w:pPr>
      <w:r>
        <w:rPr>
          <w:rFonts w:ascii="Times New Roman" w:hAnsi="Times New Roman" w:eastAsia="Times New Roman" w:cs="Times New Roman"/>
          <w:color w:val="000000"/>
        </w:rPr>
        <w:t xml:space="preserve">Legal scope and application dates</w:t>
      </w:r>
    </w:p>
    <w:p>
      <w:pPr>
        <w:pStyle w:val="BodyText"/>
        <w:widowControl/>
        <w:ind w:firstLine="0"/>
      </w:pPr>
      <w:r>
        <w:rPr>
          <w:rFonts w:ascii="Times New Roman" w:hAnsi="Times New Roman" w:eastAsia="Times New Roman" w:cs="Times New Roman"/>
          <w:color w:val="000000"/>
        </w:rPr>
        <w:t xml:space="preserve">Protection for reporting and compensation for harm</w:t>
      </w:r>
    </w:p>
    <w:p>
      <w:pPr>
        <w:pStyle w:val="BodyText"/>
        <w:widowControl/>
        <w:ind w:firstLine="0"/>
      </w:pPr>
      <w:r>
        <w:rPr>
          <w:rFonts w:ascii="Times New Roman" w:hAnsi="Times New Roman" w:eastAsia="Times New Roman" w:cs="Times New Roman"/>
          <w:color w:val="000000"/>
        </w:rPr>
        <w:t xml:space="preserve">Expert reliance and payment decisions</w:t>
      </w:r>
    </w:p>
    <w:p>
      <w:pPr>
        <w:pStyle w:val="BodyText"/>
        <w:widowControl/>
        <w:ind w:firstLine="0"/>
      </w:pPr>
      <w:r>
        <w:rPr>
          <w:rFonts w:ascii="Times New Roman" w:hAnsi="Times New Roman" w:eastAsia="Times New Roman" w:cs="Times New Roman"/>
          <w:color w:val="000000"/>
        </w:rPr>
        <w:t xml:space="preserve">Supplementary References</w:t>
      </w:r>
    </w:p>
    <w:bookmarkEnd w:id="20"/>
    <w:bookmarkStart w:id="57" w:name="supplementary-figures"/>
    <w:p>
      <w:pPr>
        <w:pStyle w:val="Heading2"/>
        <w:keepNext/>
        <w:pageBreakBefore/>
        <w:widowControl/>
        <w:ind w:firstLine="0"/>
      </w:pPr>
      <w:r>
        <w:rPr>
          <w:rFonts w:ascii="Times New Roman" w:hAnsi="Times New Roman" w:eastAsia="Times New Roman" w:cs="Times New Roman"/>
          <w:color w:val="000000"/>
        </w:rPr>
        <w:t xml:space="preserve">Supplementary Figures</w:t>
      </w:r>
    </w:p>
    <w:p>
      <w:pPr>
        <w:pStyle w:val="FirstParagraph"/>
        <w:keepNext/>
        <w:widowControl/>
        <w:spacing w:after="100"/>
        <w:ind w:firstLine="0"/>
        <w:jc w:val="center"/>
      </w:pPr>
      <w:r>
        <w:rPr>
          <w:rFonts w:ascii="Times New Roman" w:hAnsi="Times New Roman" w:eastAsia="Times New Roman" w:cs="Times New Roman"/>
          <w:color w:val="000000"/>
        </w:rPr>
        <w:drawing>
          <wp:inline>
            <wp:extent cx="4754880" cy="2828105"/>
            <wp:effectExtent b="0" l="0" r="0" t="0"/>
            <wp:docPr descr="Supplementary Figure S1. Material payoff gain from the full procedure across six stakes and observation-cost settings." title="" id="43" name="Picture"/>
            <a:graphic>
              <a:graphicData uri="http://schemas.openxmlformats.org/drawingml/2006/picture">
                <pic:pic>
                  <pic:nvPicPr>
                    <pic:cNvPr descr="../figs/supp_S1_stakes.png" id="44" name="Picture"/>
                    <pic:cNvPicPr>
                      <a:picLocks noChangeArrowheads="1" noChangeAspect="1"/>
                    </pic:cNvPicPr>
                  </pic:nvPicPr>
                  <pic:blipFill>
                    <a:blip r:embed="rId42"/>
                    <a:stretch>
                      <a:fillRect/>
                    </a:stretch>
                  </pic:blipFill>
                  <pic:spPr bwMode="auto">
                    <a:xfrm>
                      <a:off x="0" y="0"/>
                      <a:ext cx="4754880" cy="2828105"/>
                    </a:xfrm>
                    <a:prstGeom prst="rect">
                      <a:avLst/>
                    </a:prstGeom>
                    <a:noFill/>
                    <a:ln w="9525">
                      <a:noFill/>
                      <a:headEnd/>
                      <a:tailEnd/>
                    </a:ln>
                  </pic:spPr>
                </pic:pic>
              </a:graphicData>
            </a:graphic>
          </wp:inline>
        </w:drawing>
      </w:r>
    </w:p>
    <w:p>
      <w:pPr>
        <w:pStyle w:val="BodyText"/>
        <w:keepNext w:val="0"/>
        <w:widowControl/>
        <w:spacing w:before="200" w:after="120"/>
        <w:ind w:firstLine="0"/>
      </w:pPr>
      <w:r>
        <w:rPr>
          <w:bCs/>
          <w:rFonts w:ascii="Times New Roman" w:hAnsi="Times New Roman" w:eastAsia="Times New Roman" w:cs="Times New Roman"/>
          <w:b/>
          <w:color w:val="000000"/>
        </w:rPr>
        <w:t>Supplementary Fig.</w:t>
      </w:r>
      <w:r>
        <w:rPr>
          <w:bCs/>
          <w:rFonts w:ascii="Times New Roman" w:hAnsi="Times New Roman" w:eastAsia="Times New Roman" w:cs="Times New Roman"/>
          <w:b w:val="0"/>
          <w:color w:val="000000"/>
        </w:rPr>
        <w:t xml:space="preserve"> S1. The procedure’s payoff gain as the cost of a step of waiting varies.</w:t>
      </w:r>
      <w:r>
        <w:rPr>
          <w:rFonts w:ascii="Times New Roman" w:hAnsi="Times New Roman" w:eastAsia="Times New Roman" w:cs="Times New Roman"/>
          <w:b w:val="0"/>
          <w:color w:val="000000"/>
        </w:rPr>
        <w:t xml:space="preserve"> Payoff of the full procedure (two additional steps, then a random verdict with θ = 0.7) minus the payoff of own judgment, for the overconfident person, the population of four types in equal shares and the calibrated person, plotted against the material cost of one observation step expressed as a percentage of the failure loss (log scale). The six cases change the stakes and the step cost together, with Q raised so that acting with certainty of the good state keeps a positive value: (R</w:t>
      </w:r>
      <w:r>
        <w:rPr>
          <w:rFonts w:ascii="Times New Roman" w:hAnsi="Times New Roman" w:eastAsia="Times New Roman" w:cs="Times New Roman"/>
          <w:b w:val="0"/>
          <w:color w:val="000000"/>
          <w:vertAlign w:val="subscript"/>
        </w:rPr>
        <w:t xml:space="preserve">OK</w:t>
      </w:r>
      <w:r>
        <w:rPr>
          <w:rFonts w:ascii="Times New Roman" w:hAnsi="Times New Roman" w:eastAsia="Times New Roman" w:cs="Times New Roman"/>
          <w:b w:val="0"/>
          <w:color w:val="000000"/>
        </w:rPr>
        <w:t xml:space="preserve">, R</w:t>
      </w:r>
      <w:r>
        <w:rPr>
          <w:rFonts w:ascii="Times New Roman" w:hAnsi="Times New Roman" w:eastAsia="Times New Roman" w:cs="Times New Roman"/>
          <w:b w:val="0"/>
          <w:color w:val="000000"/>
          <w:vertAlign w:val="subscript"/>
        </w:rPr>
        <w:t xml:space="preserve">BAD</w:t>
      </w:r>
      <w:r>
        <w:rPr>
          <w:rFonts w:ascii="Times New Roman" w:hAnsi="Times New Roman" w:eastAsia="Times New Roman" w:cs="Times New Roman"/>
          <w:b w:val="0"/>
          <w:color w:val="000000"/>
        </w:rPr>
        <w:t xml:space="preserve">, Q, C) = (20, −100, 0.95, 1), (20, −100, 0.95, 0.5), (20, −100, 0.95, 0.25), (20, −300, 0.99, 1), (50, −1,000, 0.99, 1) and (50, −1,000, 0.99, 0.25), giving step costs of 1%, 0.5%, 0.25%, 0.33%, 0.1% and 0.025% of the failure loss. Policies are re-solved for each case. The population gain is 0.55, 0.72, 0.70, 1.09, 3.50 and 2.67 in that order; the overconfident person gains between 1.40 and 14.31, and the calibrated person’s payoff changes by between −0.02 and −0.57. 60,000 decisions per person and case, seed 41. Data in </w:t>
      </w:r>
      <w:r>
        <w:rPr>
          <w:rStyle w:val="VerbatimChar"/>
          <w:rFonts w:ascii="Times New Roman" w:hAnsi="Times New Roman" w:eastAsia="Times New Roman" w:cs="Times New Roman"/>
          <w:b w:val="0"/>
          <w:color w:val="000000"/>
        </w:rPr>
        <w:t xml:space="preserve">sA_stakes.csv</w:t>
      </w:r>
      <w:r>
        <w:rPr>
          <w:rFonts w:ascii="Times New Roman" w:hAnsi="Times New Roman" w:eastAsia="Times New Roman" w:cs="Times New Roman"/>
          <w:b w:val="0"/>
          <w:color w:val="000000"/>
        </w:rPr>
        <w:t xml:space="preserve">.</w:t>
      </w:r>
    </w:p>
    <w:p>
      <w:pPr>
        <w:pStyle w:val="BodyText"/>
        <w:keepNext/>
        <w:pageBreakBefore/>
        <w:widowControl/>
        <w:spacing w:after="100"/>
        <w:ind w:firstLine="0"/>
        <w:jc w:val="center"/>
      </w:pPr>
      <w:r>
        <w:rPr>
          <w:rFonts w:ascii="Times New Roman" w:hAnsi="Times New Roman" w:eastAsia="Times New Roman" w:cs="Times New Roman"/>
          <w:color w:val="000000"/>
        </w:rPr>
        <w:drawing>
          <wp:inline>
            <wp:extent cx="4754880" cy="3277189"/>
            <wp:effectExtent b="0" l="0" r="0" t="0"/>
            <wp:docPr descr="" title="" id="46" name="Picture"/>
            <a:graphic>
              <a:graphicData uri="http://schemas.openxmlformats.org/drawingml/2006/picture">
                <pic:pic>
                  <pic:nvPicPr>
                    <pic:cNvPr descr="../figs/supp_S2_p.png" id="47" name="Picture"/>
                    <pic:cNvPicPr>
                      <a:picLocks noChangeArrowheads="1" noChangeAspect="1"/>
                    </pic:cNvPicPr>
                  </pic:nvPicPr>
                  <pic:blipFill>
                    <a:blip r:embed="rId45"/>
                    <a:stretch>
                      <a:fillRect/>
                    </a:stretch>
                  </pic:blipFill>
                  <pic:spPr bwMode="auto">
                    <a:xfrm>
                      <a:off x="0" y="0"/>
                      <a:ext cx="4754880" cy="3277189"/>
                    </a:xfrm>
                    <a:prstGeom prst="rect">
                      <a:avLst/>
                    </a:prstGeom>
                    <a:noFill/>
                    <a:ln w="9525">
                      <a:noFill/>
                      <a:headEnd/>
                      <a:tailEnd/>
                    </a:ln>
                  </pic:spPr>
                </pic:pic>
              </a:graphicData>
            </a:graphic>
          </wp:inline>
        </w:drawing>
      </w:r>
    </w:p>
    <w:p>
      <w:pPr>
        <w:pStyle w:val="BodyText"/>
        <w:keepNext w:val="0"/>
        <w:widowControl/>
        <w:spacing w:before="200" w:after="120"/>
        <w:ind w:firstLine="0"/>
      </w:pPr>
      <w:r>
        <w:rPr>
          <w:bCs/>
          <w:rFonts w:ascii="Times New Roman" w:hAnsi="Times New Roman" w:eastAsia="Times New Roman" w:cs="Times New Roman"/>
          <w:b/>
          <w:color w:val="000000"/>
        </w:rPr>
        <w:t>Supplementary Fig.</w:t>
      </w:r>
      <w:r>
        <w:rPr>
          <w:bCs/>
          <w:rFonts w:ascii="Times New Roman" w:hAnsi="Times New Roman" w:eastAsia="Times New Roman" w:cs="Times New Roman"/>
          <w:b w:val="0"/>
          <w:color w:val="000000"/>
        </w:rPr>
        <w:t xml:space="preserve"> S2. Outcomes as the probability of a “go” verdict varies from 0 to 1.</w:t>
      </w:r>
      <w:r>
        <w:rPr>
          <w:rFonts w:ascii="Times New Roman" w:hAnsi="Times New Roman" w:eastAsia="Times New Roman" w:cs="Times New Roman"/>
          <w:b w:val="0"/>
          <w:color w:val="000000"/>
        </w:rPr>
        <w:t xml:space="preserve"> Missed opportunities and payoff by type under the verdict with θ = 0.7 and no imposed wait, for p in {0, 0.25, 0.5, 0.75, 1}. With a fixed policy for each verdict, every quantity is a weighted average of the two fixed-verdict outcomes and therefore moves linearly in p. The calibrated and overconfident persons are unaffected by either verdict. The anxious person’s payoff falls from 4.67 at p = 0 to 3.80 at p = 1, and the fearful person’s rises from 3.72 to 4.75; the population payoff is 3.56 when everyone receives “wait”, 3.57 at the main-text value p = 1/4 and 3.60 when everyone receives “go”, so for this population the better fixed verdict slightly exceeds the random draw. 60,000 decisions per person and value of p, seed 43. Data in </w:t>
      </w:r>
      <w:r>
        <w:rPr>
          <w:rStyle w:val="VerbatimChar"/>
          <w:rFonts w:ascii="Times New Roman" w:hAnsi="Times New Roman" w:eastAsia="Times New Roman" w:cs="Times New Roman"/>
          <w:b w:val="0"/>
          <w:color w:val="000000"/>
        </w:rPr>
        <w:t xml:space="preserve">sB_p.csv</w:t>
      </w:r>
      <w:r>
        <w:rPr>
          <w:rFonts w:ascii="Times New Roman" w:hAnsi="Times New Roman" w:eastAsia="Times New Roman" w:cs="Times New Roman"/>
          <w:b w:val="0"/>
          <w:color w:val="000000"/>
        </w:rPr>
        <w:t xml:space="preserve">.</w:t>
      </w:r>
    </w:p>
    <w:p>
      <w:pPr>
        <w:pStyle w:val="BodyText"/>
        <w:keepNext/>
        <w:pageBreakBefore/>
        <w:widowControl/>
        <w:spacing w:after="100"/>
        <w:ind w:firstLine="0"/>
        <w:jc w:val="center"/>
      </w:pPr>
      <w:r>
        <w:rPr>
          <w:rFonts w:ascii="Times New Roman" w:hAnsi="Times New Roman" w:eastAsia="Times New Roman" w:cs="Times New Roman"/>
          <w:color w:val="000000"/>
        </w:rPr>
        <w:drawing>
          <wp:inline>
            <wp:extent cx="4754880" cy="3209041"/>
            <wp:effectExtent b="0" l="0" r="0" t="0"/>
            <wp:docPr descr="" title="" id="49" name="Picture"/>
            <a:graphic>
              <a:graphicData uri="http://schemas.openxmlformats.org/drawingml/2006/picture">
                <pic:pic>
                  <pic:nvPicPr>
                    <pic:cNvPr descr="../figs/supp_S3_theta.png" id="50" name="Picture"/>
                    <pic:cNvPicPr>
                      <a:picLocks noChangeArrowheads="1" noChangeAspect="1"/>
                    </pic:cNvPicPr>
                  </pic:nvPicPr>
                  <pic:blipFill>
                    <a:blip r:embed="rId48"/>
                    <a:stretch>
                      <a:fillRect/>
                    </a:stretch>
                  </pic:blipFill>
                  <pic:spPr bwMode="auto">
                    <a:xfrm>
                      <a:off x="0" y="0"/>
                      <a:ext cx="4754880" cy="3209041"/>
                    </a:xfrm>
                    <a:prstGeom prst="rect">
                      <a:avLst/>
                    </a:prstGeom>
                    <a:noFill/>
                    <a:ln w="9525">
                      <a:noFill/>
                      <a:headEnd/>
                      <a:tailEnd/>
                    </a:ln>
                  </pic:spPr>
                </pic:pic>
              </a:graphicData>
            </a:graphic>
          </wp:inline>
        </w:drawing>
      </w:r>
    </w:p>
    <w:p>
      <w:pPr>
        <w:pStyle w:val="BodyText"/>
        <w:keepNext w:val="0"/>
        <w:widowControl/>
        <w:spacing w:before="200" w:after="120"/>
        <w:ind w:firstLine="0"/>
      </w:pPr>
      <w:r>
        <w:rPr>
          <w:bCs/>
          <w:rFonts w:ascii="Times New Roman" w:hAnsi="Times New Roman" w:eastAsia="Times New Roman" w:cs="Times New Roman"/>
          <w:b/>
          <w:color w:val="000000"/>
        </w:rPr>
        <w:t>Supplementary Fig.</w:t>
      </w:r>
      <w:r>
        <w:rPr>
          <w:bCs/>
          <w:rFonts w:ascii="Times New Roman" w:hAnsi="Times New Roman" w:eastAsia="Times New Roman" w:cs="Times New Roman"/>
          <w:b w:val="0"/>
          <w:color w:val="000000"/>
        </w:rPr>
        <w:t xml:space="preserve"> S3. The correction as the share of pressure relieved, θ, varies from 0 to 1.</w:t>
      </w:r>
      <w:r>
        <w:rPr>
          <w:rFonts w:ascii="Times New Roman" w:hAnsi="Times New Roman" w:eastAsia="Times New Roman" w:cs="Times New Roman"/>
          <w:b w:val="0"/>
          <w:color w:val="000000"/>
        </w:rPr>
        <w:t xml:space="preserve"> Missed opportunities among anxious persons receiving “wait” and among fearful persons receiving “go”, with no imposed wait and no belief shift. At θ = 0 the rates are 10.7% and 14.1%; at θ = 0.7, the main-text value, 4.1% and 2.7%; at θ = 1, 1.8% and 1.9%, the calibrated level. Full relief brings each person to the calibrated rate and no further, because the relieved policy is then the calibrated policy. 60,000 decisions per person and value of θ, seed 47. Data in </w:t>
      </w:r>
      <w:r>
        <w:rPr>
          <w:rStyle w:val="VerbatimChar"/>
          <w:rFonts w:ascii="Times New Roman" w:hAnsi="Times New Roman" w:eastAsia="Times New Roman" w:cs="Times New Roman"/>
          <w:b w:val="0"/>
          <w:color w:val="000000"/>
        </w:rPr>
        <w:t xml:space="preserve">sD_theta.csv</w:t>
      </w:r>
      <w:r>
        <w:rPr>
          <w:rFonts w:ascii="Times New Roman" w:hAnsi="Times New Roman" w:eastAsia="Times New Roman" w:cs="Times New Roman"/>
          <w:b w:val="0"/>
          <w:color w:val="000000"/>
        </w:rPr>
        <w:t xml:space="preserve">.</w:t>
      </w:r>
    </w:p>
    <w:p>
      <w:pPr>
        <w:pStyle w:val="BodyText"/>
        <w:keepNext/>
        <w:pageBreakBefore/>
        <w:widowControl/>
        <w:spacing w:after="100"/>
        <w:ind w:firstLine="0"/>
        <w:jc w:val="center"/>
      </w:pPr>
      <w:r>
        <w:rPr>
          <w:rFonts w:ascii="Times New Roman" w:hAnsi="Times New Roman" w:eastAsia="Times New Roman" w:cs="Times New Roman"/>
          <w:color w:val="000000"/>
        </w:rPr>
        <w:drawing>
          <wp:inline>
            <wp:extent cx="4754880" cy="1915991"/>
            <wp:effectExtent b="0" l="0" r="0" t="0"/>
            <wp:docPr descr="" title="" id="52" name="Picture"/>
            <a:graphic>
              <a:graphicData uri="http://schemas.openxmlformats.org/drawingml/2006/picture">
                <pic:pic>
                  <pic:nvPicPr>
                    <pic:cNvPr descr="../figs/supp_S4_pressure.png" id="53" name="Picture"/>
                    <pic:cNvPicPr>
                      <a:picLocks noChangeArrowheads="1" noChangeAspect="1"/>
                    </pic:cNvPicPr>
                  </pic:nvPicPr>
                  <pic:blipFill>
                    <a:blip r:embed="rId51"/>
                    <a:stretch>
                      <a:fillRect/>
                    </a:stretch>
                  </pic:blipFill>
                  <pic:spPr bwMode="auto">
                    <a:xfrm>
                      <a:off x="0" y="0"/>
                      <a:ext cx="4754880" cy="1915991"/>
                    </a:xfrm>
                    <a:prstGeom prst="rect">
                      <a:avLst/>
                    </a:prstGeom>
                    <a:noFill/>
                    <a:ln w="9525">
                      <a:noFill/>
                      <a:headEnd/>
                      <a:tailEnd/>
                    </a:ln>
                  </pic:spPr>
                </pic:pic>
              </a:graphicData>
            </a:graphic>
          </wp:inline>
        </w:drawing>
      </w:r>
    </w:p>
    <w:p>
      <w:pPr>
        <w:pStyle w:val="BodyText"/>
        <w:keepNext w:val="0"/>
        <w:widowControl/>
        <w:spacing w:before="200" w:after="120"/>
        <w:ind w:firstLine="0"/>
      </w:pPr>
      <w:r>
        <w:rPr>
          <w:bCs/>
          <w:rFonts w:ascii="Times New Roman" w:hAnsi="Times New Roman" w:eastAsia="Times New Roman" w:cs="Times New Roman"/>
          <w:b/>
          <w:color w:val="000000"/>
        </w:rPr>
        <w:t>Supplementary Fig.</w:t>
      </w:r>
      <w:r>
        <w:rPr>
          <w:bCs/>
          <w:rFonts w:ascii="Times New Roman" w:hAnsi="Times New Roman" w:eastAsia="Times New Roman" w:cs="Times New Roman"/>
          <w:b w:val="0"/>
          <w:color w:val="000000"/>
        </w:rPr>
        <w:t xml:space="preserve"> S4. The correction as the strength of each pressure varies.</w:t>
      </w:r>
      <w:r>
        <w:rPr>
          <w:rFonts w:ascii="Times New Roman" w:hAnsi="Times New Roman" w:eastAsia="Times New Roman" w:cs="Times New Roman"/>
          <w:b w:val="0"/>
          <w:color w:val="000000"/>
        </w:rPr>
        <w:t xml:space="preserve"> Missed opportunities without a verdict and among those receiving the relevant verdict (θ = 0.7), for the anxious person with C</w:t>
      </w:r>
      <w:r>
        <w:rPr>
          <w:rFonts w:ascii="Times New Roman" w:hAnsi="Times New Roman" w:eastAsia="Times New Roman" w:cs="Times New Roman"/>
          <w:b w:val="0"/>
          <w:color w:val="000000"/>
          <w:vertAlign w:val="subscript"/>
        </w:rPr>
        <w:t xml:space="preserve">anx</w:t>
      </w:r>
      <w:r>
        <w:rPr>
          <w:rFonts w:ascii="Times New Roman" w:hAnsi="Times New Roman" w:eastAsia="Times New Roman" w:cs="Times New Roman"/>
          <w:b w:val="0"/>
          <w:color w:val="000000"/>
        </w:rPr>
        <w:t xml:space="preserve"> in {0.5, 1, 1.5, 2, 4} and the fearful person with R</w:t>
      </w:r>
      <w:r>
        <w:rPr>
          <w:rFonts w:ascii="Times New Roman" w:hAnsi="Times New Roman" w:eastAsia="Times New Roman" w:cs="Times New Roman"/>
          <w:b w:val="0"/>
          <w:color w:val="000000"/>
          <w:vertAlign w:val="subscript"/>
        </w:rPr>
        <w:t xml:space="preserve">blame</w:t>
      </w:r>
      <w:r>
        <w:rPr>
          <w:rFonts w:ascii="Times New Roman" w:hAnsi="Times New Roman" w:eastAsia="Times New Roman" w:cs="Times New Roman"/>
          <w:b w:val="0"/>
          <w:color w:val="000000"/>
        </w:rPr>
        <w:t xml:space="preserve"> in {50, 100, 200, 400}; the dashed line is the calibrated rate of 1.8%. Without relief, missed opportunities rise from 4.4% to 25.1% across the anxious range and from 2.4% to 50.3% across the fearful range; with relief they stay between 2.5% and 8.8% for the anxious person and between 2.1% and 4.1% for the fearful person. The same giving-up behavior can therefore arise from either pressure at very different strengths. 60,000 decisions per person and strength, seed 51. Data in </w:t>
      </w:r>
      <w:r>
        <w:rPr>
          <w:rStyle w:val="VerbatimChar"/>
          <w:rFonts w:ascii="Times New Roman" w:hAnsi="Times New Roman" w:eastAsia="Times New Roman" w:cs="Times New Roman"/>
          <w:b w:val="0"/>
          <w:color w:val="000000"/>
        </w:rPr>
        <w:t xml:space="preserve">sF_pressure.csv</w:t>
      </w:r>
      <w:r>
        <w:rPr>
          <w:rFonts w:ascii="Times New Roman" w:hAnsi="Times New Roman" w:eastAsia="Times New Roman" w:cs="Times New Roman"/>
          <w:b w:val="0"/>
          <w:color w:val="000000"/>
        </w:rPr>
        <w:t xml:space="preserve">.</w:t>
      </w:r>
    </w:p>
    <w:p>
      <w:pPr>
        <w:pStyle w:val="BodyText"/>
        <w:keepNext/>
        <w:pageBreakBefore/>
        <w:widowControl/>
        <w:spacing w:after="100"/>
        <w:ind w:firstLine="0"/>
        <w:jc w:val="center"/>
      </w:pPr>
      <w:r>
        <w:rPr>
          <w:rFonts w:ascii="Times New Roman" w:hAnsi="Times New Roman" w:eastAsia="Times New Roman" w:cs="Times New Roman"/>
          <w:color w:val="000000"/>
        </w:rPr>
        <w:drawing>
          <wp:inline>
            <wp:extent cx="5334000" cy="2015156"/>
            <wp:effectExtent b="0" l="0" r="0" t="0"/>
            <wp:docPr descr="" title="" id="55" name="Picture"/>
            <a:graphic>
              <a:graphicData uri="http://schemas.openxmlformats.org/drawingml/2006/picture">
                <pic:pic>
                  <pic:nvPicPr>
                    <pic:cNvPr descr="../figs/supp_S5_handoff.png" id="56" name="Picture"/>
                    <pic:cNvPicPr>
                      <a:picLocks noChangeArrowheads="1" noChangeAspect="1"/>
                    </pic:cNvPicPr>
                  </pic:nvPicPr>
                  <pic:blipFill>
                    <a:blip r:embed="rId54"/>
                    <a:stretch>
                      <a:fillRect/>
                    </a:stretch>
                  </pic:blipFill>
                  <pic:spPr bwMode="auto">
                    <a:xfrm>
                      <a:off x="0" y="0"/>
                      <a:ext cx="5334000" cy="2015156"/>
                    </a:xfrm>
                    <a:prstGeom prst="rect">
                      <a:avLst/>
                    </a:prstGeom>
                    <a:noFill/>
                    <a:ln w="9525">
                      <a:noFill/>
                      <a:headEnd/>
                      <a:tailEnd/>
                    </a:ln>
                  </pic:spPr>
                </pic:pic>
              </a:graphicData>
            </a:graphic>
          </wp:inline>
        </w:drawing>
      </w:r>
    </w:p>
    <w:p>
      <w:pPr>
        <w:pStyle w:val="BodyText"/>
        <w:keepNext w:val="0"/>
        <w:widowControl/>
        <w:spacing w:before="200" w:after="120"/>
        <w:ind w:firstLine="0"/>
      </w:pPr>
      <w:r>
        <w:rPr>
          <w:bCs/>
          <w:rFonts w:ascii="Times New Roman" w:hAnsi="Times New Roman" w:eastAsia="Times New Roman" w:cs="Times New Roman"/>
          <w:b/>
          <w:color w:val="000000"/>
        </w:rPr>
        <w:t>Supplementary Fig.</w:t>
      </w:r>
      <w:r>
        <w:rPr>
          <w:bCs/>
          <w:rFonts w:ascii="Times New Roman" w:hAnsi="Times New Roman" w:eastAsia="Times New Roman" w:cs="Times New Roman"/>
          <w:b w:val="0"/>
          <w:color w:val="000000"/>
        </w:rPr>
        <w:t xml:space="preserve"> S5. Payoff by arrangement after an agent with γ</w:t>
      </w:r>
      <w:r>
        <w:rPr>
          <w:color w:val="000000"/>
          <w:vertAlign w:val="subscript"/>
          <w:bCs/>
          <w:rFonts w:ascii="Times New Roman" w:hAnsi="Times New Roman" w:eastAsia="Times New Roman" w:cs="Times New Roman"/>
          <w:b w:val="0"/>
        </w:rPr>
        <w:t xml:space="preserve">a</w:t>
      </w:r>
      <w:r>
        <w:rPr>
          <w:bCs/>
          <w:rFonts w:ascii="Times New Roman" w:hAnsi="Times New Roman" w:eastAsia="Times New Roman" w:cs="Times New Roman"/>
          <w:b w:val="0"/>
          <w:color w:val="000000"/>
        </w:rPr>
        <w:t xml:space="preserve"> = 4 hands over.</w:t>
      </w:r>
      <w:r>
        <w:rPr>
          <w:rFonts w:ascii="Times New Roman" w:hAnsi="Times New Roman" w:eastAsia="Times New Roman" w:cs="Times New Roman"/>
          <w:b w:val="0"/>
          <w:color w:val="000000"/>
        </w:rPr>
        <w:t xml:space="preserve"> Average material payoff for the five persons of Supplementary Table S10 and the equal mix of the four types of main Table 1, under own judgment (no agent), an immediate decision at hand-off, and arrangements A to D of the Supplementary Note “Agent checking and follower scenarios”. The bars are the γ</w:t>
      </w:r>
      <w:r>
        <w:rPr>
          <w:rFonts w:ascii="Times New Roman" w:hAnsi="Times New Roman" w:eastAsia="Times New Roman" w:cs="Times New Roman"/>
          <w:b w:val="0"/>
          <w:color w:val="000000"/>
          <w:vertAlign w:val="subscript"/>
        </w:rPr>
        <w:t xml:space="preserve">a</w:t>
      </w:r>
      <w:r>
        <w:rPr>
          <w:rFonts w:ascii="Times New Roman" w:hAnsi="Times New Roman" w:eastAsia="Times New Roman" w:cs="Times New Roman"/>
          <w:b w:val="0"/>
          <w:color w:val="000000"/>
        </w:rPr>
        <w:t xml:space="preserve"> = 4 rows of Supplementary Table S10; the equal-mix bars are the γ</w:t>
      </w:r>
      <w:r>
        <w:rPr>
          <w:rFonts w:ascii="Times New Roman" w:hAnsi="Times New Roman" w:eastAsia="Times New Roman" w:cs="Times New Roman"/>
          <w:b w:val="0"/>
          <w:color w:val="000000"/>
          <w:vertAlign w:val="subscript"/>
        </w:rPr>
        <w:t xml:space="preserve">a</w:t>
      </w:r>
      <w:r>
        <w:rPr>
          <w:rFonts w:ascii="Times New Roman" w:hAnsi="Times New Roman" w:eastAsia="Times New Roman" w:cs="Times New Roman"/>
          <w:b w:val="0"/>
          <w:color w:val="000000"/>
        </w:rPr>
        <w:t xml:space="preserve"> = 4 row of main Table 4. 100,000 decisions per person, seed 31. Data in </w:t>
      </w:r>
      <w:r>
        <w:rPr>
          <w:rStyle w:val="VerbatimChar"/>
          <w:rFonts w:ascii="Times New Roman" w:hAnsi="Times New Roman" w:eastAsia="Times New Roman" w:cs="Times New Roman"/>
          <w:b w:val="0"/>
          <w:color w:val="000000"/>
        </w:rPr>
        <w:t xml:space="preserve">sS10_handoff_persons.csv</w:t>
      </w:r>
      <w:r>
        <w:rPr>
          <w:rFonts w:ascii="Times New Roman" w:hAnsi="Times New Roman" w:eastAsia="Times New Roman" w:cs="Times New Roman"/>
          <w:b w:val="0"/>
          <w:color w:val="000000"/>
        </w:rPr>
        <w:t xml:space="preserve">.</w:t>
      </w:r>
    </w:p>
    <w:bookmarkEnd w:id="57"/>
    <w:p>
      <w:pPr>
        <w:sectPr>
          <w:footerReference w:type="default" r:id="rId9"/>
          <w:type w:val="nextPage"/>
          <w:pgSz w:w="12240" w:h="15840"/>
          <w:pgMar w:top="1080" w:right="1080" w:bottom="1080" w:left="1080" w:header="360" w:footer="360" w:gutter="0"/>
        </w:sectPr>
      </w:pPr>
    </w:p>
    <w:bookmarkStart w:id="58" w:name="supplementary-tables"/>
    <w:p>
      <w:pPr>
        <w:pStyle w:val="Heading2"/>
        <w:widowControl/>
        <w:ind w:firstLine="0"/>
        <w:keepNext/>
      </w:pPr>
      <w:r>
        <w:rPr>
          <w:rFonts w:ascii="Times New Roman" w:hAnsi="Times New Roman" w:eastAsia="Times New Roman" w:cs="Times New Roman"/>
          <w:color w:val="000000"/>
        </w:rPr>
        <w:t xml:space="preserve">Supplementary Tables</w:t>
      </w:r>
    </w:p>
    <w:p>
      <w:pPr>
        <w:pStyle w:val="FirstParagraph"/>
        <w:keepNext/>
        <w:widowControl/>
        <w:spacing w:before="200" w:after="120"/>
        <w:ind w:firstLine="0"/>
      </w:pPr>
      <w:r>
        <w:rPr>
          <w:bCs/>
          <w:rFonts w:ascii="Times New Roman" w:hAnsi="Times New Roman" w:eastAsia="Times New Roman" w:cs="Times New Roman"/>
          <w:b/>
          <w:color w:val="000000"/>
        </w:rPr>
        <w:t>Supplementary Table S1.</w:t>
      </w:r>
      <w:r>
        <w:rPr>
          <w:bCs/>
          <w:rFonts w:ascii="Times New Roman" w:hAnsi="Times New Roman" w:eastAsia="Times New Roman" w:cs="Times New Roman"/>
          <w:b w:val="0"/>
          <w:color w:val="000000"/>
        </w:rPr>
        <w:t xml:space="preserve"> A common adjustment of one’s own thresholds against an imposed wait.</w:t>
      </w:r>
      <w:r>
        <w:rPr>
          <w:rFonts w:ascii="Times New Roman" w:hAnsi="Times New Roman" w:eastAsia="Times New Roman" w:cs="Times New Roman"/>
          <w:b w:val="0"/>
          <w:color w:val="000000"/>
        </w:rPr>
        <w:t xml:space="preserve"> Each person’s action and give-up thresholds are multiplied by the same factor in perceived log-odds units, which makes the person demand stronger perceived evidence before acting or giving up; f* is the factor that brings the person’s first-step action threshold to the calibrated person’s (f* = 1 for γ = 1). The imposed wait is two additional steps after the first observation. Percentages are shares of all decisions. 60,000 decisions per person, seed 49. Data in </w:t>
      </w:r>
      <w:r>
        <w:rPr>
          <w:rStyle w:val="VerbatimChar"/>
          <w:rFonts w:ascii="Times New Roman" w:hAnsi="Times New Roman" w:eastAsia="Times New Roman" w:cs="Times New Roman"/>
          <w:b w:val="0"/>
          <w:color w:val="000000"/>
        </w:rPr>
        <w:t xml:space="preserve">sE_selfrule.csv</w:t>
      </w:r>
      <w:r>
        <w:rPr>
          <w:rFonts w:ascii="Times New Roman" w:hAnsi="Times New Roman" w:eastAsia="Times New Roman" w:cs="Times New Roman"/>
          <w:b w:val="0"/>
          <w:color w:val="000000"/>
        </w:rPr>
        <w:t xml:space="preserve">.</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1686"/>
        <w:gridCol w:w="5060"/>
        <w:gridCol w:w="2436"/>
        <w:gridCol w:w="2436"/>
        <w:gridCol w:w="2061"/>
      </w:tblGrid>
      <w:tr>
        <w:trPr>
          <w:tblHeader w:val="true"/>
          <w:cantSplit/>
        </w:trPr>
        <w:tc>
          <w:tcPr>
            <w:tcW w:type="dxa" w:w="1686"/>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Person</w:t>
            </w:r>
          </w:p>
        </w:tc>
        <w:tc>
          <w:tcPr>
            <w:tcW w:type="dxa" w:w="5060"/>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Rule</w:t>
            </w:r>
          </w:p>
        </w:tc>
        <w:tc>
          <w:tcPr>
            <w:tcW w:type="dxa" w:w="2436"/>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Actions in the bad state</w:t>
            </w:r>
          </w:p>
        </w:tc>
        <w:tc>
          <w:tcPr>
            <w:tcW w:type="dxa" w:w="2436"/>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 opportunities</w:t>
            </w:r>
          </w:p>
        </w:tc>
        <w:tc>
          <w:tcPr>
            <w:tcW w:type="dxa" w:w="2061"/>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Average payoff</w:t>
            </w:r>
          </w:p>
        </w:tc>
      </w:tr>
      <w:tr>
        <w:trPr>
          <w:cantSplit/>
        </w:trPr>
        <w:tc>
          <w:tcPr>
            <w:tcW w:type="dxa" w:w="1686"/>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γ = 1</w:t>
            </w: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policy</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0.21%</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4.66</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two additional steps imposed</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0.18%</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4.48</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1.25</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0.06%</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4.55</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1.5</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0.03%</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4.27</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2</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0.01%</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3.65</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f* = 1.00</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0.21%</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4.66</w:t>
            </w:r>
          </w:p>
        </w:tc>
      </w:tr>
      <w:tr>
        <w:trPr>
          <w:cantSplit/>
        </w:trPr>
        <w:tc>
          <w:tcPr>
            <w:tcW w:type="dxa" w:w="1686"/>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γ = 2</w:t>
            </w: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policy</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1.58%</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3.68</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two additional steps imposed</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3.99</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1.25</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0.88%</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4.31</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1.5</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0.53%</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2.3%</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4.53</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2</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0.16%</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4.64</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f* = 1.87</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0.21%</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4.66</w:t>
            </w:r>
          </w:p>
        </w:tc>
      </w:tr>
      <w:tr>
        <w:trPr>
          <w:cantSplit/>
        </w:trPr>
        <w:tc>
          <w:tcPr>
            <w:tcW w:type="dxa" w:w="1686"/>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γ = 4</w:t>
            </w: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policy</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4.47%</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7.2%</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0.96</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two additional steps imposed</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2.14%</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2.86</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1.25</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3.50%</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6.2%</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1.89</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1.5</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2.61%</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5.4%</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2.75</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2</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1.41%</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3.9%</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3.85</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f* = 3.57</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0.21%</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1.2%</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4.65</w:t>
            </w:r>
          </w:p>
        </w:tc>
      </w:tr>
      <w:tr>
        <w:trPr>
          <w:cantSplit/>
        </w:trPr>
        <w:tc>
          <w:tcPr>
            <w:tcW w:type="dxa" w:w="1686"/>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γ = 6</w:t>
            </w: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policy</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6.13%</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8.2%</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−0.63</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two additional steps imposed</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2.75%</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3.4%</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2.27</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1.25</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5.20%</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7.7%</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0.25</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1.5</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4.37%</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7.1%</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1.06</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2</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3.08%</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5.8%</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2.32</w:t>
            </w:r>
          </w:p>
        </w:tc>
      </w:tr>
      <w:tr>
        <w:trPr>
          <w:cantSplit/>
        </w:trPr>
        <w:tc>
          <w:tcPr>
            <w:tcW w:type="dxa" w:w="1686"/>
            <w:vAlign w:val="center"/>
          </w:tcPr>
          <w:p>
            <w:pPr>
              <w:pStyle w:val="Compact"/>
              <w:keepNext w:val="0"/>
              <w:widowControl/>
              <w:spacing w:before="0" w:after="0" w:line="240" w:lineRule="auto"/>
              <w:ind w:firstLine="0"/>
              <w:jc w:val="left"/>
            </w:pPr>
          </w:p>
        </w:tc>
        <w:tc>
          <w:tcPr>
            <w:tcW w:type="dxa" w:w="506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thresholds × f* = 5.25</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0.22%</w:t>
            </w:r>
          </w:p>
        </w:tc>
        <w:tc>
          <w:tcPr>
            <w:tcW w:type="dxa" w:w="243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w:t>
            </w:r>
          </w:p>
        </w:tc>
        <w:tc>
          <w:tcPr>
            <w:tcW w:type="dxa" w:w="20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4.64</w:t>
            </w:r>
          </w:p>
        </w:tc>
      </w:tr>
    </w:tbl>
    <w:p>
      <w:pPr>
        <w:pStyle w:val="BodyText"/>
        <w:keepNext/>
        <w:pageBreakBefore/>
        <w:widowControl/>
        <w:spacing w:before="200" w:after="120"/>
        <w:ind w:firstLine="0"/>
      </w:pPr>
      <w:r>
        <w:rPr>
          <w:bCs/>
          <w:rFonts w:ascii="Times New Roman" w:hAnsi="Times New Roman" w:eastAsia="Times New Roman" w:cs="Times New Roman"/>
          <w:b/>
          <w:color w:val="000000"/>
        </w:rPr>
        <w:t>Supplementary Table S2.</w:t>
      </w:r>
      <w:r>
        <w:rPr>
          <w:bCs/>
          <w:rFonts w:ascii="Times New Roman" w:hAnsi="Times New Roman" w:eastAsia="Times New Roman" w:cs="Times New Roman"/>
          <w:b w:val="0"/>
          <w:color w:val="000000"/>
        </w:rPr>
        <w:t xml:space="preserve"> Robustness to Q, σ and the horizon, and a rule-of-thumb decider.</w:t>
      </w:r>
      <w:r>
        <w:rPr>
          <w:rFonts w:ascii="Times New Roman" w:hAnsi="Times New Roman" w:eastAsia="Times New Roman" w:cs="Times New Roman"/>
          <w:b w:val="0"/>
          <w:color w:val="000000"/>
        </w:rPr>
        <w:t xml:space="preserve"> (a) Each row changes one parameter from the main setting and re-solves every policy. “Wait” is two additional steps imposed after the first observation; “relief” is the relevant verdict with θ = 0.7 and no imposed wait, reported among those receiving it. At Q = 1 an action in the good state always succeeds; the fearful person’s missed opportunities then equal the calibrated person’s to one decimal place because their give-up thresholds coincide, while their action threshold stays higher. Near Q = 0.9 the fearful person never acts before relief (Supplementary Table S3). 60,000 decisions per person and row, seed 53. Data in </w:t>
      </w:r>
      <w:r>
        <w:rPr>
          <w:rStyle w:val="VerbatimChar"/>
          <w:rFonts w:ascii="Times New Roman" w:hAnsi="Times New Roman" w:eastAsia="Times New Roman" w:cs="Times New Roman"/>
          <w:b w:val="0"/>
          <w:color w:val="000000"/>
        </w:rPr>
        <w:t xml:space="preserve">robustness.csv</w:t>
      </w:r>
      <w:r>
        <w:rPr>
          <w:rFonts w:ascii="Times New Roman" w:hAnsi="Times New Roman" w:eastAsia="Times New Roman" w:cs="Times New Roman"/>
          <w:b w:val="0"/>
          <w:color w:val="000000"/>
        </w:rPr>
        <w:t xml:space="preserve">.</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1469"/>
        <w:gridCol w:w="1161"/>
        <w:gridCol w:w="1161"/>
        <w:gridCol w:w="1370"/>
        <w:gridCol w:w="1161"/>
        <w:gridCol w:w="1291"/>
        <w:gridCol w:w="1161"/>
        <w:gridCol w:w="1161"/>
        <w:gridCol w:w="1291"/>
        <w:gridCol w:w="1161"/>
        <w:gridCol w:w="1291"/>
      </w:tblGrid>
      <w:tr>
        <w:trPr>
          <w:tblHeader w:val="true"/>
          <w:cantSplit/>
        </w:trPr>
        <w:tc>
          <w:tcPr>
            <w:tcW w:type="dxa" w:w="1469"/>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7"/>
              </w:rPr>
              <w:t xml:space="preserve">Variant</w:t>
            </w:r>
          </w:p>
        </w:tc>
        <w:tc>
          <w:tcPr>
            <w:tcW w:type="dxa" w:w="1161"/>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7"/>
              </w:rPr>
              <w:t xml:space="preserve">Calibrated payoff</w:t>
            </w:r>
          </w:p>
        </w:tc>
        <w:tc>
          <w:tcPr>
            <w:tcW w:type="dxa" w:w="1161"/>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7"/>
              </w:rPr>
              <w:t xml:space="preserve">Calibrated missed</w:t>
            </w:r>
          </w:p>
        </w:tc>
        <w:tc>
          <w:tcPr>
            <w:tcW w:type="dxa" w:w="1370"/>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7"/>
              </w:rPr>
              <w:t xml:space="preserve">Overconfident payoff</w:t>
            </w:r>
          </w:p>
        </w:tc>
        <w:tc>
          <w:tcPr>
            <w:tcW w:type="dxa" w:w="1161"/>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7"/>
              </w:rPr>
              <w:t xml:space="preserve">… after wait</w:t>
            </w:r>
          </w:p>
        </w:tc>
        <w:tc>
          <w:tcPr>
            <w:tcW w:type="dxa" w:w="1291"/>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7"/>
              </w:rPr>
              <w:t xml:space="preserve">Overconfident bad-state</w:t>
            </w:r>
          </w:p>
        </w:tc>
        <w:tc>
          <w:tcPr>
            <w:tcW w:type="dxa" w:w="1161"/>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7"/>
              </w:rPr>
              <w:t xml:space="preserve">… after wait</w:t>
            </w:r>
          </w:p>
        </w:tc>
        <w:tc>
          <w:tcPr>
            <w:tcW w:type="dxa" w:w="1161"/>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7"/>
              </w:rPr>
              <w:t xml:space="preserve">Anxious missed</w:t>
            </w:r>
          </w:p>
        </w:tc>
        <w:tc>
          <w:tcPr>
            <w:tcW w:type="dxa" w:w="1291"/>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7"/>
              </w:rPr>
              <w:t xml:space="preserve">… with “wait” relief</w:t>
            </w:r>
          </w:p>
        </w:tc>
        <w:tc>
          <w:tcPr>
            <w:tcW w:type="dxa" w:w="1161"/>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7"/>
              </w:rPr>
              <w:t xml:space="preserve">Fearful missed</w:t>
            </w:r>
          </w:p>
        </w:tc>
        <w:tc>
          <w:tcPr>
            <w:tcW w:type="dxa" w:w="1291"/>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7"/>
              </w:rPr>
              <w:t xml:space="preserve">… with “go” relief</w:t>
            </w:r>
          </w:p>
        </w:tc>
      </w:tr>
      <w:tr>
        <w:trPr>
          <w:cantSplit/>
        </w:trPr>
        <w:tc>
          <w:tcPr>
            <w:tcW w:type="dxa" w:w="14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main text</w:t>
            </w:r>
          </w:p>
        </w:tc>
        <w:tc>
          <w:tcPr>
            <w:tcW w:type="dxa" w:w="116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4.67</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37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1.01</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2.90</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4.39%</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2.08%</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10.7%</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13.7%</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2.6%</w:t>
            </w:r>
          </w:p>
        </w:tc>
      </w:tr>
      <w:tr>
        <w:trPr>
          <w:cantSplit/>
        </w:trPr>
        <w:tc>
          <w:tcPr>
            <w:tcW w:type="dxa" w:w="14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sigma=1.0</w:t>
            </w:r>
          </w:p>
        </w:tc>
        <w:tc>
          <w:tcPr>
            <w:tcW w:type="dxa" w:w="116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5.27</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w:t>
            </w:r>
          </w:p>
        </w:tc>
        <w:tc>
          <w:tcPr>
            <w:tcW w:type="dxa" w:w="137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2.37</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4.15</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3.37%</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1.05%</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5.4%</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2.3%</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5.7%</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w:t>
            </w:r>
          </w:p>
        </w:tc>
      </w:tr>
      <w:tr>
        <w:trPr>
          <w:cantSplit/>
        </w:trPr>
        <w:tc>
          <w:tcPr>
            <w:tcW w:type="dxa" w:w="14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sigma=1.5</w:t>
            </w:r>
          </w:p>
        </w:tc>
        <w:tc>
          <w:tcPr>
            <w:tcW w:type="dxa" w:w="116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4.00</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2.9%</w:t>
            </w:r>
          </w:p>
        </w:tc>
        <w:tc>
          <w:tcPr>
            <w:tcW w:type="dxa" w:w="137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−0.07</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1.59</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5.15%</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3.15%</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19.1%</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7.1%</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29.1%</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w:t>
            </w:r>
          </w:p>
        </w:tc>
      </w:tr>
      <w:tr>
        <w:trPr>
          <w:cantSplit/>
        </w:trPr>
        <w:tc>
          <w:tcPr>
            <w:tcW w:type="dxa" w:w="14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H=8</w:t>
            </w:r>
          </w:p>
        </w:tc>
        <w:tc>
          <w:tcPr>
            <w:tcW w:type="dxa" w:w="116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4.50</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2.9%</w:t>
            </w:r>
          </w:p>
        </w:tc>
        <w:tc>
          <w:tcPr>
            <w:tcW w:type="dxa" w:w="137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1.01</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2.91</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4.37%</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2.10%</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11.1%</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5.1%</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16.0%</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w:t>
            </w:r>
          </w:p>
        </w:tc>
      </w:tr>
      <w:tr>
        <w:trPr>
          <w:cantSplit/>
        </w:trPr>
        <w:tc>
          <w:tcPr>
            <w:tcW w:type="dxa" w:w="14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H=40</w:t>
            </w:r>
          </w:p>
        </w:tc>
        <w:tc>
          <w:tcPr>
            <w:tcW w:type="dxa" w:w="116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4.63</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37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0.95</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2.89</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4.47%</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2.10%</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10.6%</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13.8%</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2.5%</w:t>
            </w:r>
          </w:p>
        </w:tc>
      </w:tr>
      <w:tr>
        <w:trPr>
          <w:cantSplit/>
        </w:trPr>
        <w:tc>
          <w:tcPr>
            <w:tcW w:type="dxa" w:w="14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Q=0.90</w:t>
            </w:r>
          </w:p>
        </w:tc>
        <w:tc>
          <w:tcPr>
            <w:tcW w:type="dxa" w:w="116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1.77</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3.9%</w:t>
            </w:r>
          </w:p>
        </w:tc>
        <w:tc>
          <w:tcPr>
            <w:tcW w:type="dxa" w:w="137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−1.31</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0.16</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4.31%</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2.05%</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23.1%</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9.1%</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50.0%</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36.7%</w:t>
            </w:r>
          </w:p>
        </w:tc>
      </w:tr>
      <w:tr>
        <w:trPr>
          <w:cantSplit/>
        </w:trPr>
        <w:tc>
          <w:tcPr>
            <w:tcW w:type="dxa" w:w="14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Q=0.99</w:t>
            </w:r>
          </w:p>
        </w:tc>
        <w:tc>
          <w:tcPr>
            <w:tcW w:type="dxa" w:w="116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7.11</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w:t>
            </w:r>
          </w:p>
        </w:tc>
        <w:tc>
          <w:tcPr>
            <w:tcW w:type="dxa" w:w="137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3.00</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5.21</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4.40%</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2.07%</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7.2%</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2.7%</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w:t>
            </w:r>
          </w:p>
        </w:tc>
      </w:tr>
      <w:tr>
        <w:trPr>
          <w:cantSplit/>
        </w:trPr>
        <w:tc>
          <w:tcPr>
            <w:tcW w:type="dxa" w:w="14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Q=1.0 (no luck)</w:t>
            </w:r>
          </w:p>
        </w:tc>
        <w:tc>
          <w:tcPr>
            <w:tcW w:type="dxa" w:w="116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7.69</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1.2%</w:t>
            </w:r>
          </w:p>
        </w:tc>
        <w:tc>
          <w:tcPr>
            <w:tcW w:type="dxa" w:w="137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3.48</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5.75</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4.38%</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2.07%</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6.6%</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2.5%</w:t>
            </w:r>
          </w:p>
        </w:tc>
        <w:tc>
          <w:tcPr>
            <w:tcW w:type="dxa" w:w="116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1.2%</w:t>
            </w:r>
          </w:p>
        </w:tc>
        <w:tc>
          <w:tcPr>
            <w:tcW w:type="dxa" w:w="1291"/>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1.2%</w:t>
            </w:r>
          </w:p>
        </w:tc>
      </w:tr>
    </w:tbl>
    <w:p>
      <w:pPr>
        <w:widowControl/>
        <w:numPr>
          <w:ilvl w:val="0"/>
          <w:numId w:val="1001"/>
        </w:numPr>
        <w:pStyle w:val="Compact"/>
        <w:ind w:firstLine="0"/>
      </w:pPr>
      <w:r>
        <w:rPr>
          <w:rFonts w:ascii="Times New Roman" w:hAnsi="Times New Roman" w:eastAsia="Times New Roman" w:cs="Times New Roman"/>
          <w:color w:val="000000"/>
        </w:rPr>
        <w:t xml:space="preserve">A one-step lookahead in place of the dynamic program: the person stops as soon as the better of acting now and giving up now is worth at least as much as taking exactly one more observation and then stopping, and acts if acting has positive perceived value. The rule-of-thumb decider gains more from the imposed wait than the optimal decider in every variant (main text: calibrated 4.18 to 4.29 and overconfident 0.76 to 2.82 in the main setting).</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2371"/>
        <w:gridCol w:w="1825"/>
        <w:gridCol w:w="2006"/>
        <w:gridCol w:w="1642"/>
        <w:gridCol w:w="2006"/>
        <w:gridCol w:w="2189"/>
        <w:gridCol w:w="1642"/>
      </w:tblGrid>
      <w:tr>
        <w:trPr>
          <w:tblHeader w:val="true"/>
          <w:cantSplit/>
        </w:trPr>
        <w:tc>
          <w:tcPr>
            <w:tcW w:type="dxa" w:w="2371"/>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Variant</w:t>
            </w:r>
          </w:p>
        </w:tc>
        <w:tc>
          <w:tcPr>
            <w:tcW w:type="dxa" w:w="1825"/>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Calibrated, optimal</w:t>
            </w:r>
          </w:p>
        </w:tc>
        <w:tc>
          <w:tcPr>
            <w:tcW w:type="dxa" w:w="2006"/>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Calibrated, rule of thumb</w:t>
            </w:r>
          </w:p>
        </w:tc>
        <w:tc>
          <w:tcPr>
            <w:tcW w:type="dxa" w:w="1642"/>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 after wait</w:t>
            </w:r>
          </w:p>
        </w:tc>
        <w:tc>
          <w:tcPr>
            <w:tcW w:type="dxa" w:w="2006"/>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Overconfident, optimal</w:t>
            </w:r>
          </w:p>
        </w:tc>
        <w:tc>
          <w:tcPr>
            <w:tcW w:type="dxa" w:w="218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Overconfident, rule of thumb</w:t>
            </w:r>
          </w:p>
        </w:tc>
        <w:tc>
          <w:tcPr>
            <w:tcW w:type="dxa" w:w="1642"/>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 after wait</w:t>
            </w:r>
          </w:p>
        </w:tc>
      </w:tr>
      <w:tr>
        <w:trPr>
          <w:cantSplit/>
        </w:trPr>
        <w:tc>
          <w:tcPr>
            <w:tcW w:type="dxa" w:w="237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main text</w:t>
            </w:r>
          </w:p>
        </w:tc>
        <w:tc>
          <w:tcPr>
            <w:tcW w:type="dxa" w:w="182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4.67</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4.18</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4.29</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1.01</w:t>
            </w:r>
          </w:p>
        </w:tc>
        <w:tc>
          <w:tcPr>
            <w:tcW w:type="dxa" w:w="218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0.76</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2.82</w:t>
            </w:r>
          </w:p>
        </w:tc>
      </w:tr>
      <w:tr>
        <w:trPr>
          <w:cantSplit/>
        </w:trPr>
        <w:tc>
          <w:tcPr>
            <w:tcW w:type="dxa" w:w="237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sigma=1.0</w:t>
            </w:r>
          </w:p>
        </w:tc>
        <w:tc>
          <w:tcPr>
            <w:tcW w:type="dxa" w:w="182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5.27</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5.07</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4.91</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2.37</w:t>
            </w:r>
          </w:p>
        </w:tc>
        <w:tc>
          <w:tcPr>
            <w:tcW w:type="dxa" w:w="218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2.27</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4.13</w:t>
            </w:r>
          </w:p>
        </w:tc>
      </w:tr>
      <w:tr>
        <w:trPr>
          <w:cantSplit/>
        </w:trPr>
        <w:tc>
          <w:tcPr>
            <w:tcW w:type="dxa" w:w="237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sigma=1.5</w:t>
            </w:r>
          </w:p>
        </w:tc>
        <w:tc>
          <w:tcPr>
            <w:tcW w:type="dxa" w:w="182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4.00</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3.11</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3.43</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−0.07</w:t>
            </w:r>
          </w:p>
        </w:tc>
        <w:tc>
          <w:tcPr>
            <w:tcW w:type="dxa" w:w="218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−0.60</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1.36</w:t>
            </w:r>
          </w:p>
        </w:tc>
      </w:tr>
      <w:tr>
        <w:trPr>
          <w:cantSplit/>
        </w:trPr>
        <w:tc>
          <w:tcPr>
            <w:tcW w:type="dxa" w:w="237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H=8</w:t>
            </w:r>
          </w:p>
        </w:tc>
        <w:tc>
          <w:tcPr>
            <w:tcW w:type="dxa" w:w="182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4.50</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4.08</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4.20</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1.01</w:t>
            </w:r>
          </w:p>
        </w:tc>
        <w:tc>
          <w:tcPr>
            <w:tcW w:type="dxa" w:w="218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0.74</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2.82</w:t>
            </w:r>
          </w:p>
        </w:tc>
      </w:tr>
      <w:tr>
        <w:trPr>
          <w:cantSplit/>
        </w:trPr>
        <w:tc>
          <w:tcPr>
            <w:tcW w:type="dxa" w:w="237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H=40</w:t>
            </w:r>
          </w:p>
        </w:tc>
        <w:tc>
          <w:tcPr>
            <w:tcW w:type="dxa" w:w="182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4.63</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4.16</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4.28</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0.95</w:t>
            </w:r>
          </w:p>
        </w:tc>
        <w:tc>
          <w:tcPr>
            <w:tcW w:type="dxa" w:w="218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0.69</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2.81</w:t>
            </w:r>
          </w:p>
        </w:tc>
      </w:tr>
      <w:tr>
        <w:trPr>
          <w:cantSplit/>
        </w:trPr>
        <w:tc>
          <w:tcPr>
            <w:tcW w:type="dxa" w:w="237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Q=0.90</w:t>
            </w:r>
          </w:p>
        </w:tc>
        <w:tc>
          <w:tcPr>
            <w:tcW w:type="dxa" w:w="182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1.77</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1.46</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1.41</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−1.31</w:t>
            </w:r>
          </w:p>
        </w:tc>
        <w:tc>
          <w:tcPr>
            <w:tcW w:type="dxa" w:w="218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−1.50</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0.10</w:t>
            </w:r>
          </w:p>
        </w:tc>
      </w:tr>
      <w:tr>
        <w:trPr>
          <w:cantSplit/>
        </w:trPr>
        <w:tc>
          <w:tcPr>
            <w:tcW w:type="dxa" w:w="237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Q=0.99</w:t>
            </w:r>
          </w:p>
        </w:tc>
        <w:tc>
          <w:tcPr>
            <w:tcW w:type="dxa" w:w="182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7.11</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6.51</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6.69</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3.00</w:t>
            </w:r>
          </w:p>
        </w:tc>
        <w:tc>
          <w:tcPr>
            <w:tcW w:type="dxa" w:w="218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2.66</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5.08</w:t>
            </w:r>
          </w:p>
        </w:tc>
      </w:tr>
      <w:tr>
        <w:trPr>
          <w:cantSplit/>
        </w:trPr>
        <w:tc>
          <w:tcPr>
            <w:tcW w:type="dxa" w:w="237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Q=1.0 (no luck)</w:t>
            </w:r>
          </w:p>
        </w:tc>
        <w:tc>
          <w:tcPr>
            <w:tcW w:type="dxa" w:w="182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7.69</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7.05</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7.25</w:t>
            </w:r>
          </w:p>
        </w:tc>
        <w:tc>
          <w:tcPr>
            <w:tcW w:type="dxa" w:w="2006"/>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3.48</w:t>
            </w:r>
          </w:p>
        </w:tc>
        <w:tc>
          <w:tcPr>
            <w:tcW w:type="dxa" w:w="218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3.11</w:t>
            </w:r>
          </w:p>
        </w:tc>
        <w:tc>
          <w:tcPr>
            <w:tcW w:type="dxa" w:w="164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5.62</w:t>
            </w:r>
          </w:p>
        </w:tc>
      </w:tr>
    </w:tbl>
    <w:p>
      <w:pPr>
        <w:pStyle w:val="BodyText"/>
        <w:keepNext/>
        <w:pageBreakBefore/>
        <w:widowControl/>
        <w:spacing w:before="200" w:after="120"/>
        <w:ind w:firstLine="0"/>
      </w:pPr>
      <w:r>
        <w:rPr>
          <w:rFonts w:ascii="Times New Roman" w:hAnsi="Times New Roman" w:eastAsia="Times New Roman" w:cs="Times New Roman"/>
          <w:b/>
          <w:color w:val="000000"/>
        </w:rPr>
        <w:t>Supplementary Table S3.</w:t>
      </w:r>
      <w:r>
        <w:rPr>
          <w:rFonts w:ascii="Times New Roman" w:hAnsi="Times New Roman" w:eastAsia="Times New Roman" w:cs="Times New Roman"/>
          <w:b w:val="0"/>
          <w:color w:val="000000"/>
        </w:rPr>
        <w:t xml:space="preserve"> Parameter values, their motivations and the ranges examined. The numerical values are illustrative assumptions informed by the cited studies; those studies do not estimate the parameters of this sequential decision task (see “Parameter choices and sensitivity ranges”).</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1750"/>
        <w:gridCol w:w="1113"/>
        <w:gridCol w:w="7319"/>
        <w:gridCol w:w="1909"/>
        <w:gridCol w:w="1589"/>
      </w:tblGrid>
      <w:tr>
        <w:trPr>
          <w:tblHeader w:val="true"/>
          <w:cantSplit/>
        </w:trPr>
        <w:tc>
          <w:tcPr>
            <w:tcW w:type="dxa" w:w="1750"/>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Parameter</w:t>
            </w:r>
          </w:p>
        </w:tc>
        <w:tc>
          <w:tcPr>
            <w:tcW w:type="dxa" w:w="1113"/>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Value</w:t>
            </w:r>
          </w:p>
        </w:tc>
        <w:tc>
          <w:tcPr>
            <w:tcW w:type="dxa" w:w="7319"/>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Motivation and illustrative interpretation</w:t>
            </w:r>
          </w:p>
        </w:tc>
        <w:tc>
          <w:tcPr>
            <w:tcW w:type="dxa" w:w="190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Range examined</w:t>
            </w:r>
          </w:p>
        </w:tc>
        <w:tc>
          <w:tcPr>
            <w:tcW w:type="dxa" w:w="1589"/>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Where</w:t>
            </w:r>
          </w:p>
        </w:tc>
      </w:tr>
      <w:tr>
        <w:trPr>
          <w:cantSplit/>
        </w:trPr>
        <w:tc>
          <w:tcPr>
            <w:tcW w:type="dxa" w:w="175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σ</w:t>
            </w:r>
          </w:p>
        </w:tc>
        <w:tc>
          <w:tcPr>
            <w:tcW w:type="dxa" w:w="111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1.25</w:t>
            </w:r>
          </w:p>
        </w:tc>
        <w:tc>
          <w:tcPr>
            <w:tcW w:type="dxa" w:w="731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 observation points the wrong way with probability Φ(−1/σ) ≈ 21%, about one time in five.</w:t>
            </w:r>
          </w:p>
        </w:tc>
        <w:tc>
          <w:tcPr>
            <w:tcW w:type="dxa" w:w="19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 to 1.5</w:t>
            </w:r>
          </w:p>
        </w:tc>
        <w:tc>
          <w:tcPr>
            <w:tcW w:type="dxa" w:w="158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Supplementary Table S2</w:t>
            </w:r>
          </w:p>
        </w:tc>
      </w:tr>
      <w:tr>
        <w:trPr>
          <w:cantSplit/>
        </w:trPr>
        <w:tc>
          <w:tcPr>
            <w:tcW w:type="dxa" w:w="175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R</w:t>
            </w:r>
            <w:r>
              <w:rPr>
                <w:rFonts w:ascii="Times New Roman" w:hAnsi="Times New Roman" w:eastAsia="Times New Roman" w:cs="Times New Roman"/>
                <w:b w:val="0"/>
                <w:color w:val="000000"/>
                <w:sz w:val="18"/>
                <w:vertAlign w:val="subscript"/>
              </w:rPr>
              <w:t xml:space="preserve">OK</w:t>
            </w:r>
            <w:r>
              <w:rPr>
                <w:rFonts w:ascii="Times New Roman" w:hAnsi="Times New Roman" w:eastAsia="Times New Roman" w:cs="Times New Roman"/>
                <w:b w:val="0"/>
                <w:color w:val="000000"/>
                <w:sz w:val="18"/>
              </w:rPr>
              <w:t xml:space="preserve">, R</w:t>
            </w:r>
            <w:r>
              <w:rPr>
                <w:rFonts w:ascii="Times New Roman" w:hAnsi="Times New Roman" w:eastAsia="Times New Roman" w:cs="Times New Roman"/>
                <w:b w:val="0"/>
                <w:color w:val="000000"/>
                <w:sz w:val="18"/>
                <w:vertAlign w:val="subscript"/>
              </w:rPr>
              <w:t xml:space="preserve">BAD</w:t>
            </w:r>
          </w:p>
        </w:tc>
        <w:tc>
          <w:tcPr>
            <w:tcW w:type="dxa" w:w="111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+20, −100</w:t>
            </w:r>
          </w:p>
        </w:tc>
        <w:tc>
          <w:tcPr>
            <w:tcW w:type="dxa" w:w="731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 failure costs five times what a success earns; higher stakes are examined with Q and C changed alongside.</w:t>
            </w:r>
          </w:p>
        </w:tc>
        <w:tc>
          <w:tcPr>
            <w:tcW w:type="dxa" w:w="19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5:1 to 20:1</w:t>
            </w:r>
          </w:p>
        </w:tc>
        <w:tc>
          <w:tcPr>
            <w:tcW w:type="dxa" w:w="158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Supplementary Fig. S1</w:t>
            </w:r>
          </w:p>
        </w:tc>
      </w:tr>
      <w:tr>
        <w:trPr>
          <w:cantSplit/>
        </w:trPr>
        <w:tc>
          <w:tcPr>
            <w:tcW w:type="dxa" w:w="175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w:t>
            </w:r>
          </w:p>
        </w:tc>
        <w:tc>
          <w:tcPr>
            <w:tcW w:type="dxa" w:w="111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0.5</w:t>
            </w:r>
          </w:p>
        </w:tc>
        <w:tc>
          <w:tcPr>
            <w:tcW w:type="dxa" w:w="731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One fortieth of the gain and one two-hundredth of the loss.</w:t>
            </w:r>
          </w:p>
        </w:tc>
        <w:tc>
          <w:tcPr>
            <w:tcW w:type="dxa" w:w="19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0.25 to 1</w:t>
            </w:r>
          </w:p>
        </w:tc>
        <w:tc>
          <w:tcPr>
            <w:tcW w:type="dxa" w:w="158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Supplementary Fig. S1; Table 3</w:t>
            </w:r>
          </w:p>
        </w:tc>
      </w:tr>
      <w:tr>
        <w:trPr>
          <w:cantSplit/>
        </w:trPr>
        <w:tc>
          <w:tcPr>
            <w:tcW w:type="dxa" w:w="175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Q</w:t>
            </w:r>
          </w:p>
        </w:tc>
        <w:tc>
          <w:tcPr>
            <w:tcW w:type="dxa" w:w="111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0.95</w:t>
            </w:r>
          </w:p>
        </w:tc>
        <w:tc>
          <w:tcPr>
            <w:tcW w:type="dxa" w:w="731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A well-supported action still fails one time in twenty. At or below Q = 0.9375, the fearful person assigns acting a non-positive value before relief even when certain of the good state (320Q − 300 ≤ 0).</w:t>
            </w:r>
          </w:p>
        </w:tc>
        <w:tc>
          <w:tcPr>
            <w:tcW w:type="dxa" w:w="19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0.90 to 1</w:t>
            </w:r>
          </w:p>
        </w:tc>
        <w:tc>
          <w:tcPr>
            <w:tcW w:type="dxa" w:w="158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Supplementary Table S2</w:t>
            </w:r>
          </w:p>
        </w:tc>
      </w:tr>
      <w:tr>
        <w:trPr>
          <w:cantSplit/>
        </w:trPr>
        <w:tc>
          <w:tcPr>
            <w:tcW w:type="dxa" w:w="175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H</w:t>
            </w:r>
          </w:p>
        </w:tc>
        <w:tc>
          <w:tcPr>
            <w:tcW w:type="dxa" w:w="111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20</w:t>
            </w:r>
          </w:p>
        </w:tc>
        <w:tc>
          <w:tcPr>
            <w:tcW w:type="dxa" w:w="731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deadline, rarely reached.</w:t>
            </w:r>
          </w:p>
        </w:tc>
        <w:tc>
          <w:tcPr>
            <w:tcW w:type="dxa" w:w="19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 to 40</w:t>
            </w:r>
          </w:p>
        </w:tc>
        <w:tc>
          <w:tcPr>
            <w:tcW w:type="dxa" w:w="158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Supplementary Table S2</w:t>
            </w:r>
          </w:p>
        </w:tc>
      </w:tr>
      <w:tr>
        <w:trPr>
          <w:cantSplit/>
        </w:trPr>
        <w:tc>
          <w:tcPr>
            <w:tcW w:type="dxa" w:w="175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γ</w:t>
            </w:r>
          </w:p>
        </w:tc>
        <w:tc>
          <w:tcPr>
            <w:tcW w:type="dxa" w:w="111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4 (2 and 6 shown)</w:t>
            </w:r>
          </w:p>
        </w:tc>
        <w:tc>
          <w:tcPr>
            <w:tcW w:type="dxa" w:w="731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Perceiving noise as σ/√γ gives actual coverage of about 76%, 59% and 50% for stated 90% intervals at γ = 2, 4 and 6. Russo and Schoemaker (1992) report coverage of 36% to 58% across industry groups. This comparison motivates a range; sequential evidence weighting requires its own measurement.</w:t>
            </w:r>
          </w:p>
        </w:tc>
        <w:tc>
          <w:tcPr>
            <w:tcW w:type="dxa" w:w="19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 to 6</w:t>
            </w:r>
          </w:p>
        </w:tc>
        <w:tc>
          <w:tcPr>
            <w:tcW w:type="dxa" w:w="158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Fig. 2</w:t>
            </w:r>
          </w:p>
        </w:tc>
      </w:tr>
      <w:tr>
        <w:trPr>
          <w:cantSplit/>
        </w:trPr>
        <w:tc>
          <w:tcPr>
            <w:tcW w:type="dxa" w:w="175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w:t>
            </w:r>
            <w:r>
              <w:rPr>
                <w:rFonts w:ascii="Times New Roman" w:hAnsi="Times New Roman" w:eastAsia="Times New Roman" w:cs="Times New Roman"/>
                <w:b w:val="0"/>
                <w:color w:val="000000"/>
                <w:sz w:val="18"/>
                <w:vertAlign w:val="subscript"/>
              </w:rPr>
              <w:t xml:space="preserve">anx</w:t>
            </w:r>
          </w:p>
        </w:tc>
        <w:tc>
          <w:tcPr>
            <w:tcW w:type="dxa" w:w="111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1.5</w:t>
            </w:r>
          </w:p>
        </w:tc>
        <w:tc>
          <w:tcPr>
            <w:tcW w:type="dxa" w:w="731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An extra cost of 1.5 illustrates pressure to end waiting. Studies document present bias and dread, but converting their measurements into this per-observation cost requires further evidence (Cheung et al. 2026; Berns et al. 2006; Loewenstein 1987; Story et al. 2013).</w:t>
            </w:r>
          </w:p>
        </w:tc>
        <w:tc>
          <w:tcPr>
            <w:tcW w:type="dxa" w:w="19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0.5 to 4</w:t>
            </w:r>
          </w:p>
        </w:tc>
        <w:tc>
          <w:tcPr>
            <w:tcW w:type="dxa" w:w="158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Supplementary Fig. S4</w:t>
            </w:r>
          </w:p>
        </w:tc>
      </w:tr>
      <w:tr>
        <w:trPr>
          <w:cantSplit/>
        </w:trPr>
        <w:tc>
          <w:tcPr>
            <w:tcW w:type="dxa" w:w="175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R</w:t>
            </w:r>
            <w:r>
              <w:rPr>
                <w:rFonts w:ascii="Times New Roman" w:hAnsi="Times New Roman" w:eastAsia="Times New Roman" w:cs="Times New Roman"/>
                <w:b w:val="0"/>
                <w:color w:val="000000"/>
                <w:sz w:val="18"/>
                <w:vertAlign w:val="subscript"/>
              </w:rPr>
              <w:t xml:space="preserve">blame</w:t>
            </w:r>
          </w:p>
        </w:tc>
        <w:tc>
          <w:tcPr>
            <w:tcW w:type="dxa" w:w="111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200</w:t>
            </w:r>
          </w:p>
        </w:tc>
        <w:tc>
          <w:tcPr>
            <w:tcW w:type="dxa" w:w="731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The total perceived failure cost is three times the material loss. Reluctance to cause harm through action and punishment after delegation motivate this pressure, without estimating its size here (Ritov and Baron 1990; Bartling and Fischbacher 2012).</w:t>
            </w:r>
          </w:p>
        </w:tc>
        <w:tc>
          <w:tcPr>
            <w:tcW w:type="dxa" w:w="19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50 to 400</w:t>
            </w:r>
          </w:p>
        </w:tc>
        <w:tc>
          <w:tcPr>
            <w:tcW w:type="dxa" w:w="158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Supplementary Fig. S4</w:t>
            </w:r>
          </w:p>
        </w:tc>
      </w:tr>
      <w:tr>
        <w:trPr>
          <w:cantSplit/>
        </w:trPr>
        <w:tc>
          <w:tcPr>
            <w:tcW w:type="dxa" w:w="175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θ</w:t>
            </w:r>
          </w:p>
        </w:tc>
        <w:tc>
          <w:tcPr>
            <w:tcW w:type="dxa" w:w="111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0.7</w:t>
            </w:r>
          </w:p>
        </w:tc>
        <w:tc>
          <w:tcPr>
            <w:tcW w:type="dxa" w:w="731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Delegation to another person reduced punishment from 4.27 to 1.31 points, about 69% (Bartling and Fischbacher 2012). Applying a 70% reduction to felt pressure transfers that numerical size across different measures; relief after a verdict requires separate estimation.</w:t>
            </w:r>
          </w:p>
        </w:tc>
        <w:tc>
          <w:tcPr>
            <w:tcW w:type="dxa" w:w="19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 to 1</w:t>
            </w:r>
          </w:p>
        </w:tc>
        <w:tc>
          <w:tcPr>
            <w:tcW w:type="dxa" w:w="158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Supplementary Fig. S3</w:t>
            </w:r>
          </w:p>
        </w:tc>
      </w:tr>
      <w:tr>
        <w:trPr>
          <w:cantSplit/>
        </w:trPr>
        <w:tc>
          <w:tcPr>
            <w:tcW w:type="dxa" w:w="175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p</w:t>
            </w:r>
          </w:p>
        </w:tc>
        <w:tc>
          <w:tcPr>
            <w:tcW w:type="dxa" w:w="111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1/4</w:t>
            </w:r>
          </w:p>
        </w:tc>
        <w:tc>
          <w:tcPr>
            <w:tcW w:type="dxa" w:w="731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probability that a line of the cast is changing.</w:t>
            </w:r>
          </w:p>
        </w:tc>
        <w:tc>
          <w:tcPr>
            <w:tcW w:type="dxa" w:w="19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 to 1</w:t>
            </w:r>
          </w:p>
        </w:tc>
        <w:tc>
          <w:tcPr>
            <w:tcW w:type="dxa" w:w="158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Supplementary Fig. S2</w:t>
            </w:r>
          </w:p>
        </w:tc>
      </w:tr>
      <w:tr>
        <w:trPr>
          <w:cantSplit/>
        </w:trPr>
        <w:tc>
          <w:tcPr>
            <w:tcW w:type="dxa" w:w="175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k</w:t>
            </w:r>
          </w:p>
        </w:tc>
        <w:tc>
          <w:tcPr>
            <w:tcW w:type="dxa" w:w="111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2 steps</w:t>
            </w:r>
          </w:p>
        </w:tc>
        <w:tc>
          <w:tcPr>
            <w:tcW w:type="dxa" w:w="731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 short interval; zero to five additional steps are examined.</w:t>
            </w:r>
          </w:p>
        </w:tc>
        <w:tc>
          <w:tcPr>
            <w:tcW w:type="dxa" w:w="19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 to 5</w:t>
            </w:r>
          </w:p>
        </w:tc>
        <w:tc>
          <w:tcPr>
            <w:tcW w:type="dxa" w:w="158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Fig. 2</w:t>
            </w:r>
          </w:p>
        </w:tc>
      </w:tr>
      <w:tr>
        <w:trPr>
          <w:cantSplit/>
        </w:trPr>
        <w:tc>
          <w:tcPr>
            <w:tcW w:type="dxa" w:w="175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γ</w:t>
            </w:r>
            <w:r>
              <w:rPr>
                <w:rFonts w:ascii="Times New Roman" w:hAnsi="Times New Roman" w:eastAsia="Times New Roman" w:cs="Times New Roman"/>
                <w:b w:val="0"/>
                <w:color w:val="000000"/>
                <w:sz w:val="18"/>
                <w:vertAlign w:val="subscript"/>
              </w:rPr>
              <w:t xml:space="preserve">a</w:t>
            </w:r>
          </w:p>
        </w:tc>
        <w:tc>
          <w:tcPr>
            <w:tcW w:type="dxa" w:w="111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4</w:t>
            </w:r>
          </w:p>
        </w:tc>
        <w:tc>
          <w:tcPr>
            <w:tcW w:type="dxa" w:w="731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The same weighting as the overconfident human type. Language models’ stated confidence commonly clustered between 80% and 100%, with overconfidence varying by model, task and prompt (Xiong et al. 2024). This finding supplies no estimate of sequential evidence weighting.</w:t>
            </w:r>
          </w:p>
        </w:tc>
        <w:tc>
          <w:tcPr>
            <w:tcW w:type="dxa" w:w="19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 to 6</w:t>
            </w:r>
          </w:p>
        </w:tc>
        <w:tc>
          <w:tcPr>
            <w:tcW w:type="dxa" w:w="158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Supplementary Tables S9 to S11</w:t>
            </w:r>
          </w:p>
        </w:tc>
      </w:tr>
      <w:tr>
        <w:trPr>
          <w:cantSplit/>
        </w:trPr>
        <w:tc>
          <w:tcPr>
            <w:tcW w:type="dxa" w:w="175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δ</w:t>
            </w:r>
          </w:p>
        </w:tc>
        <w:tc>
          <w:tcPr>
            <w:tcW w:type="dxa" w:w="111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 (main); 1 (shift)</w:t>
            </w:r>
          </w:p>
        </w:tc>
        <w:tc>
          <w:tcPr>
            <w:tcW w:type="dxa" w:w="731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One unit of log-odds, less than the mean correctly weighted increment of an observation in the good state (2/σ</w:t>
            </w:r>
            <w:r>
              <w:rPr>
                <w:rFonts w:ascii="Times New Roman" w:hAnsi="Times New Roman" w:eastAsia="Times New Roman" w:cs="Times New Roman"/>
                <w:b w:val="0"/>
                <w:color w:val="000000"/>
                <w:sz w:val="18"/>
                <w:vertAlign w:val="superscript"/>
              </w:rPr>
              <w:t xml:space="preserve">2</w:t>
            </w:r>
            <w:r>
              <w:rPr>
                <w:rFonts w:ascii="Times New Roman" w:hAnsi="Times New Roman" w:eastAsia="Times New Roman" w:cs="Times New Roman"/>
                <w:b w:val="0"/>
                <w:color w:val="000000"/>
                <w:sz w:val="18"/>
              </w:rPr>
              <w:t xml:space="preserve"> = 1.28).</w:t>
            </w:r>
          </w:p>
        </w:tc>
        <w:tc>
          <w:tcPr>
            <w:tcW w:type="dxa" w:w="19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 to 2</w:t>
            </w:r>
          </w:p>
        </w:tc>
        <w:tc>
          <w:tcPr>
            <w:tcW w:type="dxa" w:w="158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Supplementary Table S4</w:t>
            </w:r>
          </w:p>
        </w:tc>
      </w:tr>
    </w:tbl>
    <w:p>
      <w:pPr>
        <w:pStyle w:val="BodyText"/>
        <w:keepNext/>
        <w:pageBreakBefore/>
        <w:widowControl/>
        <w:spacing w:before="200" w:after="120"/>
        <w:ind w:firstLine="0"/>
      </w:pPr>
      <w:r>
        <w:rPr>
          <w:bCs/>
          <w:rFonts w:ascii="Times New Roman" w:hAnsi="Times New Roman" w:eastAsia="Times New Roman" w:cs="Times New Roman"/>
          <w:b/>
          <w:color w:val="000000"/>
        </w:rPr>
        <w:t>Supplementary Table S4.</w:t>
      </w:r>
      <w:r>
        <w:rPr>
          <w:bCs/>
          <w:rFonts w:ascii="Times New Roman" w:hAnsi="Times New Roman" w:eastAsia="Times New Roman" w:cs="Times New Roman"/>
          <w:b w:val="0"/>
          <w:color w:val="000000"/>
        </w:rPr>
        <w:t xml:space="preserve"> The verdict read as evidence.</w:t>
      </w:r>
      <w:r>
        <w:rPr>
          <w:rFonts w:ascii="Times New Roman" w:hAnsi="Times New Roman" w:eastAsia="Times New Roman" w:cs="Times New Roman"/>
          <w:b w:val="0"/>
          <w:color w:val="000000"/>
        </w:rPr>
        <w:t xml:space="preserve"> A random verdict (p = 1/4, θ = 0.7, no imposed wait) that also shifts the person’s perceived log-odds by +δ after “go” or −δ after “wait”. “All” averages both verdicts; the “go” and “wait” columns use the decisions receiving that verdict. “Own” is the same person on the same decisions without a verdict. Percentages are shares of the decisions in the column’s group. 60,000 decisions per person, seed 23. Data in </w:t>
      </w:r>
      <w:r>
        <w:rPr>
          <w:rStyle w:val="VerbatimChar"/>
          <w:rFonts w:ascii="Times New Roman" w:hAnsi="Times New Roman" w:eastAsia="Times New Roman" w:cs="Times New Roman"/>
          <w:b w:val="0"/>
          <w:color w:val="000000"/>
        </w:rPr>
        <w:t xml:space="preserve">sG_evidence.csv</w:t>
      </w:r>
      <w:r>
        <w:rPr>
          <w:rFonts w:ascii="Times New Roman" w:hAnsi="Times New Roman" w:eastAsia="Times New Roman" w:cs="Times New Roman"/>
          <w:b w:val="0"/>
          <w:color w:val="000000"/>
        </w:rPr>
        <w:t xml:space="preserve">.</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1520"/>
        <w:gridCol w:w="691"/>
        <w:gridCol w:w="1105"/>
        <w:gridCol w:w="1105"/>
        <w:gridCol w:w="1244"/>
        <w:gridCol w:w="1105"/>
        <w:gridCol w:w="1105"/>
        <w:gridCol w:w="1244"/>
        <w:gridCol w:w="1105"/>
        <w:gridCol w:w="1105"/>
        <w:gridCol w:w="1244"/>
        <w:gridCol w:w="1105"/>
      </w:tblGrid>
      <w:tr>
        <w:trPr>
          <w:tblHeader w:val="true"/>
          <w:cantSplit/>
        </w:trPr>
        <w:tc>
          <w:tcPr>
            <w:tcW w:type="dxa" w:w="1520"/>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Person</w:t>
            </w:r>
          </w:p>
        </w:tc>
        <w:tc>
          <w:tcPr>
            <w:tcW w:type="dxa" w:w="691"/>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δ</w:t>
            </w:r>
          </w:p>
        </w:tc>
        <w:tc>
          <w:tcPr>
            <w:tcW w:type="dxa" w:w="1105"/>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Own payoff</w:t>
            </w:r>
          </w:p>
        </w:tc>
        <w:tc>
          <w:tcPr>
            <w:tcW w:type="dxa" w:w="1105"/>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All: payoff</w:t>
            </w:r>
          </w:p>
        </w:tc>
        <w:tc>
          <w:tcPr>
            <w:tcW w:type="dxa" w:w="1244"/>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All: bad-state</w:t>
            </w:r>
          </w:p>
        </w:tc>
        <w:tc>
          <w:tcPr>
            <w:tcW w:type="dxa" w:w="1105"/>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All: missed</w:t>
            </w:r>
          </w:p>
        </w:tc>
        <w:tc>
          <w:tcPr>
            <w:tcW w:type="dxa" w:w="1105"/>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“Go”: payoff</w:t>
            </w:r>
          </w:p>
        </w:tc>
        <w:tc>
          <w:tcPr>
            <w:tcW w:type="dxa" w:w="1244"/>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“Go”: bad-state</w:t>
            </w:r>
          </w:p>
        </w:tc>
        <w:tc>
          <w:tcPr>
            <w:tcW w:type="dxa" w:w="1105"/>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“Go”: missed</w:t>
            </w:r>
          </w:p>
        </w:tc>
        <w:tc>
          <w:tcPr>
            <w:tcW w:type="dxa" w:w="1105"/>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“Wait”: payoff</w:t>
            </w:r>
          </w:p>
        </w:tc>
        <w:tc>
          <w:tcPr>
            <w:tcW w:type="dxa" w:w="1244"/>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“Wait”: bad-state</w:t>
            </w:r>
          </w:p>
        </w:tc>
        <w:tc>
          <w:tcPr>
            <w:tcW w:type="dxa" w:w="1105"/>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“Wait”: missed</w:t>
            </w:r>
          </w:p>
        </w:tc>
      </w:tr>
      <w:tr>
        <w:trPr>
          <w:cantSplit/>
        </w:trPr>
        <w:tc>
          <w:tcPr>
            <w:tcW w:type="dxa" w:w="152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4.72</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4.62</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0.19%</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4.76</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0.23%</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4.68</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4.62</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0.13%</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4.52</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0.18%</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3.8%</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4.46</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4.54</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0.08%</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4.8%</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4.25</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0.26%</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4.08</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0.85%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4.31</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0.06%</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7.4%</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3.87</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0.38%</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3.60</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3.96</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0.03%</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10.8%</w:t>
            </w:r>
          </w:p>
        </w:tc>
      </w:tr>
      <w:tr>
        <w:trPr>
          <w:cantSplit/>
        </w:trPr>
        <w:tc>
          <w:tcPr>
            <w:tcW w:type="dxa" w:w="152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1.11</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1.20</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4.13%</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1.08</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4.43%</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1.32</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4.08%</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0.74</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6.4%</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1.51</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3.85%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8.2%</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1.44</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3.89%</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0.31</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5.34%</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1.82</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3.41%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9.0%</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1.45</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3.79%</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−0.39</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6.14%</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2.07</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3.00%</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9.9%</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1.45</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3.70%</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9.3%</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−1.13</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6.97%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2.31</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2.60%</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10.9%</w:t>
            </w:r>
          </w:p>
        </w:tc>
      </w:tr>
      <w:tr>
        <w:trPr>
          <w:cantSplit/>
        </w:trPr>
        <w:tc>
          <w:tcPr>
            <w:tcW w:type="dxa" w:w="152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3.76</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4.37</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5.9%</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3.69</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11.0%</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4.60</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3.76</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4.29</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0.48%</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3.68</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1.18%</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4.49</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6.6%</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3.76</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3.96</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8.4%</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3.16</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2.06%</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4.23</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0.14%</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9.7%</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3.76</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3.35</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2.07</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3.46%</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2.9%</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3.77</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13.9%</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3.76</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2.51</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14.6%</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0.35</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5.54%</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3.23</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0.04%</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18.9%</w:t>
            </w:r>
          </w:p>
        </w:tc>
      </w:tr>
      <w:tr>
        <w:trPr>
          <w:cantSplit/>
        </w:trPr>
        <w:tc>
          <w:tcPr>
            <w:tcW w:type="dxa" w:w="152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3.95</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4.58</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3.74</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0.06%</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14.0%</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3.55</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14.6%</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4.62</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0.19%</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1.6%</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3.20</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0.04%</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18.9%</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3.06</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0.08%</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4.56</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0.29%</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2.56</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24.4%</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1.5</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2.49</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22.8%</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4.40</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0.48%</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1.85</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0.00%</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30.2%</w:t>
            </w:r>
          </w:p>
        </w:tc>
      </w:tr>
      <w:tr>
        <w:trPr>
          <w:cantSplit/>
        </w:trPr>
        <w:tc>
          <w:tcPr>
            <w:tcW w:type="dxa" w:w="1520"/>
            <w:vAlign w:val="center"/>
          </w:tcPr>
          <w:p>
            <w:pPr>
              <w:pStyle w:val="Compact"/>
              <w:keepNext w:val="0"/>
              <w:widowControl/>
              <w:spacing w:before="0" w:after="0" w:line="240" w:lineRule="auto"/>
              <w:ind w:firstLine="0"/>
              <w:jc w:val="left"/>
            </w:pPr>
          </w:p>
        </w:tc>
        <w:tc>
          <w:tcPr>
            <w:tcW w:type="dxa" w:w="69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3.71</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1.88</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0.22%</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26.8%</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4.04</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0.87%</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1.16</w:t>
            </w:r>
          </w:p>
        </w:tc>
        <w:tc>
          <w:tcPr>
            <w:tcW w:type="dxa" w:w="124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0.00%</w:t>
            </w:r>
          </w:p>
        </w:tc>
        <w:tc>
          <w:tcPr>
            <w:tcW w:type="dxa" w:w="110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35.6%</w:t>
            </w:r>
          </w:p>
        </w:tc>
      </w:tr>
    </w:tbl>
    <w:p>
      <w:pPr>
        <w:pStyle w:val="BodyText"/>
        <w:keepNext/>
        <w:pageBreakBefore/>
        <w:widowControl/>
        <w:spacing w:before="200" w:after="120"/>
        <w:ind w:firstLine="0"/>
      </w:pPr>
      <w:r>
        <w:rPr>
          <w:bCs/>
          <w:rFonts w:ascii="Times New Roman" w:hAnsi="Times New Roman" w:eastAsia="Times New Roman" w:cs="Times New Roman"/>
          <w:b/>
          <w:color w:val="000000"/>
        </w:rPr>
        <w:t>Supplementary Table S5.</w:t>
      </w:r>
      <w:r>
        <w:rPr>
          <w:bCs/>
          <w:rFonts w:ascii="Times New Roman" w:hAnsi="Times New Roman" w:eastAsia="Times New Roman" w:cs="Times New Roman"/>
          <w:b w:val="0"/>
          <w:color w:val="000000"/>
        </w:rPr>
        <w:t xml:space="preserve"> A verdict that repeats the person’s own leaning (the mirror).</w:t>
      </w:r>
      <w:r>
        <w:rPr>
          <w:rFonts w:ascii="Times New Roman" w:hAnsi="Times New Roman" w:eastAsia="Times New Roman" w:cs="Times New Roman"/>
          <w:b w:val="0"/>
          <w:color w:val="000000"/>
        </w:rPr>
        <w:t xml:space="preserve"> After two observations the mirror says “go” to anyone whose own score makes the good state more likely than the bad state and “wait” to the rest; it says “go” in 49.7% of decisions. It is compared with two random verdicts drawn at the same step, one with p = 1/4 and one saying “go” as often as the mirror; all three carry relief θ = 0.7, and decisions start at step 3. With δ = 0 the mirror changes only the relevant pressure; with δ = 1 the person also counts the verdict as one unit of evidence, and the mirror then adds their own leaning to their belief a second time. 60,000 decisions per person, seed 23. Data in </w:t>
      </w:r>
      <w:r>
        <w:rPr>
          <w:rStyle w:val="VerbatimChar"/>
          <w:rFonts w:ascii="Times New Roman" w:hAnsi="Times New Roman" w:eastAsia="Times New Roman" w:cs="Times New Roman"/>
          <w:b w:val="0"/>
          <w:color w:val="000000"/>
        </w:rPr>
        <w:t xml:space="preserve">sH_mirror.csv</w:t>
      </w:r>
      <w:r>
        <w:rPr>
          <w:rFonts w:ascii="Times New Roman" w:hAnsi="Times New Roman" w:eastAsia="Times New Roman" w:cs="Times New Roman"/>
          <w:b w:val="0"/>
          <w:color w:val="000000"/>
        </w:rPr>
        <w:t xml:space="preserve">.</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1552"/>
        <w:gridCol w:w="705"/>
        <w:gridCol w:w="1410"/>
        <w:gridCol w:w="1269"/>
        <w:gridCol w:w="1129"/>
        <w:gridCol w:w="1552"/>
        <w:gridCol w:w="1269"/>
        <w:gridCol w:w="1129"/>
        <w:gridCol w:w="1269"/>
        <w:gridCol w:w="1269"/>
        <w:gridCol w:w="1129"/>
      </w:tblGrid>
      <w:tr>
        <w:trPr>
          <w:tblHeader w:val="true"/>
          <w:cantSplit/>
        </w:trPr>
        <w:tc>
          <w:tcPr>
            <w:tcW w:type="dxa" w:w="1552"/>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Person</w:t>
            </w:r>
          </w:p>
        </w:tc>
        <w:tc>
          <w:tcPr>
            <w:tcW w:type="dxa" w:w="705"/>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δ</w:t>
            </w:r>
          </w:p>
        </w:tc>
        <w:tc>
          <w:tcPr>
            <w:tcW w:type="dxa" w:w="1410"/>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Random p = 1/4: payoff</w:t>
            </w:r>
          </w:p>
        </w:tc>
        <w:tc>
          <w:tcPr>
            <w:tcW w:type="dxa" w:w="126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bad-state</w:t>
            </w:r>
          </w:p>
        </w:tc>
        <w:tc>
          <w:tcPr>
            <w:tcW w:type="dxa" w:w="112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w:t>
            </w:r>
          </w:p>
        </w:tc>
        <w:tc>
          <w:tcPr>
            <w:tcW w:type="dxa" w:w="1552"/>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Random, matched share: payoff</w:t>
            </w:r>
          </w:p>
        </w:tc>
        <w:tc>
          <w:tcPr>
            <w:tcW w:type="dxa" w:w="126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bad-state</w:t>
            </w:r>
          </w:p>
        </w:tc>
        <w:tc>
          <w:tcPr>
            <w:tcW w:type="dxa" w:w="112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w:t>
            </w:r>
          </w:p>
        </w:tc>
        <w:tc>
          <w:tcPr>
            <w:tcW w:type="dxa" w:w="126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Mirror: payoff</w:t>
            </w:r>
          </w:p>
        </w:tc>
        <w:tc>
          <w:tcPr>
            <w:tcW w:type="dxa" w:w="126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bad-state</w:t>
            </w:r>
          </w:p>
        </w:tc>
        <w:tc>
          <w:tcPr>
            <w:tcW w:type="dxa" w:w="112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w:t>
            </w:r>
          </w:p>
        </w:tc>
      </w:tr>
      <w:tr>
        <w:trPr>
          <w:cantSplit/>
        </w:trPr>
        <w:tc>
          <w:tcPr>
            <w:tcW w:type="dxa" w:w="155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70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w:t>
            </w:r>
          </w:p>
        </w:tc>
        <w:tc>
          <w:tcPr>
            <w:tcW w:type="dxa" w:w="141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4.52</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0.20%</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w:t>
            </w:r>
          </w:p>
        </w:tc>
        <w:tc>
          <w:tcPr>
            <w:tcW w:type="dxa" w:w="155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4.52</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0.20%</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4.52</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0.20%</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w:t>
            </w:r>
          </w:p>
        </w:tc>
      </w:tr>
      <w:tr>
        <w:trPr>
          <w:cantSplit/>
        </w:trPr>
        <w:tc>
          <w:tcPr>
            <w:tcW w:type="dxa" w:w="1552"/>
            <w:vAlign w:val="center"/>
          </w:tcPr>
          <w:p>
            <w:pPr>
              <w:pStyle w:val="Compact"/>
              <w:keepNext w:val="0"/>
              <w:widowControl/>
              <w:spacing w:before="0" w:after="0" w:line="240" w:lineRule="auto"/>
              <w:ind w:firstLine="0"/>
              <w:jc w:val="left"/>
            </w:pPr>
          </w:p>
        </w:tc>
        <w:tc>
          <w:tcPr>
            <w:tcW w:type="dxa" w:w="70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w:t>
            </w:r>
          </w:p>
        </w:tc>
        <w:tc>
          <w:tcPr>
            <w:tcW w:type="dxa" w:w="141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4.41</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0.15%</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w:t>
            </w:r>
          </w:p>
        </w:tc>
        <w:tc>
          <w:tcPr>
            <w:tcW w:type="dxa" w:w="155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4.41</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4.40</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0.40%</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r>
      <w:tr>
        <w:trPr>
          <w:cantSplit/>
        </w:trPr>
        <w:tc>
          <w:tcPr>
            <w:tcW w:type="dxa" w:w="155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70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w:t>
            </w:r>
          </w:p>
        </w:tc>
        <w:tc>
          <w:tcPr>
            <w:tcW w:type="dxa" w:w="141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2.88</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2.17%</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c>
          <w:tcPr>
            <w:tcW w:type="dxa" w:w="155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2.88</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2.17%</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2.88</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2.17%</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r>
      <w:tr>
        <w:trPr>
          <w:cantSplit/>
        </w:trPr>
        <w:tc>
          <w:tcPr>
            <w:tcW w:type="dxa" w:w="1552"/>
            <w:vAlign w:val="center"/>
          </w:tcPr>
          <w:p>
            <w:pPr>
              <w:pStyle w:val="Compact"/>
              <w:keepNext w:val="0"/>
              <w:widowControl/>
              <w:spacing w:before="0" w:after="0" w:line="240" w:lineRule="auto"/>
              <w:ind w:firstLine="0"/>
              <w:jc w:val="left"/>
            </w:pPr>
          </w:p>
        </w:tc>
        <w:tc>
          <w:tcPr>
            <w:tcW w:type="dxa" w:w="70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w:t>
            </w:r>
          </w:p>
        </w:tc>
        <w:tc>
          <w:tcPr>
            <w:tcW w:type="dxa" w:w="141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3.08</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1.95%</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w:t>
            </w:r>
          </w:p>
        </w:tc>
        <w:tc>
          <w:tcPr>
            <w:tcW w:type="dxa" w:w="155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2.93</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2.14%</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2.77</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2.30%</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w:t>
            </w:r>
          </w:p>
        </w:tc>
      </w:tr>
      <w:tr>
        <w:trPr>
          <w:cantSplit/>
        </w:trPr>
        <w:tc>
          <w:tcPr>
            <w:tcW w:type="dxa" w:w="155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70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w:t>
            </w:r>
          </w:p>
        </w:tc>
        <w:tc>
          <w:tcPr>
            <w:tcW w:type="dxa" w:w="141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4.36</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0.39%</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2.7%</w:t>
            </w:r>
          </w:p>
        </w:tc>
        <w:tc>
          <w:tcPr>
            <w:tcW w:type="dxa" w:w="155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4.27</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0.46%</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3.3%</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4.21</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0.58%</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w:t>
            </w:r>
          </w:p>
        </w:tc>
      </w:tr>
      <w:tr>
        <w:trPr>
          <w:cantSplit/>
        </w:trPr>
        <w:tc>
          <w:tcPr>
            <w:tcW w:type="dxa" w:w="1552"/>
            <w:vAlign w:val="center"/>
          </w:tcPr>
          <w:p>
            <w:pPr>
              <w:pStyle w:val="Compact"/>
              <w:keepNext w:val="0"/>
              <w:widowControl/>
              <w:spacing w:before="0" w:after="0" w:line="240" w:lineRule="auto"/>
              <w:ind w:firstLine="0"/>
              <w:jc w:val="left"/>
            </w:pPr>
          </w:p>
        </w:tc>
        <w:tc>
          <w:tcPr>
            <w:tcW w:type="dxa" w:w="70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w:t>
            </w:r>
          </w:p>
        </w:tc>
        <w:tc>
          <w:tcPr>
            <w:tcW w:type="dxa" w:w="141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4.21</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0.40%</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w:t>
            </w:r>
          </w:p>
        </w:tc>
        <w:tc>
          <w:tcPr>
            <w:tcW w:type="dxa" w:w="155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4.03</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0.71%</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3.78</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1.11%</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w:t>
            </w:r>
          </w:p>
        </w:tc>
      </w:tr>
      <w:tr>
        <w:trPr>
          <w:cantSplit/>
        </w:trPr>
        <w:tc>
          <w:tcPr>
            <w:tcW w:type="dxa" w:w="155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70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w:t>
            </w:r>
          </w:p>
        </w:tc>
        <w:tc>
          <w:tcPr>
            <w:tcW w:type="dxa" w:w="141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4.22</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0.07%</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w:t>
            </w:r>
          </w:p>
        </w:tc>
        <w:tc>
          <w:tcPr>
            <w:tcW w:type="dxa" w:w="155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4.32</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0.09%</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0.11%</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w:t>
            </w:r>
          </w:p>
        </w:tc>
      </w:tr>
      <w:tr>
        <w:trPr>
          <w:cantSplit/>
        </w:trPr>
        <w:tc>
          <w:tcPr>
            <w:tcW w:type="dxa" w:w="1552"/>
            <w:vAlign w:val="center"/>
          </w:tcPr>
          <w:p>
            <w:pPr>
              <w:pStyle w:val="Compact"/>
              <w:keepNext w:val="0"/>
              <w:widowControl/>
              <w:spacing w:before="0" w:after="0" w:line="240" w:lineRule="auto"/>
              <w:ind w:firstLine="0"/>
              <w:jc w:val="left"/>
            </w:pPr>
          </w:p>
        </w:tc>
        <w:tc>
          <w:tcPr>
            <w:tcW w:type="dxa" w:w="70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w:t>
            </w:r>
          </w:p>
        </w:tc>
        <w:tc>
          <w:tcPr>
            <w:tcW w:type="dxa" w:w="141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3.81</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0.08%</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55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4.03</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0.15%</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5.2%</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4.18</w:t>
            </w:r>
          </w:p>
        </w:tc>
        <w:tc>
          <w:tcPr>
            <w:tcW w:type="dxa" w:w="126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0.26%</w:t>
            </w:r>
          </w:p>
        </w:tc>
        <w:tc>
          <w:tcPr>
            <w:tcW w:type="dxa" w:w="112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4.8%</w:t>
            </w:r>
          </w:p>
        </w:tc>
      </w:tr>
    </w:tbl>
    <w:p>
      <w:pPr>
        <w:pStyle w:val="BodyText"/>
        <w:keepNext/>
        <w:widowControl/>
        <w:spacing w:before="200" w:after="120"/>
        <w:ind w:firstLine="0"/>
      </w:pPr>
      <w:r>
        <w:rPr>
          <w:bCs/>
          <w:rFonts w:ascii="Times New Roman" w:hAnsi="Times New Roman" w:eastAsia="Times New Roman" w:cs="Times New Roman"/>
          <w:b/>
          <w:color w:val="000000"/>
        </w:rPr>
        <w:t>Supplementary Table S6.</w:t>
      </w:r>
      <w:r>
        <w:rPr>
          <w:bCs/>
          <w:rFonts w:ascii="Times New Roman" w:hAnsi="Times New Roman" w:eastAsia="Times New Roman" w:cs="Times New Roman"/>
          <w:b w:val="0"/>
          <w:color w:val="000000"/>
        </w:rPr>
        <w:t xml:space="preserve"> Two faults in one person.</w:t>
      </w:r>
      <w:r>
        <w:rPr>
          <w:rFonts w:ascii="Times New Roman" w:hAnsi="Times New Roman" w:eastAsia="Times New Roman" w:cs="Times New Roman"/>
          <w:b w:val="0"/>
          <w:color w:val="000000"/>
        </w:rPr>
        <w:t xml:space="preserve"> Evidence weighting γ in {1, 4} crossed with R</w:t>
      </w:r>
      <w:r>
        <w:rPr>
          <w:rFonts w:ascii="Times New Roman" w:hAnsi="Times New Roman" w:eastAsia="Times New Roman" w:cs="Times New Roman"/>
          <w:b w:val="0"/>
          <w:color w:val="000000"/>
          <w:vertAlign w:val="subscript"/>
        </w:rPr>
        <w:t xml:space="preserve">blame</w:t>
      </w:r>
      <w:r>
        <w:rPr>
          <w:rFonts w:ascii="Times New Roman" w:hAnsi="Times New Roman" w:eastAsia="Times New Roman" w:cs="Times New Roman"/>
          <w:b w:val="0"/>
          <w:color w:val="000000"/>
        </w:rPr>
        <w:t xml:space="preserve"> in {0, 200}, under the random verdict (p = 1/4, θ = 0.7, no imposed wait, no belief shift), split by the verdict drawn. For the person who is both overconfident and afraid of blame, “go” removes a restraint on acting: bad-state actions rise from 3.2% to 3.7% and payoff falls from 1.86 to 1.52. 60,000 decisions per person, seed 23. Data in </w:t>
      </w:r>
      <w:r>
        <w:rPr>
          <w:rStyle w:val="VerbatimChar"/>
          <w:rFonts w:ascii="Times New Roman" w:hAnsi="Times New Roman" w:eastAsia="Times New Roman" w:cs="Times New Roman"/>
          <w:b w:val="0"/>
          <w:color w:val="000000"/>
        </w:rPr>
        <w:t xml:space="preserve">sM_moral_hazard.csv</w:t>
      </w:r>
      <w:r>
        <w:rPr>
          <w:rFonts w:ascii="Times New Roman" w:hAnsi="Times New Roman" w:eastAsia="Times New Roman" w:cs="Times New Roman"/>
          <w:b w:val="0"/>
          <w:color w:val="000000"/>
        </w:rPr>
        <w:t xml:space="preserve">.</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752"/>
        <w:gridCol w:w="1203"/>
        <w:gridCol w:w="1353"/>
        <w:gridCol w:w="1353"/>
        <w:gridCol w:w="1203"/>
        <w:gridCol w:w="1353"/>
        <w:gridCol w:w="1353"/>
        <w:gridCol w:w="1203"/>
        <w:gridCol w:w="1353"/>
        <w:gridCol w:w="1353"/>
        <w:gridCol w:w="1203"/>
      </w:tblGrid>
      <w:tr>
        <w:trPr>
          <w:tblHeader w:val="true"/>
          <w:cantSplit/>
        </w:trPr>
        <w:tc>
          <w:tcPr>
            <w:tcW w:type="dxa" w:w="752"/>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γ</w:t>
            </w:r>
          </w:p>
        </w:tc>
        <w:tc>
          <w:tcPr>
            <w:tcW w:type="dxa" w:w="1203"/>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R</w:t>
            </w:r>
            <w:r>
              <w:rPr>
                <w:rFonts w:ascii="Times New Roman" w:hAnsi="Times New Roman" w:eastAsia="Times New Roman" w:cs="Times New Roman"/>
                <w:b/>
                <w:color w:val="000000"/>
                <w:sz w:val="18"/>
                <w:vertAlign w:val="subscript"/>
              </w:rPr>
              <w:t xml:space="preserve">blame</w:t>
            </w:r>
          </w:p>
        </w:tc>
        <w:tc>
          <w:tcPr>
            <w:tcW w:type="dxa" w:w="1353"/>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Own: payoff</w:t>
            </w:r>
          </w:p>
        </w:tc>
        <w:tc>
          <w:tcPr>
            <w:tcW w:type="dxa" w:w="1353"/>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bad-state</w:t>
            </w:r>
          </w:p>
        </w:tc>
        <w:tc>
          <w:tcPr>
            <w:tcW w:type="dxa" w:w="1203"/>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w:t>
            </w:r>
          </w:p>
        </w:tc>
        <w:tc>
          <w:tcPr>
            <w:tcW w:type="dxa" w:w="1353"/>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“Go”: payoff</w:t>
            </w:r>
          </w:p>
        </w:tc>
        <w:tc>
          <w:tcPr>
            <w:tcW w:type="dxa" w:w="1353"/>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bad-state</w:t>
            </w:r>
          </w:p>
        </w:tc>
        <w:tc>
          <w:tcPr>
            <w:tcW w:type="dxa" w:w="1203"/>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w:t>
            </w:r>
          </w:p>
        </w:tc>
        <w:tc>
          <w:tcPr>
            <w:tcW w:type="dxa" w:w="1353"/>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“Wait”: payoff</w:t>
            </w:r>
          </w:p>
        </w:tc>
        <w:tc>
          <w:tcPr>
            <w:tcW w:type="dxa" w:w="1353"/>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bad-state</w:t>
            </w:r>
          </w:p>
        </w:tc>
        <w:tc>
          <w:tcPr>
            <w:tcW w:type="dxa" w:w="1203"/>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w:t>
            </w:r>
          </w:p>
        </w:tc>
      </w:tr>
      <w:tr>
        <w:trPr>
          <w:cantSplit/>
        </w:trPr>
        <w:tc>
          <w:tcPr>
            <w:tcW w:type="dxa" w:w="75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w:t>
            </w:r>
          </w:p>
        </w:tc>
        <w:tc>
          <w:tcPr>
            <w:tcW w:type="dxa" w:w="120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4.72</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0.22%</w:t>
            </w:r>
          </w:p>
        </w:tc>
        <w:tc>
          <w:tcPr>
            <w:tcW w:type="dxa" w:w="120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4.62</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0.19%</w:t>
            </w:r>
          </w:p>
        </w:tc>
        <w:tc>
          <w:tcPr>
            <w:tcW w:type="dxa" w:w="120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4.76</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0.23%</w:t>
            </w:r>
          </w:p>
        </w:tc>
        <w:tc>
          <w:tcPr>
            <w:tcW w:type="dxa" w:w="120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r>
      <w:tr>
        <w:trPr>
          <w:cantSplit/>
        </w:trPr>
        <w:tc>
          <w:tcPr>
            <w:tcW w:type="dxa" w:w="75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w:t>
            </w:r>
          </w:p>
        </w:tc>
        <w:tc>
          <w:tcPr>
            <w:tcW w:type="dxa" w:w="120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200</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3.71</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0.05%</w:t>
            </w:r>
          </w:p>
        </w:tc>
        <w:tc>
          <w:tcPr>
            <w:tcW w:type="dxa" w:w="120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13.9%</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4.58</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0.11%</w:t>
            </w:r>
          </w:p>
        </w:tc>
        <w:tc>
          <w:tcPr>
            <w:tcW w:type="dxa" w:w="120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2.7%</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3.74</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0.06%</w:t>
            </w:r>
          </w:p>
        </w:tc>
        <w:tc>
          <w:tcPr>
            <w:tcW w:type="dxa" w:w="120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14.0%</w:t>
            </w:r>
          </w:p>
        </w:tc>
      </w:tr>
      <w:tr>
        <w:trPr>
          <w:cantSplit/>
        </w:trPr>
        <w:tc>
          <w:tcPr>
            <w:tcW w:type="dxa" w:w="75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4</w:t>
            </w:r>
          </w:p>
        </w:tc>
        <w:tc>
          <w:tcPr>
            <w:tcW w:type="dxa" w:w="120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0</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1.11</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20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1.20</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4.13%</w:t>
            </w:r>
          </w:p>
        </w:tc>
        <w:tc>
          <w:tcPr>
            <w:tcW w:type="dxa" w:w="120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7.1%</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1.08</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4.43%</w:t>
            </w:r>
          </w:p>
        </w:tc>
        <w:tc>
          <w:tcPr>
            <w:tcW w:type="dxa" w:w="120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r>
      <w:tr>
        <w:trPr>
          <w:cantSplit/>
        </w:trPr>
        <w:tc>
          <w:tcPr>
            <w:tcW w:type="dxa" w:w="75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4</w:t>
            </w:r>
          </w:p>
        </w:tc>
        <w:tc>
          <w:tcPr>
            <w:tcW w:type="dxa" w:w="1203"/>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200</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1.86</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3.21%</w:t>
            </w:r>
          </w:p>
        </w:tc>
        <w:tc>
          <w:tcPr>
            <w:tcW w:type="dxa" w:w="120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9.9%</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1.52</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3.71%</w:t>
            </w:r>
          </w:p>
        </w:tc>
        <w:tc>
          <w:tcPr>
            <w:tcW w:type="dxa" w:w="120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7.5%</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1.87</w:t>
            </w:r>
          </w:p>
        </w:tc>
        <w:tc>
          <w:tcPr>
            <w:tcW w:type="dxa" w:w="135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3.25%</w:t>
            </w:r>
          </w:p>
        </w:tc>
        <w:tc>
          <w:tcPr>
            <w:tcW w:type="dxa" w:w="1203"/>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9.8%</w:t>
            </w:r>
          </w:p>
        </w:tc>
      </w:tr>
    </w:tbl>
    <w:p>
      <w:pPr>
        <w:pStyle w:val="BodyText"/>
        <w:keepNext/>
        <w:pageBreakBefore/>
        <w:widowControl/>
        <w:spacing w:before="200" w:after="120"/>
        <w:ind w:firstLine="0"/>
      </w:pPr>
      <w:r>
        <w:rPr>
          <w:bCs/>
          <w:rFonts w:ascii="Times New Roman" w:hAnsi="Times New Roman" w:eastAsia="Times New Roman" w:cs="Times New Roman"/>
          <w:b/>
          <w:color w:val="000000"/>
        </w:rPr>
        <w:t>Supplementary Table S7.</w:t>
      </w:r>
      <w:r>
        <w:rPr>
          <w:bCs/>
          <w:rFonts w:ascii="Times New Roman" w:hAnsi="Times New Roman" w:eastAsia="Times New Roman" w:cs="Times New Roman"/>
          <w:b w:val="0"/>
          <w:color w:val="000000"/>
        </w:rPr>
        <w:t xml:space="preserve"> Table 3 per person, with Monte Carlo intervals and paired differences.</w:t>
      </w:r>
      <w:r>
        <w:rPr>
          <w:rFonts w:ascii="Times New Roman" w:hAnsi="Times New Roman" w:eastAsia="Times New Roman" w:cs="Times New Roman"/>
          <w:b w:val="0"/>
          <w:color w:val="000000"/>
        </w:rPr>
        <w:t xml:space="preserve"> Mean ± 95% half-width for each cell, and the paired difference in payoff against own judgment for the same person on the same decisions. The population rows average the four persons decision by decision. 100,000 decisions per person, seed 31. Data in </w:t>
      </w:r>
      <w:r>
        <w:rPr>
          <w:rStyle w:val="VerbatimChar"/>
          <w:rFonts w:ascii="Times New Roman" w:hAnsi="Times New Roman" w:eastAsia="Times New Roman" w:cs="Times New Roman"/>
          <w:b w:val="0"/>
          <w:color w:val="000000"/>
        </w:rPr>
        <w:t xml:space="preserve">table1_paired.csv</w:t>
      </w:r>
      <w:r>
        <w:rPr>
          <w:rFonts w:ascii="Times New Roman" w:hAnsi="Times New Roman" w:eastAsia="Times New Roman" w:cs="Times New Roman"/>
          <w:b w:val="0"/>
          <w:color w:val="000000"/>
        </w:rPr>
        <w:t xml:space="preserve">.</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2340"/>
        <w:gridCol w:w="2701"/>
        <w:gridCol w:w="1980"/>
        <w:gridCol w:w="2340"/>
        <w:gridCol w:w="2160"/>
        <w:gridCol w:w="2160"/>
      </w:tblGrid>
      <w:tr>
        <w:trPr>
          <w:tblHeader w:val="true"/>
          <w:cantSplit/>
        </w:trPr>
        <w:tc>
          <w:tcPr>
            <w:tcW w:type="dxa" w:w="2340"/>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Person</w:t>
            </w:r>
          </w:p>
        </w:tc>
        <w:tc>
          <w:tcPr>
            <w:tcW w:type="dxa" w:w="2701"/>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Arrangement</w:t>
            </w:r>
          </w:p>
        </w:tc>
        <w:tc>
          <w:tcPr>
            <w:tcW w:type="dxa" w:w="1980"/>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Payoff</w:t>
            </w:r>
          </w:p>
        </w:tc>
        <w:tc>
          <w:tcPr>
            <w:tcW w:type="dxa" w:w="2340"/>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Payoff minus own judgment</w:t>
            </w:r>
          </w:p>
        </w:tc>
        <w:tc>
          <w:tcPr>
            <w:tcW w:type="dxa" w:w="2160"/>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Actions in the bad state (pp)</w:t>
            </w:r>
          </w:p>
        </w:tc>
        <w:tc>
          <w:tcPr>
            <w:tcW w:type="dxa" w:w="2160"/>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 opportunities (pp)</w:t>
            </w:r>
          </w:p>
        </w:tc>
      </w:tr>
      <w:tr>
        <w:trPr>
          <w:cantSplit/>
        </w:trPr>
        <w:tc>
          <w:tcPr>
            <w:tcW w:type="dxa" w:w="2340"/>
            <w:vAlign w:val="center"/>
          </w:tcPr>
          <w:p>
            <w:pPr>
              <w:pStyle w:val="Compact"/>
              <w:keepNext w:val="0"/>
              <w:widowControl/>
              <w:spacing w:before="0" w:after="0" w:line="240" w:lineRule="auto"/>
              <w:ind w:firstLine="0"/>
              <w:jc w:val="left"/>
            </w:pPr>
            <w:r>
              <w:rPr>
                <w:bCs/>
                <w:rFonts w:ascii="Times New Roman" w:hAnsi="Times New Roman" w:eastAsia="Times New Roman" w:cs="Times New Roman"/>
                <w:b w:val="0"/>
                <w:color w:val="000000"/>
                <w:sz w:val="18"/>
              </w:rPr>
              <w:t xml:space="preserve">step cost 0.5 (main setting)</w:t>
            </w:r>
          </w:p>
        </w:tc>
        <w:tc>
          <w:tcPr>
            <w:tcW w:type="dxa" w:w="2701"/>
            <w:vAlign w:val="center"/>
          </w:tcPr>
          <w:p>
            <w:pPr>
              <w:pStyle w:val="Compact"/>
              <w:keepNext w:val="0"/>
              <w:widowControl/>
              <w:spacing w:before="0" w:after="0" w:line="240" w:lineRule="auto"/>
              <w:ind w:firstLine="0"/>
              <w:jc w:val="left"/>
            </w:pPr>
          </w:p>
        </w:tc>
        <w:tc>
          <w:tcPr>
            <w:tcW w:type="dxa" w:w="1980"/>
            <w:vAlign w:val="center"/>
          </w:tcPr>
          <w:p>
            <w:pPr>
              <w:pStyle w:val="Compact"/>
              <w:keepNext w:val="0"/>
              <w:widowControl/>
              <w:spacing w:before="0" w:after="0" w:line="240" w:lineRule="auto"/>
              <w:ind w:firstLine="0"/>
              <w:jc w:val="center"/>
            </w:pPr>
          </w:p>
        </w:tc>
        <w:tc>
          <w:tcPr>
            <w:tcW w:type="dxa" w:w="2340"/>
            <w:vAlign w:val="center"/>
          </w:tcPr>
          <w:p>
            <w:pPr>
              <w:pStyle w:val="Compact"/>
              <w:keepNext w:val="0"/>
              <w:widowControl/>
              <w:spacing w:before="0" w:after="0" w:line="240" w:lineRule="auto"/>
              <w:ind w:firstLine="0"/>
              <w:jc w:val="center"/>
            </w:pPr>
          </w:p>
        </w:tc>
        <w:tc>
          <w:tcPr>
            <w:tcW w:type="dxa" w:w="2160"/>
            <w:vAlign w:val="center"/>
          </w:tcPr>
          <w:p>
            <w:pPr>
              <w:pStyle w:val="Compact"/>
              <w:keepNext w:val="0"/>
              <w:widowControl/>
              <w:spacing w:before="0" w:after="0" w:line="240" w:lineRule="auto"/>
              <w:ind w:firstLine="0"/>
              <w:jc w:val="center"/>
            </w:pPr>
          </w:p>
        </w:tc>
        <w:tc>
          <w:tcPr>
            <w:tcW w:type="dxa" w:w="2160"/>
            <w:vAlign w:val="center"/>
          </w:tcPr>
          <w:p>
            <w:pPr>
              <w:pStyle w:val="Compact"/>
              <w:keepNext w:val="0"/>
              <w:widowControl/>
              <w:spacing w:before="0" w:after="0" w:line="240" w:lineRule="auto"/>
              <w:ind w:firstLine="0"/>
              <w:jc w:val="center"/>
            </w:pPr>
          </w:p>
        </w:tc>
      </w:tr>
      <w:tr>
        <w:trPr>
          <w:cantSplit/>
        </w:trPr>
        <w:tc>
          <w:tcPr>
            <w:tcW w:type="dxa" w:w="234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population (equal mix)</w:t>
            </w: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judgment</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3.26 ± 0.12</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1.39% ± 0.04</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8.4% ± 0.14</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procedure</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3.97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0.71 ± 0.05</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0.74% ± 0.03</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 ± 0.08</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interval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3.89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0.62 ± 0.04</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0.78% ± 0.04</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 ± 0.10</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relief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3.48 ± 0.12</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0.22 ± 0.02</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1.33% ± 0.04</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6.5% ± 0.12</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agent-timed decision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0.95 ± 0.11</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−2.32 ± 0.06</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2.12% ± 0.07</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23.1% ± 0.20</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single observation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−0.20 ± 0.09</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−3.47 ± 0.08</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2.30% ± 0.06</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32.4% ± 0.25</w:t>
            </w:r>
          </w:p>
        </w:tc>
      </w:tr>
      <w:tr>
        <w:trPr>
          <w:cantSplit/>
        </w:trPr>
        <w:tc>
          <w:tcPr>
            <w:tcW w:type="dxa" w:w="234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judgment</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 ± 0.03</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 ± 0.08</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procedure</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4.52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−0.18 ± 0.02</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0.21% ± 0.03</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 ± 0.07</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interval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4.52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−0.18 ± 0.02</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0.21% ± 0.03</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 ± 0.07</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relief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0.00 ± 0.00</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 ± 0.03</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 ± 0.08</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agent-timed decision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1.60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−3.10 ± 0.11</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1.98% ± 0.09</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19.2% ± 0.24</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single observation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0.78 ± 0.10</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−3.92 ± 0.12</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1.20% ± 0.07</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32.7% ± 0.29</w:t>
            </w:r>
          </w:p>
        </w:tc>
      </w:tr>
      <w:tr>
        <w:trPr>
          <w:cantSplit/>
        </w:trPr>
        <w:tc>
          <w:tcPr>
            <w:tcW w:type="dxa" w:w="234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judgment</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 ± 0.18</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 ± 0.13</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 ± 0.16</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procedure</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2.82 ± 0.15</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1.89 ± 0.11</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2.23% ± 0.09</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 ± 0.11</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interval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2.82 ± 0.15</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1.89 ± 0.11</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2.23% ± 0.09</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 ± 0.11</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relief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 ± 0.18</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0.00 ± 0.00</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 ± 0.13</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 ± 0.16</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agent-timed decision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 ± 0.18</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0.00 ± 0.00</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 ± 0.13</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 ± 0.16</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single observation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−2.05 ± 0.19</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−2.98 ± 0.13</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6.78% ± 0.16</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15.5% ± 0.22</w:t>
            </w:r>
          </w:p>
        </w:tc>
      </w:tr>
    </w:tbl>
    <w:p>
      <w:pPr>
        <w:pStyle w:val="BodyText"/>
        <w:widowControl/>
        <w:spacing w:before="200" w:after="120"/>
        <w:ind w:firstLine="0"/>
        <w:pageBreakBefore/>
        <w:keepNext/>
      </w:pPr>
      <w:r>
        <w:rPr>
          <w:rFonts w:ascii="Times New Roman" w:hAnsi="Times New Roman"/>
          <w:sz w:val="20"/>
          <w:b/>
        </w:rPr>
        <w:t>Supplementary Table S7 (continued).</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2340"/>
        <w:gridCol w:w="2701"/>
        <w:gridCol w:w="1980"/>
        <w:gridCol w:w="2340"/>
        <w:gridCol w:w="2160"/>
        <w:gridCol w:w="2160"/>
      </w:tblGrid>
      <w:tr>
        <w:trPr>
          <w:tblHeader w:val="true"/>
          <w:cantSplit/>
        </w:trPr>
        <w:tc>
          <w:tcPr>
            <w:tcW w:type="dxa" w:w="2340"/>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Person</w:t>
            </w:r>
          </w:p>
        </w:tc>
        <w:tc>
          <w:tcPr>
            <w:tcW w:type="dxa" w:w="2701"/>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Arrangement</w:t>
            </w:r>
          </w:p>
        </w:tc>
        <w:tc>
          <w:tcPr>
            <w:tcW w:type="dxa" w:w="1980"/>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Payoff</w:t>
            </w:r>
          </w:p>
        </w:tc>
        <w:tc>
          <w:tcPr>
            <w:tcW w:type="dxa" w:w="2340"/>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Payoff minus own judgment</w:t>
            </w:r>
          </w:p>
        </w:tc>
        <w:tc>
          <w:tcPr>
            <w:tcW w:type="dxa" w:w="2160"/>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Actions in the bad state (pp)</w:t>
            </w:r>
          </w:p>
        </w:tc>
        <w:tc>
          <w:tcPr>
            <w:tcW w:type="dxa" w:w="2160"/>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 opportunities (pp)</w:t>
            </w:r>
          </w:p>
        </w:tc>
      </w:tr>
      <w:tr>
        <w:trPr>
          <w:cantSplit/>
        </w:trPr>
        <w:tc>
          <w:tcPr>
            <w:tcW w:type="dxa" w:w="2340"/>
            <w:vAlign w:val="center"/>
          </w:tcPr>
          <w:p>
            <w:pPr>
              <w:pStyle w:val="Compact"/>
              <w:keepNext w:val="0"/>
              <w:widowControl/>
              <w:spacing w:before="0" w:after="0" w:line="240" w:lineRule="auto"/>
              <w:ind w:firstLine="0"/>
              <w:jc w:val="left"/>
            </w:pPr>
            <w:r>
              <w:rPr>
                <w:bCs/>
                <w:rFonts w:ascii="Times New Roman" w:hAnsi="Times New Roman" w:eastAsia="Times New Roman" w:cs="Times New Roman"/>
                <w:b w:val="0"/>
                <w:color w:val="000000"/>
                <w:sz w:val="18"/>
              </w:rPr>
              <w:t xml:space="preserve">step cost 0.5 (main setting)</w:t>
            </w:r>
          </w:p>
        </w:tc>
        <w:tc>
          <w:tcPr>
            <w:tcW w:type="dxa" w:w="2701"/>
            <w:vAlign w:val="center"/>
          </w:tcPr>
          <w:p>
            <w:pPr>
              <w:pStyle w:val="Compact"/>
              <w:keepNext w:val="0"/>
              <w:widowControl/>
              <w:spacing w:before="0" w:after="0" w:line="240" w:lineRule="auto"/>
              <w:ind w:firstLine="0"/>
              <w:jc w:val="left"/>
            </w:pPr>
          </w:p>
        </w:tc>
        <w:tc>
          <w:tcPr>
            <w:tcW w:type="dxa" w:w="1980"/>
            <w:vAlign w:val="center"/>
          </w:tcPr>
          <w:p>
            <w:pPr>
              <w:pStyle w:val="Compact"/>
              <w:keepNext w:val="0"/>
              <w:widowControl/>
              <w:spacing w:before="0" w:after="0" w:line="240" w:lineRule="auto"/>
              <w:ind w:firstLine="0"/>
              <w:jc w:val="center"/>
            </w:pPr>
          </w:p>
        </w:tc>
        <w:tc>
          <w:tcPr>
            <w:tcW w:type="dxa" w:w="2340"/>
            <w:vAlign w:val="center"/>
          </w:tcPr>
          <w:p>
            <w:pPr>
              <w:pStyle w:val="Compact"/>
              <w:keepNext w:val="0"/>
              <w:widowControl/>
              <w:spacing w:before="0" w:after="0" w:line="240" w:lineRule="auto"/>
              <w:ind w:firstLine="0"/>
              <w:jc w:val="center"/>
            </w:pPr>
          </w:p>
        </w:tc>
        <w:tc>
          <w:tcPr>
            <w:tcW w:type="dxa" w:w="2160"/>
            <w:vAlign w:val="center"/>
          </w:tcPr>
          <w:p>
            <w:pPr>
              <w:pStyle w:val="Compact"/>
              <w:keepNext w:val="0"/>
              <w:widowControl/>
              <w:spacing w:before="0" w:after="0" w:line="240" w:lineRule="auto"/>
              <w:ind w:firstLine="0"/>
              <w:jc w:val="center"/>
            </w:pPr>
          </w:p>
        </w:tc>
        <w:tc>
          <w:tcPr>
            <w:tcW w:type="dxa" w:w="2160"/>
            <w:vAlign w:val="center"/>
          </w:tcPr>
          <w:p>
            <w:pPr>
              <w:pStyle w:val="Compact"/>
              <w:keepNext w:val="0"/>
              <w:widowControl/>
              <w:spacing w:before="0" w:after="0" w:line="240" w:lineRule="auto"/>
              <w:ind w:firstLine="0"/>
              <w:jc w:val="center"/>
            </w:pPr>
          </w:p>
        </w:tc>
      </w:tr>
      <w:tr>
        <w:trPr>
          <w:cantSplit/>
        </w:trPr>
        <w:tc>
          <w:tcPr>
            <w:tcW w:type="dxa" w:w="234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judgment</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3.73 ± 0.12</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0.77% ± 0.05</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10.8% ± 0.19</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procedure</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4.34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0.60 ± 0.07</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0.42% ± 0.04</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2.6% ± 0.10</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interval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4.07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0.34 ± 0.06</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0.60% ± 0.05</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 ± 0.13</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relief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4.36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0.63 ± 0.05</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0.51% ± 0.04</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5.7% ± 0.14</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agent-timed decision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1.60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−2.13 ± 0.10</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1.98% ± 0.09</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19.2% ± 0.24</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single observation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0.78 ± 0.10</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−2.95 ± 0.11</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1.20% ± 0.07</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32.7% ± 0.29</w:t>
            </w:r>
          </w:p>
        </w:tc>
      </w:tr>
      <w:tr>
        <w:trPr>
          <w:cantSplit/>
        </w:trPr>
        <w:tc>
          <w:tcPr>
            <w:tcW w:type="dxa" w:w="234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judgment</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3.69 ± 0.11</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0.05% ± 0.01</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13.9% ± 0.21</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procedure</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4.22 ± 0.12</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0.53 ± 0.06</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0.09% ± 0.02</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 ± 0.13</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interval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4.13 ± 0.12</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0.44 ± 0.05</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0.07% ± 0.02</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5.5% ± 0.14</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relief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3.93 ± 0.11</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 ± 0.03</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0.07% ± 0.02</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11.1% ± 0.19</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agent-timed decision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−0.35 ± 0.04</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−4.04 ± 0.10</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0.03% ± 0.01</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46.8% ± 0.31</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single observation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−0.32 ± 0.03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−4.01 ± 0.10</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0.01% ± 0.01</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48.7% ± 0.31</w:t>
            </w:r>
          </w:p>
        </w:tc>
      </w:tr>
      <w:tr>
        <w:trPr>
          <w:cantSplit/>
        </w:trPr>
        <w:tc>
          <w:tcPr>
            <w:tcW w:type="dxa" w:w="2340"/>
            <w:vAlign w:val="center"/>
          </w:tcPr>
          <w:p>
            <w:pPr>
              <w:pStyle w:val="Compact"/>
              <w:keepNext w:val="0"/>
              <w:widowControl/>
              <w:spacing w:before="0" w:after="0" w:line="240" w:lineRule="auto"/>
              <w:ind w:firstLine="0"/>
              <w:jc w:val="left"/>
            </w:pPr>
            <w:r>
              <w:rPr>
                <w:bCs/>
                <w:rFonts w:ascii="Times New Roman" w:hAnsi="Times New Roman" w:eastAsia="Times New Roman" w:cs="Times New Roman"/>
                <w:b w:val="0"/>
                <w:color w:val="000000"/>
                <w:sz w:val="18"/>
              </w:rPr>
              <w:t xml:space="preserve">step cost 1</w:t>
            </w:r>
          </w:p>
        </w:tc>
        <w:tc>
          <w:tcPr>
            <w:tcW w:type="dxa" w:w="2701"/>
            <w:vAlign w:val="center"/>
          </w:tcPr>
          <w:p>
            <w:pPr>
              <w:pStyle w:val="Compact"/>
              <w:keepNext w:val="0"/>
              <w:widowControl/>
              <w:spacing w:before="0" w:after="0" w:line="240" w:lineRule="auto"/>
              <w:ind w:firstLine="0"/>
              <w:jc w:val="left"/>
            </w:pPr>
          </w:p>
        </w:tc>
        <w:tc>
          <w:tcPr>
            <w:tcW w:type="dxa" w:w="1980"/>
            <w:vAlign w:val="center"/>
          </w:tcPr>
          <w:p>
            <w:pPr>
              <w:pStyle w:val="Compact"/>
              <w:keepNext w:val="0"/>
              <w:widowControl/>
              <w:spacing w:before="0" w:after="0" w:line="240" w:lineRule="auto"/>
              <w:ind w:firstLine="0"/>
              <w:jc w:val="center"/>
            </w:pPr>
          </w:p>
        </w:tc>
        <w:tc>
          <w:tcPr>
            <w:tcW w:type="dxa" w:w="2340"/>
            <w:vAlign w:val="center"/>
          </w:tcPr>
          <w:p>
            <w:pPr>
              <w:pStyle w:val="Compact"/>
              <w:keepNext w:val="0"/>
              <w:widowControl/>
              <w:spacing w:before="0" w:after="0" w:line="240" w:lineRule="auto"/>
              <w:ind w:firstLine="0"/>
              <w:jc w:val="center"/>
            </w:pPr>
          </w:p>
        </w:tc>
        <w:tc>
          <w:tcPr>
            <w:tcW w:type="dxa" w:w="2160"/>
            <w:vAlign w:val="center"/>
          </w:tcPr>
          <w:p>
            <w:pPr>
              <w:pStyle w:val="Compact"/>
              <w:keepNext w:val="0"/>
              <w:widowControl/>
              <w:spacing w:before="0" w:after="0" w:line="240" w:lineRule="auto"/>
              <w:ind w:firstLine="0"/>
              <w:jc w:val="center"/>
            </w:pPr>
          </w:p>
        </w:tc>
        <w:tc>
          <w:tcPr>
            <w:tcW w:type="dxa" w:w="2160"/>
            <w:vAlign w:val="center"/>
          </w:tcPr>
          <w:p>
            <w:pPr>
              <w:pStyle w:val="Compact"/>
              <w:keepNext w:val="0"/>
              <w:widowControl/>
              <w:spacing w:before="0" w:after="0" w:line="240" w:lineRule="auto"/>
              <w:ind w:firstLine="0"/>
              <w:jc w:val="center"/>
            </w:pPr>
          </w:p>
        </w:tc>
      </w:tr>
      <w:tr>
        <w:trPr>
          <w:cantSplit/>
        </w:trPr>
        <w:tc>
          <w:tcPr>
            <w:tcW w:type="dxa" w:w="234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population (equal mix)</w:t>
            </w: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judgment</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1.41 ± 0.11</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1.60% ± 0.05</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15.9% ± 0.16</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procedure</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1.90 ± 0.12</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0.49 ± 0.05</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0.87% ± 0.04</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5.4% ± 0.11</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interval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1.80 ± 0.12</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0.39 ± 0.05</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0.89% ± 0.04</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6.6% ± 0.12</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relief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1.68 ± 0.11</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0.26 ± 0.02</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1.57% ± 0.05</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12.7% ± 0.15</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agent-timed decision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−0.02 ± 0.10</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−1.43 ± 0.05</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2.17% ± 0.07</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25.1% ± 0.21</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single observation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−0.70 ± 0.09</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−2.12 ± 0.06</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2.30% ± 0.06</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32.4% ± 0.25</w:t>
            </w:r>
          </w:p>
        </w:tc>
      </w:tr>
      <w:tr>
        <w:trPr>
          <w:cantSplit/>
        </w:trPr>
        <w:tc>
          <w:tcPr>
            <w:tcW w:type="dxa" w:w="234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judgment</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3.12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0.43% ± 0.04</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 ± 0.13</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procedure</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2.52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−0.59 ± 0.03</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0.37% ± 0.04</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2.2% ± 0.09</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interval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2.52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−0.59 ± 0.03</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0.37% ± 0.04</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2.2% ± 0.09</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relief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3.12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0.00 ± 0.00</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0.43% ± 0.04</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 ± 0.13</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agent-timed decision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0.70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−2.42 ± 0.11</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1.79% ± 0.08</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22.4% ± 0.26</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single observation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0.28 ± 0.10</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−2.84 ± 0.12</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1.20% ± 0.07</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32.7% ± 0.29</w:t>
            </w:r>
          </w:p>
        </w:tc>
      </w:tr>
    </w:tbl>
    <w:p>
      <w:pPr>
        <w:pStyle w:val="BodyText"/>
        <w:widowControl/>
        <w:spacing w:before="200" w:after="120"/>
        <w:ind w:firstLine="0"/>
        <w:pageBreakBefore/>
        <w:keepNext/>
      </w:pPr>
      <w:r>
        <w:rPr>
          <w:rFonts w:ascii="Times New Roman" w:hAnsi="Times New Roman"/>
          <w:sz w:val="20"/>
          <w:b/>
        </w:rPr>
        <w:t>Supplementary Table S7 (continued).</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2340"/>
        <w:gridCol w:w="2701"/>
        <w:gridCol w:w="1980"/>
        <w:gridCol w:w="2340"/>
        <w:gridCol w:w="2160"/>
        <w:gridCol w:w="2160"/>
      </w:tblGrid>
      <w:tr>
        <w:trPr>
          <w:tblHeader w:val="true"/>
          <w:cantSplit/>
        </w:trPr>
        <w:tc>
          <w:tcPr>
            <w:tcW w:type="dxa" w:w="2340"/>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Person</w:t>
            </w:r>
          </w:p>
        </w:tc>
        <w:tc>
          <w:tcPr>
            <w:tcW w:type="dxa" w:w="2701"/>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Arrangement</w:t>
            </w:r>
          </w:p>
        </w:tc>
        <w:tc>
          <w:tcPr>
            <w:tcW w:type="dxa" w:w="1980"/>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Payoff</w:t>
            </w:r>
          </w:p>
        </w:tc>
        <w:tc>
          <w:tcPr>
            <w:tcW w:type="dxa" w:w="2340"/>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Payoff minus own judgment</w:t>
            </w:r>
          </w:p>
        </w:tc>
        <w:tc>
          <w:tcPr>
            <w:tcW w:type="dxa" w:w="2160"/>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Actions in the bad state (pp)</w:t>
            </w:r>
          </w:p>
        </w:tc>
        <w:tc>
          <w:tcPr>
            <w:tcW w:type="dxa" w:w="2160"/>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 opportunities (pp)</w:t>
            </w:r>
          </w:p>
        </w:tc>
      </w:tr>
      <w:tr>
        <w:trPr>
          <w:cantSplit/>
        </w:trPr>
        <w:tc>
          <w:tcPr>
            <w:tcW w:type="dxa" w:w="2340"/>
            <w:vAlign w:val="center"/>
          </w:tcPr>
          <w:p>
            <w:pPr>
              <w:pStyle w:val="Compact"/>
              <w:keepNext w:val="0"/>
              <w:widowControl/>
              <w:spacing w:before="0" w:after="0" w:line="240" w:lineRule="auto"/>
              <w:ind w:firstLine="0"/>
              <w:jc w:val="left"/>
            </w:pPr>
            <w:r>
              <w:rPr>
                <w:bCs/>
                <w:rFonts w:ascii="Times New Roman" w:hAnsi="Times New Roman" w:eastAsia="Times New Roman" w:cs="Times New Roman"/>
                <w:b w:val="0"/>
                <w:color w:val="000000"/>
                <w:sz w:val="18"/>
              </w:rPr>
              <w:t xml:space="preserve">step cost 1</w:t>
            </w:r>
          </w:p>
        </w:tc>
        <w:tc>
          <w:tcPr>
            <w:tcW w:type="dxa" w:w="2701"/>
            <w:vAlign w:val="center"/>
          </w:tcPr>
          <w:p>
            <w:pPr>
              <w:pStyle w:val="Compact"/>
              <w:keepNext w:val="0"/>
              <w:widowControl/>
              <w:spacing w:before="0" w:after="0" w:line="240" w:lineRule="auto"/>
              <w:ind w:firstLine="0"/>
              <w:jc w:val="left"/>
            </w:pPr>
          </w:p>
        </w:tc>
        <w:tc>
          <w:tcPr>
            <w:tcW w:type="dxa" w:w="1980"/>
            <w:vAlign w:val="center"/>
          </w:tcPr>
          <w:p>
            <w:pPr>
              <w:pStyle w:val="Compact"/>
              <w:keepNext w:val="0"/>
              <w:widowControl/>
              <w:spacing w:before="0" w:after="0" w:line="240" w:lineRule="auto"/>
              <w:ind w:firstLine="0"/>
              <w:jc w:val="center"/>
            </w:pPr>
          </w:p>
        </w:tc>
        <w:tc>
          <w:tcPr>
            <w:tcW w:type="dxa" w:w="2340"/>
            <w:vAlign w:val="center"/>
          </w:tcPr>
          <w:p>
            <w:pPr>
              <w:pStyle w:val="Compact"/>
              <w:keepNext w:val="0"/>
              <w:widowControl/>
              <w:spacing w:before="0" w:after="0" w:line="240" w:lineRule="auto"/>
              <w:ind w:firstLine="0"/>
              <w:jc w:val="center"/>
            </w:pPr>
          </w:p>
        </w:tc>
        <w:tc>
          <w:tcPr>
            <w:tcW w:type="dxa" w:w="2160"/>
            <w:vAlign w:val="center"/>
          </w:tcPr>
          <w:p>
            <w:pPr>
              <w:pStyle w:val="Compact"/>
              <w:keepNext w:val="0"/>
              <w:widowControl/>
              <w:spacing w:before="0" w:after="0" w:line="240" w:lineRule="auto"/>
              <w:ind w:firstLine="0"/>
              <w:jc w:val="center"/>
            </w:pPr>
          </w:p>
        </w:tc>
        <w:tc>
          <w:tcPr>
            <w:tcW w:type="dxa" w:w="2160"/>
            <w:vAlign w:val="center"/>
          </w:tcPr>
          <w:p>
            <w:pPr>
              <w:pStyle w:val="Compact"/>
              <w:keepNext w:val="0"/>
              <w:widowControl/>
              <w:spacing w:before="0" w:after="0" w:line="240" w:lineRule="auto"/>
              <w:ind w:firstLine="0"/>
              <w:jc w:val="center"/>
            </w:pPr>
          </w:p>
        </w:tc>
      </w:tr>
      <w:tr>
        <w:trPr>
          <w:cantSplit/>
        </w:trPr>
        <w:tc>
          <w:tcPr>
            <w:tcW w:type="dxa" w:w="234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judgment</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−0.39 ± 0.18</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5.07% ± 0.14</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8.3% ± 0.17</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procedure</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1.04 ± 0.16</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1.42 ± 0.12</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2.44% ± 0.10</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3.4% ± 0.11</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interval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1.04 ± 0.16</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1.42 ± 0.12</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2.44% ± 0.10</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3.4% ± 0.11</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relief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−0.39 ± 0.18</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0.00 ± 0.00</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5.07% ± 0.14</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8.3% ± 0.17</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agent-timed decision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−0.39 ± 0.18</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0.00 ± 0.00</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5.07% ± 0.14</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8.3% ± 0.17</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single observation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−2.55 ± 0.19</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−2.17 ± 0.12</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6.78% ± 0.16</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15.5% ± 0.22</w:t>
            </w:r>
          </w:p>
        </w:tc>
      </w:tr>
      <w:tr>
        <w:trPr>
          <w:cantSplit/>
        </w:trPr>
        <w:tc>
          <w:tcPr>
            <w:tcW w:type="dxa" w:w="234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judgment</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2.43 ± 0.12</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0.85% ± 0.06</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14.3% ± 0.22</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procedure</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2.40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−0.03 ± 0.08</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0.54% ± 0.05</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3.8% ± 0.12</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interval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2.25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−0.18 ± 0.07</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0.67% ± 0.05</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5.5% ± 0.14</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relief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2.86 ± 0.12</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0.42 ± 0.05</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0.68% ± 0.05</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8.9% ± 0.18</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agent-timed decision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0.70 ± 0.13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−1.74 ± 0.10</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1.79% ± 0.08</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22.4% ± 0.26</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single observation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0.28 ± 0.10</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−2.15 ± 0.10</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1.20% ± 0.07</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32.7% ± 0.29</w:t>
            </w:r>
          </w:p>
        </w:tc>
      </w:tr>
      <w:tr>
        <w:trPr>
          <w:cantSplit/>
        </w:trPr>
        <w:tc>
          <w:tcPr>
            <w:tcW w:type="dxa" w:w="2340"/>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judgment</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0.49 ± 0.07</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0.04% ± 0.01</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36.8% ± 0.30</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procedure</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1.66 ± 0.11</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1.17 ± 0.09</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0.12% ± 0.02</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12.2% ± 0.20</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interval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1.39 ± 0.11</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0.90 ± 0.08</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0.08% ± 0.02</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15.2% ± 0.22</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relief only</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1.12 ± 0.08</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0.63 ± 0.05</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0.10% ± 0.02</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29.2% ± 0.28</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agent-timed decision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−1.07 ± 0.03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−1.57 ± 0.07</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0.03% ± 0.01</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47.4% ± 0.31</w:t>
            </w:r>
          </w:p>
        </w:tc>
      </w:tr>
      <w:tr>
        <w:trPr>
          <w:cantSplit/>
        </w:trPr>
        <w:tc>
          <w:tcPr>
            <w:tcW w:type="dxa" w:w="2340"/>
            <w:vAlign w:val="center"/>
          </w:tcPr>
          <w:p>
            <w:pPr>
              <w:pStyle w:val="Compact"/>
              <w:keepNext w:val="0"/>
              <w:widowControl/>
              <w:spacing w:before="0" w:after="0" w:line="240" w:lineRule="auto"/>
              <w:ind w:firstLine="0"/>
              <w:jc w:val="left"/>
            </w:pPr>
          </w:p>
        </w:tc>
        <w:tc>
          <w:tcPr>
            <w:tcW w:type="dxa" w:w="2701"/>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single observation</w:t>
            </w:r>
          </w:p>
        </w:tc>
        <w:tc>
          <w:tcPr>
            <w:tcW w:type="dxa" w:w="198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−0.82 ± 0.03</w:t>
            </w:r>
          </w:p>
        </w:tc>
        <w:tc>
          <w:tcPr>
            <w:tcW w:type="dxa" w:w="234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−1.31 ± 0.06</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0.01% ± 0.01</w:t>
            </w:r>
          </w:p>
        </w:tc>
        <w:tc>
          <w:tcPr>
            <w:tcW w:type="dxa" w:w="2160"/>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48.7% ± 0.31</w:t>
            </w:r>
          </w:p>
        </w:tc>
      </w:tr>
    </w:tbl>
    <w:p>
      <w:pPr>
        <w:pStyle w:val="BodyText"/>
        <w:keepNext/>
        <w:pageBreakBefore/>
        <w:widowControl/>
        <w:spacing w:before="200" w:after="120"/>
        <w:ind w:firstLine="0"/>
      </w:pPr>
      <w:r>
        <w:rPr>
          <w:bCs/>
          <w:rFonts w:ascii="Times New Roman" w:hAnsi="Times New Roman" w:eastAsia="Times New Roman" w:cs="Times New Roman"/>
          <w:b/>
          <w:color w:val="000000"/>
        </w:rPr>
        <w:t>Supplementary Table S8.</w:t>
      </w:r>
      <w:r>
        <w:rPr>
          <w:bCs/>
          <w:rFonts w:ascii="Times New Roman" w:hAnsi="Times New Roman" w:eastAsia="Times New Roman" w:cs="Times New Roman"/>
          <w:b w:val="0"/>
          <w:color w:val="000000"/>
        </w:rPr>
        <w:t xml:space="preserve"> Two controls.</w:t>
      </w:r>
      <w:r>
        <w:rPr>
          <w:rFonts w:ascii="Times New Roman" w:hAnsi="Times New Roman" w:eastAsia="Times New Roman" w:cs="Times New Roman"/>
          <w:b w:val="0"/>
          <w:color w:val="000000"/>
        </w:rPr>
        <w:t xml:space="preserve"> “Blind wait”: the two-step interval passes with no observation arriving, so the first decision uses the evidence of step 1 and later observations arrive in their original order; in this simulation, the reported error rates are unchanged and payoff falls by the cost of two steps. With a finite deadline, a longer blind interval can also alter subsequent decisions. “Protection both ways, no draw”: both cost reductions of equation (3) with θ = 0.7 apply to everyone with no verdict; with the interval, this arrangement yields at least the payoff of the procedure for every person, as the argument in main-text Section 4 requires. 60,000 decisions per person, seed 23. Data in </w:t>
      </w:r>
      <w:r>
        <w:rPr>
          <w:rStyle w:val="VerbatimChar"/>
          <w:rFonts w:ascii="Times New Roman" w:hAnsi="Times New Roman" w:eastAsia="Times New Roman" w:cs="Times New Roman"/>
          <w:b w:val="0"/>
          <w:color w:val="000000"/>
        </w:rPr>
        <w:t xml:space="preserve">sN_controls.csv</w:t>
      </w:r>
      <w:r>
        <w:rPr>
          <w:rFonts w:ascii="Times New Roman" w:hAnsi="Times New Roman" w:eastAsia="Times New Roman" w:cs="Times New Roman"/>
          <w:b w:val="0"/>
          <w:color w:val="000000"/>
        </w:rPr>
        <w:t xml:space="preserve">.</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2218"/>
        <w:gridCol w:w="4622"/>
        <w:gridCol w:w="1664"/>
        <w:gridCol w:w="1849"/>
        <w:gridCol w:w="1849"/>
        <w:gridCol w:w="1479"/>
      </w:tblGrid>
      <w:tr>
        <w:trPr>
          <w:tblHeader w:val="true"/>
          <w:cantSplit/>
        </w:trPr>
        <w:tc>
          <w:tcPr>
            <w:tcW w:type="dxa" w:w="2218"/>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Person</w:t>
            </w:r>
          </w:p>
        </w:tc>
        <w:tc>
          <w:tcPr>
            <w:tcW w:type="dxa" w:w="4622"/>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Setting</w:t>
            </w:r>
          </w:p>
        </w:tc>
        <w:tc>
          <w:tcPr>
            <w:tcW w:type="dxa" w:w="1664"/>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Average payoff</w:t>
            </w:r>
          </w:p>
        </w:tc>
        <w:tc>
          <w:tcPr>
            <w:tcW w:type="dxa" w:w="184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Actions in the bad state</w:t>
            </w:r>
          </w:p>
        </w:tc>
        <w:tc>
          <w:tcPr>
            <w:tcW w:type="dxa" w:w="184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 opportunities</w:t>
            </w:r>
          </w:p>
        </w:tc>
        <w:tc>
          <w:tcPr>
            <w:tcW w:type="dxa" w:w="147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Mean steps</w:t>
            </w:r>
          </w:p>
        </w:tc>
      </w:tr>
      <w:tr>
        <w:trPr>
          <w:cantSplit/>
        </w:trPr>
        <w:tc>
          <w:tcPr>
            <w:tcW w:type="dxa" w:w="221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judgment</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4.72</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0.22%</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3.58</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interval only</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4.52</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0.20%</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4.19</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blind wait</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3.72</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0.22%</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5.58</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protection both ways, no draw</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4.72</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0.22%</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3.58</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protection both ways + interval</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4.52</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0.20%</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4.19</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procedure</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4.52</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0.20%</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4.19</w:t>
            </w:r>
          </w:p>
        </w:tc>
      </w:tr>
      <w:tr>
        <w:trPr>
          <w:cantSplit/>
        </w:trPr>
        <w:tc>
          <w:tcPr>
            <w:tcW w:type="dxa" w:w="221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judgment</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1.11</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1.54</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interval only</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2.88</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2.17%</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3.18</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blind wait</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0.11</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3.54</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protection both ways, no draw</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1.11</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1.54</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protection both ways + interval</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2.88</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2.17%</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3.18</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procedure</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2.88</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2.17%</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3.18</w:t>
            </w:r>
          </w:p>
        </w:tc>
      </w:tr>
      <w:tr>
        <w:trPr>
          <w:cantSplit/>
        </w:trPr>
        <w:tc>
          <w:tcPr>
            <w:tcW w:type="dxa" w:w="221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judgment</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3.76</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0.77%</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10.9%</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1.99</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interval only</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4.10</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0.60%</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3.41</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blind wait</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2.76</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0.77%</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10.9%</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3.99</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protection both ways, no draw</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4.58</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0.38%</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2.88</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protection both ways + interval</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4.43</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0.34%</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3.81</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procedure</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4.36</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0.39%</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2.7%</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3.71</w:t>
            </w:r>
          </w:p>
        </w:tc>
      </w:tr>
      <w:tr>
        <w:trPr>
          <w:cantSplit/>
        </w:trPr>
        <w:tc>
          <w:tcPr>
            <w:tcW w:type="dxa" w:w="221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own judgment</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3.71</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0.05%</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13.9%</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2.57</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interval only</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4.15</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0.06%</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5.6%</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4.01</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blind wait</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2.71</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0.05%</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13.9%</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4.57</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protection both ways, no draw</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4.68</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0.13%</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2.6%</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3.59</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protection both ways + interval</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4.51</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0.12%</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4.26</w:t>
            </w:r>
          </w:p>
        </w:tc>
      </w:tr>
      <w:tr>
        <w:trPr>
          <w:cantSplit/>
        </w:trPr>
        <w:tc>
          <w:tcPr>
            <w:tcW w:type="dxa" w:w="2218"/>
            <w:vAlign w:val="center"/>
          </w:tcPr>
          <w:p>
            <w:pPr>
              <w:pStyle w:val="Compact"/>
              <w:keepNext w:val="0"/>
              <w:widowControl/>
              <w:spacing w:before="0" w:after="0" w:line="240" w:lineRule="auto"/>
              <w:ind w:firstLine="0"/>
              <w:jc w:val="left"/>
            </w:pPr>
          </w:p>
        </w:tc>
        <w:tc>
          <w:tcPr>
            <w:tcW w:type="dxa" w:w="4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the procedure</w:t>
            </w:r>
          </w:p>
        </w:tc>
        <w:tc>
          <w:tcPr>
            <w:tcW w:type="dxa" w:w="1664"/>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4.22</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0.07%</w:t>
            </w:r>
          </w:p>
        </w:tc>
        <w:tc>
          <w:tcPr>
            <w:tcW w:type="dxa" w:w="184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w:t>
            </w:r>
          </w:p>
        </w:tc>
        <w:tc>
          <w:tcPr>
            <w:tcW w:type="dxa" w:w="147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4.07</w:t>
            </w:r>
          </w:p>
        </w:tc>
      </w:tr>
    </w:tbl>
    <w:p>
      <w:pPr>
        <w:pStyle w:val="BodyText"/>
        <w:keepNext/>
        <w:pageBreakBefore/>
        <w:widowControl/>
        <w:spacing w:before="200" w:after="120"/>
        <w:ind w:firstLine="0"/>
      </w:pPr>
      <w:r>
        <w:rPr>
          <w:bCs/>
          <w:rFonts w:ascii="Times New Roman" w:hAnsi="Times New Roman" w:eastAsia="Times New Roman" w:cs="Times New Roman"/>
          <w:b/>
          <w:color w:val="000000"/>
        </w:rPr>
        <w:t>Supplementary Table S9.</w:t>
      </w:r>
      <w:r>
        <w:rPr>
          <w:bCs/>
          <w:rFonts w:ascii="Times New Roman" w:hAnsi="Times New Roman" w:eastAsia="Times New Roman" w:cs="Times New Roman"/>
          <w:b w:val="0"/>
          <w:color w:val="000000"/>
        </w:rPr>
        <w:t xml:space="preserve"> The agent-timed decision over the agent’s evidence weighting.</w:t>
      </w:r>
      <w:r>
        <w:rPr>
          <w:rFonts w:ascii="Times New Roman" w:hAnsi="Times New Roman" w:eastAsia="Times New Roman" w:cs="Times New Roman"/>
          <w:b w:val="0"/>
          <w:color w:val="000000"/>
        </w:rPr>
        <w:t xml:space="preserve"> An agent with weighting γ</w:t>
      </w:r>
      <w:r>
        <w:rPr>
          <w:rFonts w:ascii="Times New Roman" w:hAnsi="Times New Roman" w:eastAsia="Times New Roman" w:cs="Times New Roman"/>
          <w:b w:val="0"/>
          <w:color w:val="000000"/>
          <w:vertAlign w:val="subscript"/>
        </w:rPr>
        <w:t xml:space="preserve">a</w:t>
      </w:r>
      <w:r>
        <w:rPr>
          <w:rFonts w:ascii="Times New Roman" w:hAnsi="Times New Roman" w:eastAsia="Times New Roman" w:cs="Times New Roman"/>
          <w:b w:val="0"/>
          <w:color w:val="000000"/>
        </w:rPr>
        <w:t xml:space="preserve"> and material costs collects observations until its own policy would act or give up; the person must then act or give up on the same evidence, with no further checking. A calibrated agent hands everyone the calibrated outcome; a mildly overconfident one (γ</w:t>
      </w:r>
      <w:r>
        <w:rPr>
          <w:rFonts w:ascii="Times New Roman" w:hAnsi="Times New Roman" w:eastAsia="Times New Roman" w:cs="Times New Roman"/>
          <w:b w:val="0"/>
          <w:color w:val="000000"/>
          <w:vertAlign w:val="subscript"/>
        </w:rPr>
        <w:t xml:space="preserve">a</w:t>
      </w:r>
      <w:r>
        <w:rPr>
          <w:rFonts w:ascii="Times New Roman" w:hAnsi="Times New Roman" w:eastAsia="Times New Roman" w:cs="Times New Roman"/>
          <w:b w:val="0"/>
          <w:color w:val="000000"/>
        </w:rPr>
        <w:t xml:space="preserve"> = 2) helps the overconfident person and harms the fearful; γ</w:t>
      </w:r>
      <w:r>
        <w:rPr>
          <w:rFonts w:ascii="Times New Roman" w:hAnsi="Times New Roman" w:eastAsia="Times New Roman" w:cs="Times New Roman"/>
          <w:b w:val="0"/>
          <w:color w:val="000000"/>
          <w:vertAlign w:val="subscript"/>
        </w:rPr>
        <w:t xml:space="preserve">a</w:t>
      </w:r>
      <w:r>
        <w:rPr>
          <w:rFonts w:ascii="Times New Roman" w:hAnsi="Times New Roman" w:eastAsia="Times New Roman" w:cs="Times New Roman"/>
          <w:b w:val="0"/>
          <w:color w:val="000000"/>
        </w:rPr>
        <w:t xml:space="preserve"> = 4 harms three of the four types. 60,000 decisions per person, seed 31. Data in </w:t>
      </w:r>
      <w:r>
        <w:rPr>
          <w:rStyle w:val="VerbatimChar"/>
          <w:rFonts w:ascii="Times New Roman" w:hAnsi="Times New Roman" w:eastAsia="Times New Roman" w:cs="Times New Roman"/>
          <w:b w:val="0"/>
          <w:color w:val="000000"/>
        </w:rPr>
        <w:t xml:space="preserve">sP_agent.csv</w:t>
      </w:r>
      <w:r>
        <w:rPr>
          <w:rFonts w:ascii="Times New Roman" w:hAnsi="Times New Roman" w:eastAsia="Times New Roman" w:cs="Times New Roman"/>
          <w:b w:val="0"/>
          <w:color w:val="000000"/>
        </w:rPr>
        <w:t xml:space="preserve">.</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1622"/>
        <w:gridCol w:w="3015"/>
        <w:gridCol w:w="2087"/>
        <w:gridCol w:w="2319"/>
        <w:gridCol w:w="2319"/>
        <w:gridCol w:w="2319"/>
      </w:tblGrid>
      <w:tr>
        <w:trPr>
          <w:tblHeader w:val="true"/>
          <w:cantSplit/>
        </w:trPr>
        <w:tc>
          <w:tcPr>
            <w:tcW w:type="dxa" w:w="1622"/>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Agent γ</w:t>
            </w:r>
            <w:r>
              <w:rPr>
                <w:rFonts w:ascii="Times New Roman" w:hAnsi="Times New Roman" w:eastAsia="Times New Roman" w:cs="Times New Roman"/>
                <w:b/>
                <w:color w:val="000000"/>
                <w:sz w:val="18"/>
                <w:vertAlign w:val="subscript"/>
              </w:rPr>
              <w:t xml:space="preserve">a</w:t>
            </w:r>
          </w:p>
        </w:tc>
        <w:tc>
          <w:tcPr>
            <w:tcW w:type="dxa" w:w="3015"/>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Person</w:t>
            </w:r>
          </w:p>
        </w:tc>
        <w:tc>
          <w:tcPr>
            <w:tcW w:type="dxa" w:w="208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Own payoff</w:t>
            </w:r>
          </w:p>
        </w:tc>
        <w:tc>
          <w:tcPr>
            <w:tcW w:type="dxa" w:w="231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Agent-timed payoff</w:t>
            </w:r>
          </w:p>
        </w:tc>
        <w:tc>
          <w:tcPr>
            <w:tcW w:type="dxa" w:w="231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Actions in the bad state</w:t>
            </w:r>
          </w:p>
        </w:tc>
        <w:tc>
          <w:tcPr>
            <w:tcW w:type="dxa" w:w="231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 opportunities</w:t>
            </w:r>
          </w:p>
        </w:tc>
      </w:tr>
      <w:tr>
        <w:trPr>
          <w:cantSplit/>
        </w:trPr>
        <w:tc>
          <w:tcPr>
            <w:tcW w:type="dxa" w:w="1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w:t>
            </w: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4.79</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4.79</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w:t>
            </w:r>
          </w:p>
        </w:tc>
      </w:tr>
      <w:tr>
        <w:trPr>
          <w:cantSplit/>
        </w:trPr>
        <w:tc>
          <w:tcPr>
            <w:tcW w:type="dxa" w:w="1622"/>
            <w:vAlign w:val="center"/>
          </w:tcPr>
          <w:p>
            <w:pPr>
              <w:pStyle w:val="Compact"/>
              <w:keepNext w:val="0"/>
              <w:widowControl/>
              <w:spacing w:before="0" w:after="0" w:line="240" w:lineRule="auto"/>
              <w:ind w:firstLine="0"/>
              <w:jc w:val="left"/>
            </w:pP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1.06</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4.79</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w:t>
            </w:r>
          </w:p>
        </w:tc>
      </w:tr>
      <w:tr>
        <w:trPr>
          <w:cantSplit/>
        </w:trPr>
        <w:tc>
          <w:tcPr>
            <w:tcW w:type="dxa" w:w="1622"/>
            <w:vAlign w:val="center"/>
          </w:tcPr>
          <w:p>
            <w:pPr>
              <w:pStyle w:val="Compact"/>
              <w:keepNext w:val="0"/>
              <w:widowControl/>
              <w:spacing w:before="0" w:after="0" w:line="240" w:lineRule="auto"/>
              <w:ind w:firstLine="0"/>
              <w:jc w:val="left"/>
            </w:pP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3.74</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4.79</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w:t>
            </w:r>
          </w:p>
        </w:tc>
      </w:tr>
      <w:tr>
        <w:trPr>
          <w:cantSplit/>
        </w:trPr>
        <w:tc>
          <w:tcPr>
            <w:tcW w:type="dxa" w:w="1622"/>
            <w:vAlign w:val="center"/>
          </w:tcPr>
          <w:p>
            <w:pPr>
              <w:pStyle w:val="Compact"/>
              <w:keepNext w:val="0"/>
              <w:widowControl/>
              <w:spacing w:before="0" w:after="0" w:line="240" w:lineRule="auto"/>
              <w:ind w:firstLine="0"/>
              <w:jc w:val="left"/>
            </w:pP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3.74</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4.79</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w:t>
            </w:r>
          </w:p>
        </w:tc>
      </w:tr>
      <w:tr>
        <w:trPr>
          <w:cantSplit/>
        </w:trPr>
        <w:tc>
          <w:tcPr>
            <w:tcW w:type="dxa" w:w="1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2</w:t>
            </w: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4.79</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3.67</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1.72%</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w:t>
            </w:r>
          </w:p>
        </w:tc>
      </w:tr>
      <w:tr>
        <w:trPr>
          <w:cantSplit/>
        </w:trPr>
        <w:tc>
          <w:tcPr>
            <w:tcW w:type="dxa" w:w="1622"/>
            <w:vAlign w:val="center"/>
          </w:tcPr>
          <w:p>
            <w:pPr>
              <w:pStyle w:val="Compact"/>
              <w:keepNext w:val="0"/>
              <w:widowControl/>
              <w:spacing w:before="0" w:after="0" w:line="240" w:lineRule="auto"/>
              <w:ind w:firstLine="0"/>
              <w:jc w:val="left"/>
            </w:pP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1.06</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3.67</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1.72%</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w:t>
            </w:r>
          </w:p>
        </w:tc>
      </w:tr>
      <w:tr>
        <w:trPr>
          <w:cantSplit/>
        </w:trPr>
        <w:tc>
          <w:tcPr>
            <w:tcW w:type="dxa" w:w="1622"/>
            <w:vAlign w:val="center"/>
          </w:tcPr>
          <w:p>
            <w:pPr>
              <w:pStyle w:val="Compact"/>
              <w:keepNext w:val="0"/>
              <w:widowControl/>
              <w:spacing w:before="0" w:after="0" w:line="240" w:lineRule="auto"/>
              <w:ind w:firstLine="0"/>
              <w:jc w:val="left"/>
            </w:pP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3.74</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3.67</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1.72%</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w:t>
            </w:r>
          </w:p>
        </w:tc>
      </w:tr>
      <w:tr>
        <w:trPr>
          <w:cantSplit/>
        </w:trPr>
        <w:tc>
          <w:tcPr>
            <w:tcW w:type="dxa" w:w="1622"/>
            <w:vAlign w:val="center"/>
          </w:tcPr>
          <w:p>
            <w:pPr>
              <w:pStyle w:val="Compact"/>
              <w:keepNext w:val="0"/>
              <w:widowControl/>
              <w:spacing w:before="0" w:after="0" w:line="240" w:lineRule="auto"/>
              <w:ind w:firstLine="0"/>
              <w:jc w:val="left"/>
            </w:pP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3.74</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0.41</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0.09%</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38.6%</w:t>
            </w:r>
          </w:p>
        </w:tc>
      </w:tr>
      <w:tr>
        <w:trPr>
          <w:cantSplit/>
        </w:trPr>
        <w:tc>
          <w:tcPr>
            <w:tcW w:type="dxa" w:w="1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4</w:t>
            </w: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4.79</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1.57</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2.05%</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19.4%</w:t>
            </w:r>
          </w:p>
        </w:tc>
      </w:tr>
      <w:tr>
        <w:trPr>
          <w:cantSplit/>
        </w:trPr>
        <w:tc>
          <w:tcPr>
            <w:tcW w:type="dxa" w:w="1622"/>
            <w:vAlign w:val="center"/>
          </w:tcPr>
          <w:p>
            <w:pPr>
              <w:pStyle w:val="Compact"/>
              <w:keepNext w:val="0"/>
              <w:widowControl/>
              <w:spacing w:before="0" w:after="0" w:line="240" w:lineRule="auto"/>
              <w:ind w:firstLine="0"/>
              <w:jc w:val="left"/>
            </w:pP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1.06</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1.06</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4.48%</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r>
      <w:tr>
        <w:trPr>
          <w:cantSplit/>
        </w:trPr>
        <w:tc>
          <w:tcPr>
            <w:tcW w:type="dxa" w:w="1622"/>
            <w:vAlign w:val="center"/>
          </w:tcPr>
          <w:p>
            <w:pPr>
              <w:pStyle w:val="Compact"/>
              <w:keepNext w:val="0"/>
              <w:widowControl/>
              <w:spacing w:before="0" w:after="0" w:line="240" w:lineRule="auto"/>
              <w:ind w:firstLine="0"/>
              <w:jc w:val="left"/>
            </w:pP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3.74</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1.57</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2.05%</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19.4%</w:t>
            </w:r>
          </w:p>
        </w:tc>
      </w:tr>
      <w:tr>
        <w:trPr>
          <w:cantSplit/>
        </w:trPr>
        <w:tc>
          <w:tcPr>
            <w:tcW w:type="dxa" w:w="1622"/>
            <w:vAlign w:val="center"/>
          </w:tcPr>
          <w:p>
            <w:pPr>
              <w:pStyle w:val="Compact"/>
              <w:keepNext w:val="0"/>
              <w:widowControl/>
              <w:spacing w:before="0" w:after="0" w:line="240" w:lineRule="auto"/>
              <w:ind w:firstLine="0"/>
              <w:jc w:val="left"/>
            </w:pP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3.74</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−0.37</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0.03%</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46.9%</w:t>
            </w:r>
          </w:p>
        </w:tc>
      </w:tr>
      <w:tr>
        <w:trPr>
          <w:cantSplit/>
        </w:trPr>
        <w:tc>
          <w:tcPr>
            <w:tcW w:type="dxa" w:w="1622"/>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6</w:t>
            </w: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4.79</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1.16</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1.68%</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25.5%</w:t>
            </w:r>
          </w:p>
        </w:tc>
      </w:tr>
      <w:tr>
        <w:trPr>
          <w:cantSplit/>
        </w:trPr>
        <w:tc>
          <w:tcPr>
            <w:tcW w:type="dxa" w:w="1622"/>
            <w:vAlign w:val="center"/>
          </w:tcPr>
          <w:p>
            <w:pPr>
              <w:pStyle w:val="Compact"/>
              <w:keepNext w:val="0"/>
              <w:widowControl/>
              <w:spacing w:before="0" w:after="0" w:line="240" w:lineRule="auto"/>
              <w:ind w:firstLine="0"/>
              <w:jc w:val="left"/>
            </w:pP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1.06</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−0.50</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6.07%</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8.4%</w:t>
            </w:r>
          </w:p>
        </w:tc>
      </w:tr>
      <w:tr>
        <w:trPr>
          <w:cantSplit/>
        </w:trPr>
        <w:tc>
          <w:tcPr>
            <w:tcW w:type="dxa" w:w="1622"/>
            <w:vAlign w:val="center"/>
          </w:tcPr>
          <w:p>
            <w:pPr>
              <w:pStyle w:val="Compact"/>
              <w:keepNext w:val="0"/>
              <w:widowControl/>
              <w:spacing w:before="0" w:after="0" w:line="240" w:lineRule="auto"/>
              <w:ind w:firstLine="0"/>
              <w:jc w:val="left"/>
            </w:pP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3.74</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1.16</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1.68%</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25.5%</w:t>
            </w:r>
          </w:p>
        </w:tc>
      </w:tr>
      <w:tr>
        <w:trPr>
          <w:cantSplit/>
        </w:trPr>
        <w:tc>
          <w:tcPr>
            <w:tcW w:type="dxa" w:w="1622"/>
            <w:vAlign w:val="center"/>
          </w:tcPr>
          <w:p>
            <w:pPr>
              <w:pStyle w:val="Compact"/>
              <w:keepNext w:val="0"/>
              <w:widowControl/>
              <w:spacing w:before="0" w:after="0" w:line="240" w:lineRule="auto"/>
              <w:ind w:firstLine="0"/>
              <w:jc w:val="left"/>
            </w:pPr>
          </w:p>
        </w:tc>
        <w:tc>
          <w:tcPr>
            <w:tcW w:type="dxa" w:w="3015"/>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20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3.74</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−0.39</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0.03%</w:t>
            </w:r>
          </w:p>
        </w:tc>
        <w:tc>
          <w:tcPr>
            <w:tcW w:type="dxa" w:w="231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47.9%</w:t>
            </w:r>
          </w:p>
        </w:tc>
      </w:tr>
    </w:tbl>
    <w:p>
      <w:pPr>
        <w:pStyle w:val="BodyText"/>
        <w:keepNext/>
        <w:pageBreakBefore/>
        <w:widowControl/>
        <w:spacing w:before="200" w:after="120"/>
        <w:ind w:firstLine="0"/>
      </w:pPr>
      <w:r>
        <w:rPr>
          <w:bCs/>
          <w:rFonts w:ascii="Times New Roman" w:hAnsi="Times New Roman" w:eastAsia="Times New Roman" w:cs="Times New Roman"/>
          <w:b/>
          <w:color w:val="000000"/>
        </w:rPr>
        <w:t>Supplementary Table S10.</w:t>
      </w:r>
      <w:r>
        <w:rPr>
          <w:bCs/>
          <w:rFonts w:ascii="Times New Roman" w:hAnsi="Times New Roman" w:eastAsia="Times New Roman" w:cs="Times New Roman"/>
          <w:b w:val="0"/>
          <w:color w:val="000000"/>
        </w:rPr>
        <w:t xml:space="preserve"> Every person after an agent hands over.</w:t>
      </w:r>
      <w:r>
        <w:rPr>
          <w:rFonts w:ascii="Times New Roman" w:hAnsi="Times New Roman" w:eastAsia="Times New Roman" w:cs="Times New Roman"/>
          <w:b w:val="0"/>
          <w:color w:val="000000"/>
        </w:rPr>
        <w:t xml:space="preserve"> (a) Agent weighting γ</w:t>
      </w:r>
      <w:r>
        <w:rPr>
          <w:rFonts w:ascii="Times New Roman" w:hAnsi="Times New Roman" w:eastAsia="Times New Roman" w:cs="Times New Roman"/>
          <w:b w:val="0"/>
          <w:color w:val="000000"/>
          <w:vertAlign w:val="subscript"/>
        </w:rPr>
        <w:t xml:space="preserve">a</w:t>
      </w:r>
      <w:r>
        <w:rPr>
          <w:rFonts w:ascii="Times New Roman" w:hAnsi="Times New Roman" w:eastAsia="Times New Roman" w:cs="Times New Roman"/>
          <w:b w:val="0"/>
          <w:color w:val="000000"/>
        </w:rPr>
        <w:t xml:space="preserve"> = 4, the setting of main Table 4’s fourth row and of Supplementary Fig. S5. Arrangements as in the Supplementary Note “Agent checking and follower scenarios”; the follower’s A and B equal the decision at hand-off and its C and D equal the agent’s own continuation under the requirement. Percentages are shares of all 100,000 decisions per person; seed 31. Data in </w:t>
      </w:r>
      <w:r>
        <w:rPr>
          <w:rStyle w:val="VerbatimChar"/>
          <w:rFonts w:ascii="Times New Roman" w:hAnsi="Times New Roman" w:eastAsia="Times New Roman" w:cs="Times New Roman"/>
          <w:b w:val="0"/>
          <w:color w:val="000000"/>
        </w:rPr>
        <w:t xml:space="preserve">sS10_handoff_persons.csv</w:t>
      </w:r>
      <w:r>
        <w:rPr>
          <w:rFonts w:ascii="Times New Roman" w:hAnsi="Times New Roman" w:eastAsia="Times New Roman" w:cs="Times New Roman"/>
          <w:b w:val="0"/>
          <w:color w:val="000000"/>
        </w:rPr>
        <w:t xml:space="preserve">.</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2502"/>
        <w:gridCol w:w="2169"/>
        <w:gridCol w:w="1502"/>
        <w:gridCol w:w="1502"/>
        <w:gridCol w:w="1502"/>
        <w:gridCol w:w="1502"/>
        <w:gridCol w:w="1502"/>
        <w:gridCol w:w="1502"/>
      </w:tblGrid>
      <w:tr>
        <w:trPr>
          <w:tblHeader w:val="true"/>
          <w:cantSplit/>
        </w:trPr>
        <w:tc>
          <w:tcPr>
            <w:tcW w:type="dxa" w:w="2502"/>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Person</w:t>
            </w:r>
          </w:p>
        </w:tc>
        <w:tc>
          <w:tcPr>
            <w:tcW w:type="dxa" w:w="2169"/>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Measure</w:t>
            </w:r>
          </w:p>
        </w:tc>
        <w:tc>
          <w:tcPr>
            <w:tcW w:type="dxa" w:w="1502"/>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Own judgment</w:t>
            </w:r>
          </w:p>
        </w:tc>
        <w:tc>
          <w:tcPr>
            <w:tcW w:type="dxa" w:w="1502"/>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Decide at hand-off</w:t>
            </w:r>
          </w:p>
        </w:tc>
        <w:tc>
          <w:tcPr>
            <w:tcW w:type="dxa" w:w="1502"/>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 optional checks</w:t>
            </w:r>
          </w:p>
        </w:tc>
        <w:tc>
          <w:tcPr>
            <w:tcW w:type="dxa" w:w="1502"/>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 A + relief</w:t>
            </w:r>
          </w:p>
        </w:tc>
        <w:tc>
          <w:tcPr>
            <w:tcW w:type="dxa" w:w="1502"/>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C: required checks</w:t>
            </w:r>
          </w:p>
        </w:tc>
        <w:tc>
          <w:tcPr>
            <w:tcW w:type="dxa" w:w="1502"/>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D: C + relief</w:t>
            </w:r>
          </w:p>
        </w:tc>
      </w:tr>
      <w:tr>
        <w:trPr>
          <w:cantSplit/>
        </w:trPr>
        <w:tc>
          <w:tcPr>
            <w:tcW w:type="dxa" w:w="2502"/>
            <w:vAlign w:val="center"/>
          </w:tcPr>
          <w:p>
            <w:pPr>
              <w:pStyle w:val="Compact"/>
              <w:keepNext w:val="0"/>
              <w:widowControl/>
              <w:spacing w:before="0" w:after="0" w:line="240" w:lineRule="auto"/>
              <w:ind w:firstLine="0"/>
              <w:jc w:val="left"/>
            </w:pPr>
            <w:r>
              <w:rPr>
                <w:bCs/>
                <w:rFonts w:ascii="Times New Roman" w:hAnsi="Times New Roman" w:eastAsia="Times New Roman" w:cs="Times New Roman"/>
                <w:b w:val="0"/>
                <w:color w:val="000000"/>
                <w:sz w:val="18"/>
              </w:rPr>
              <w:t xml:space="preserve">calibrated</w:t>
            </w: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average payoff</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1.60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4.65</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4.65</w:t>
            </w:r>
          </w:p>
        </w:tc>
      </w:tr>
      <w:tr>
        <w:trPr>
          <w:cantSplit/>
        </w:trPr>
        <w:tc>
          <w:tcPr>
            <w:tcW w:type="dxa" w:w="2502"/>
            <w:vAlign w:val="center"/>
          </w:tcPr>
          <w:p>
            <w:pPr>
              <w:pStyle w:val="Compact"/>
              <w:keepNext w:val="0"/>
              <w:widowControl/>
              <w:spacing w:before="0" w:after="0" w:line="240" w:lineRule="auto"/>
              <w:ind w:firstLine="0"/>
              <w:jc w:val="left"/>
            </w:pP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actions in the bad state</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1.98%</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0.18%</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0.18%</w:t>
            </w:r>
          </w:p>
        </w:tc>
      </w:tr>
      <w:tr>
        <w:trPr>
          <w:cantSplit/>
        </w:trPr>
        <w:tc>
          <w:tcPr>
            <w:tcW w:type="dxa" w:w="2502"/>
            <w:vAlign w:val="center"/>
          </w:tcPr>
          <w:p>
            <w:pPr>
              <w:pStyle w:val="Compact"/>
              <w:keepNext w:val="0"/>
              <w:widowControl/>
              <w:spacing w:before="0" w:after="0" w:line="240" w:lineRule="auto"/>
              <w:ind w:firstLine="0"/>
              <w:jc w:val="left"/>
            </w:pP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missed opportunities</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19.2%</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r>
      <w:tr>
        <w:trPr>
          <w:cantSplit/>
        </w:trPr>
        <w:tc>
          <w:tcPr>
            <w:tcW w:type="dxa" w:w="2502"/>
            <w:vAlign w:val="center"/>
          </w:tcPr>
          <w:p>
            <w:pPr>
              <w:pStyle w:val="Compact"/>
              <w:keepNext w:val="0"/>
              <w:widowControl/>
              <w:spacing w:before="0" w:after="0" w:line="240" w:lineRule="auto"/>
              <w:ind w:firstLine="0"/>
              <w:jc w:val="left"/>
            </w:pPr>
            <w:r>
              <w:rPr>
                <w:bCs/>
                <w:rFonts w:ascii="Times New Roman" w:hAnsi="Times New Roman" w:eastAsia="Times New Roman" w:cs="Times New Roman"/>
                <w:b w:val="0"/>
                <w:color w:val="000000"/>
                <w:sz w:val="18"/>
              </w:rPr>
              <w:t xml:space="preserve">overconfident</w:t>
            </w: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average payoff</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3.50</w:t>
            </w:r>
          </w:p>
        </w:tc>
      </w:tr>
      <w:tr>
        <w:trPr>
          <w:cantSplit/>
        </w:trPr>
        <w:tc>
          <w:tcPr>
            <w:tcW w:type="dxa" w:w="2502"/>
            <w:vAlign w:val="center"/>
          </w:tcPr>
          <w:p>
            <w:pPr>
              <w:pStyle w:val="Compact"/>
              <w:keepNext w:val="0"/>
              <w:widowControl/>
              <w:spacing w:before="0" w:after="0" w:line="240" w:lineRule="auto"/>
              <w:ind w:firstLine="0"/>
              <w:jc w:val="left"/>
            </w:pP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actions in the bad state</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1.15%</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1.15%</w:t>
            </w:r>
          </w:p>
        </w:tc>
      </w:tr>
      <w:tr>
        <w:trPr>
          <w:cantSplit/>
        </w:trPr>
        <w:tc>
          <w:tcPr>
            <w:tcW w:type="dxa" w:w="2502"/>
            <w:vAlign w:val="center"/>
          </w:tcPr>
          <w:p>
            <w:pPr>
              <w:pStyle w:val="Compact"/>
              <w:keepNext w:val="0"/>
              <w:widowControl/>
              <w:spacing w:before="0" w:after="0" w:line="240" w:lineRule="auto"/>
              <w:ind w:firstLine="0"/>
              <w:jc w:val="left"/>
            </w:pP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missed opportunities</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7.8%</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7.8%</w:t>
            </w:r>
          </w:p>
        </w:tc>
      </w:tr>
      <w:tr>
        <w:trPr>
          <w:cantSplit/>
        </w:trPr>
        <w:tc>
          <w:tcPr>
            <w:tcW w:type="dxa" w:w="2502"/>
            <w:vAlign w:val="center"/>
          </w:tcPr>
          <w:p>
            <w:pPr>
              <w:pStyle w:val="Compact"/>
              <w:keepNext w:val="0"/>
              <w:widowControl/>
              <w:spacing w:before="0" w:after="0" w:line="240" w:lineRule="auto"/>
              <w:ind w:firstLine="0"/>
              <w:jc w:val="left"/>
            </w:pPr>
            <w:r>
              <w:rPr>
                <w:bCs/>
                <w:rFonts w:ascii="Times New Roman" w:hAnsi="Times New Roman" w:eastAsia="Times New Roman" w:cs="Times New Roman"/>
                <w:b w:val="0"/>
                <w:color w:val="000000"/>
                <w:sz w:val="18"/>
              </w:rPr>
              <w:t xml:space="preserve">anxious</w:t>
            </w: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average payoff</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1.60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3.95</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4.56</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4.09</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4.52</w:t>
            </w:r>
          </w:p>
        </w:tc>
      </w:tr>
      <w:tr>
        <w:trPr>
          <w:cantSplit/>
        </w:trPr>
        <w:tc>
          <w:tcPr>
            <w:tcW w:type="dxa" w:w="2502"/>
            <w:vAlign w:val="center"/>
          </w:tcPr>
          <w:p>
            <w:pPr>
              <w:pStyle w:val="Compact"/>
              <w:keepNext w:val="0"/>
              <w:widowControl/>
              <w:spacing w:before="0" w:after="0" w:line="240" w:lineRule="auto"/>
              <w:ind w:firstLine="0"/>
              <w:jc w:val="left"/>
            </w:pP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actions in the bad state</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0.77%</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1.98%</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0.81%</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0.42%</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0.39%</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0.29%</w:t>
            </w:r>
          </w:p>
        </w:tc>
      </w:tr>
      <w:tr>
        <w:trPr>
          <w:cantSplit/>
        </w:trPr>
        <w:tc>
          <w:tcPr>
            <w:tcW w:type="dxa" w:w="2502"/>
            <w:vAlign w:val="center"/>
          </w:tcPr>
          <w:p>
            <w:pPr>
              <w:pStyle w:val="Compact"/>
              <w:keepNext w:val="0"/>
              <w:widowControl/>
              <w:spacing w:before="0" w:after="0" w:line="240" w:lineRule="auto"/>
              <w:ind w:firstLine="0"/>
              <w:jc w:val="left"/>
            </w:pP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missed opportunities</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10.8%</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19.2%</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8.2%</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8.4%</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w:t>
            </w:r>
          </w:p>
        </w:tc>
      </w:tr>
      <w:tr>
        <w:trPr>
          <w:cantSplit/>
        </w:trPr>
        <w:tc>
          <w:tcPr>
            <w:tcW w:type="dxa" w:w="2502"/>
            <w:vAlign w:val="center"/>
          </w:tcPr>
          <w:p>
            <w:pPr>
              <w:pStyle w:val="Compact"/>
              <w:keepNext w:val="0"/>
              <w:widowControl/>
              <w:spacing w:before="0" w:after="0" w:line="240" w:lineRule="auto"/>
              <w:ind w:firstLine="0"/>
              <w:jc w:val="left"/>
            </w:pPr>
            <w:r>
              <w:rPr>
                <w:bCs/>
                <w:rFonts w:ascii="Times New Roman" w:hAnsi="Times New Roman" w:eastAsia="Times New Roman" w:cs="Times New Roman"/>
                <w:b w:val="0"/>
                <w:color w:val="000000"/>
                <w:sz w:val="18"/>
              </w:rPr>
              <w:t xml:space="preserve">fearful</w:t>
            </w: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average payoff</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3.69</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−0.35</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4.15</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4.68</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4.11</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4.63</w:t>
            </w:r>
          </w:p>
        </w:tc>
      </w:tr>
      <w:tr>
        <w:trPr>
          <w:cantSplit/>
        </w:trPr>
        <w:tc>
          <w:tcPr>
            <w:tcW w:type="dxa" w:w="2502"/>
            <w:vAlign w:val="center"/>
          </w:tcPr>
          <w:p>
            <w:pPr>
              <w:pStyle w:val="Compact"/>
              <w:keepNext w:val="0"/>
              <w:widowControl/>
              <w:spacing w:before="0" w:after="0" w:line="240" w:lineRule="auto"/>
              <w:ind w:firstLine="0"/>
              <w:jc w:val="left"/>
            </w:pP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actions in the bad state</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0.05%</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0.06%</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0.14%</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0.06%</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0.12%</w:t>
            </w:r>
          </w:p>
        </w:tc>
      </w:tr>
      <w:tr>
        <w:trPr>
          <w:cantSplit/>
        </w:trPr>
        <w:tc>
          <w:tcPr>
            <w:tcW w:type="dxa" w:w="2502"/>
            <w:vAlign w:val="center"/>
          </w:tcPr>
          <w:p>
            <w:pPr>
              <w:pStyle w:val="Compact"/>
              <w:keepNext w:val="0"/>
              <w:widowControl/>
              <w:spacing w:before="0" w:after="0" w:line="240" w:lineRule="auto"/>
              <w:ind w:firstLine="0"/>
              <w:jc w:val="left"/>
            </w:pP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missed opportunities</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13.9%</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46.8%</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8.9%</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2.5%</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8.9%</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2.5%</w:t>
            </w:r>
          </w:p>
        </w:tc>
      </w:tr>
      <w:tr>
        <w:trPr>
          <w:cantSplit/>
        </w:trPr>
        <w:tc>
          <w:tcPr>
            <w:tcW w:type="dxa" w:w="2502"/>
            <w:vAlign w:val="center"/>
          </w:tcPr>
          <w:p>
            <w:pPr>
              <w:pStyle w:val="Compact"/>
              <w:keepNext w:val="0"/>
              <w:widowControl/>
              <w:spacing w:before="0" w:after="0" w:line="240" w:lineRule="auto"/>
              <w:ind w:firstLine="0"/>
              <w:jc w:val="left"/>
            </w:pPr>
            <w:r>
              <w:rPr>
                <w:bCs/>
                <w:rFonts w:ascii="Times New Roman" w:hAnsi="Times New Roman" w:eastAsia="Times New Roman" w:cs="Times New Roman"/>
                <w:b w:val="0"/>
                <w:color w:val="000000"/>
                <w:sz w:val="18"/>
              </w:rPr>
              <w:t xml:space="preserve">overconfident and fearful</w:t>
            </w: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average payoff</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1.71</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1.77</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3.62</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3.56</w:t>
            </w:r>
          </w:p>
        </w:tc>
      </w:tr>
      <w:tr>
        <w:trPr>
          <w:cantSplit/>
        </w:trPr>
        <w:tc>
          <w:tcPr>
            <w:tcW w:type="dxa" w:w="2502"/>
            <w:vAlign w:val="center"/>
          </w:tcPr>
          <w:p>
            <w:pPr>
              <w:pStyle w:val="Compact"/>
              <w:keepNext w:val="0"/>
              <w:widowControl/>
              <w:spacing w:before="0" w:after="0" w:line="240" w:lineRule="auto"/>
              <w:ind w:firstLine="0"/>
              <w:jc w:val="left"/>
            </w:pP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actions in the bad state</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3.30%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3.51%</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0.98%</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1.08%</w:t>
            </w:r>
          </w:p>
        </w:tc>
      </w:tr>
      <w:tr>
        <w:trPr>
          <w:cantSplit/>
        </w:trPr>
        <w:tc>
          <w:tcPr>
            <w:tcW w:type="dxa" w:w="2502"/>
            <w:vAlign w:val="center"/>
          </w:tcPr>
          <w:p>
            <w:pPr>
              <w:pStyle w:val="Compact"/>
              <w:keepNext w:val="0"/>
              <w:widowControl/>
              <w:spacing w:before="0" w:after="0" w:line="240" w:lineRule="auto"/>
              <w:ind w:firstLine="0"/>
              <w:jc w:val="left"/>
            </w:pP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missed opportunities</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9.9%</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7.5%</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8.2%</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7.9%</w:t>
            </w:r>
          </w:p>
        </w:tc>
      </w:tr>
      <w:tr>
        <w:trPr>
          <w:cantSplit/>
        </w:trPr>
        <w:tc>
          <w:tcPr>
            <w:tcW w:type="dxa" w:w="2502"/>
            <w:vAlign w:val="center"/>
          </w:tcPr>
          <w:p>
            <w:pPr>
              <w:pStyle w:val="Compact"/>
              <w:keepNext w:val="0"/>
              <w:widowControl/>
              <w:spacing w:before="0" w:after="0" w:line="240" w:lineRule="auto"/>
              <w:ind w:firstLine="0"/>
              <w:jc w:val="left"/>
            </w:pPr>
            <w:r>
              <w:rPr>
                <w:bCs/>
                <w:rFonts w:ascii="Times New Roman" w:hAnsi="Times New Roman" w:eastAsia="Times New Roman" w:cs="Times New Roman"/>
                <w:b w:val="0"/>
                <w:color w:val="000000"/>
                <w:sz w:val="18"/>
              </w:rPr>
              <w:t xml:space="preserve">follower (agent’s own policy)</w:t>
            </w: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average payoff</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3.50</w:t>
            </w:r>
          </w:p>
        </w:tc>
      </w:tr>
      <w:tr>
        <w:trPr>
          <w:cantSplit/>
        </w:trPr>
        <w:tc>
          <w:tcPr>
            <w:tcW w:type="dxa" w:w="2502"/>
            <w:vAlign w:val="center"/>
          </w:tcPr>
          <w:p>
            <w:pPr>
              <w:pStyle w:val="Compact"/>
              <w:keepNext w:val="0"/>
              <w:widowControl/>
              <w:spacing w:before="0" w:after="0" w:line="240" w:lineRule="auto"/>
              <w:ind w:firstLine="0"/>
              <w:jc w:val="left"/>
            </w:pP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actions in the bad state</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1.15%</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1.15%</w:t>
            </w:r>
          </w:p>
        </w:tc>
      </w:tr>
      <w:tr>
        <w:trPr>
          <w:cantSplit/>
        </w:trPr>
        <w:tc>
          <w:tcPr>
            <w:tcW w:type="dxa" w:w="2502"/>
            <w:vAlign w:val="center"/>
          </w:tcPr>
          <w:p>
            <w:pPr>
              <w:pStyle w:val="Compact"/>
              <w:keepNext w:val="0"/>
              <w:widowControl/>
              <w:spacing w:before="0" w:after="0" w:line="240" w:lineRule="auto"/>
              <w:ind w:firstLine="0"/>
              <w:jc w:val="left"/>
            </w:pP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missed opportunities</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7.8%</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7.8%</w:t>
            </w:r>
          </w:p>
        </w:tc>
      </w:tr>
      <w:tr>
        <w:trPr>
          <w:cantSplit/>
        </w:trPr>
        <w:tc>
          <w:tcPr>
            <w:tcW w:type="dxa" w:w="2502"/>
            <w:vAlign w:val="center"/>
          </w:tcPr>
          <w:p>
            <w:pPr>
              <w:pStyle w:val="Compact"/>
              <w:keepNext w:val="0"/>
              <w:widowControl/>
              <w:spacing w:before="0" w:after="0" w:line="240" w:lineRule="auto"/>
              <w:ind w:firstLine="0"/>
              <w:jc w:val="left"/>
            </w:pPr>
            <w:r>
              <w:rPr>
                <w:bCs/>
                <w:rFonts w:ascii="Times New Roman" w:hAnsi="Times New Roman" w:eastAsia="Times New Roman" w:cs="Times New Roman"/>
                <w:b w:val="0"/>
                <w:color w:val="000000"/>
                <w:sz w:val="18"/>
              </w:rPr>
              <w:t xml:space="preserve">equal mix of the four</w:t>
            </w: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average payoff</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3.26</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0.95</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3.43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3.72</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4.09</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4.32</w:t>
            </w:r>
          </w:p>
        </w:tc>
      </w:tr>
      <w:tr>
        <w:trPr>
          <w:cantSplit/>
        </w:trPr>
        <w:tc>
          <w:tcPr>
            <w:tcW w:type="dxa" w:w="2502"/>
            <w:vAlign w:val="center"/>
          </w:tcPr>
          <w:p>
            <w:pPr>
              <w:pStyle w:val="Compact"/>
              <w:keepNext w:val="0"/>
              <w:widowControl/>
              <w:spacing w:before="0" w:after="0" w:line="240" w:lineRule="auto"/>
              <w:ind w:firstLine="0"/>
              <w:jc w:val="left"/>
            </w:pP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actions in the bad state</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1.39%</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2.12%</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1.40%</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1.33%</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0.45%</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0.44%</w:t>
            </w:r>
          </w:p>
        </w:tc>
      </w:tr>
      <w:tr>
        <w:trPr>
          <w:cantSplit/>
        </w:trPr>
        <w:tc>
          <w:tcPr>
            <w:tcW w:type="dxa" w:w="2502"/>
            <w:vAlign w:val="center"/>
          </w:tcPr>
          <w:p>
            <w:pPr>
              <w:pStyle w:val="Compact"/>
              <w:keepNext w:val="0"/>
              <w:widowControl/>
              <w:spacing w:before="0" w:after="0" w:line="240" w:lineRule="auto"/>
              <w:ind w:firstLine="0"/>
              <w:jc w:val="left"/>
            </w:pPr>
          </w:p>
        </w:tc>
        <w:tc>
          <w:tcPr>
            <w:tcW w:type="dxa" w:w="216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missed opportunities</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8.4%</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23.1%</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6.6%</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3.9%</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6.7%</w:t>
            </w:r>
          </w:p>
        </w:tc>
        <w:tc>
          <w:tcPr>
            <w:tcW w:type="dxa" w:w="1502"/>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w:t>
            </w:r>
          </w:p>
        </w:tc>
      </w:tr>
    </w:tbl>
    <w:p>
      <w:pPr>
        <w:pageBreakBefore/>
        <w:widowControl/>
        <w:pStyle w:val="Compact"/>
        <w:ind w:left="0" w:firstLine="0"/>
      </w:pPr>
      <w:r>
        <w:rPr>
          <w:rFonts w:ascii="Times New Roman" w:hAnsi="Times New Roman" w:eastAsia="Times New Roman" w:cs="Times New Roman"/>
          <w:color w:val="000000"/>
        </w:rPr>
        <w:t xml:space="preserve">Supplementary Table S10 (continued). (b) Average payoff for the other agent weightings.</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1539"/>
        <w:gridCol w:w="2908"/>
        <w:gridCol w:w="1539"/>
        <w:gridCol w:w="1539"/>
        <w:gridCol w:w="1539"/>
        <w:gridCol w:w="1539"/>
        <w:gridCol w:w="1539"/>
        <w:gridCol w:w="1539"/>
      </w:tblGrid>
      <w:tr>
        <w:trPr>
          <w:tblHeader w:val="true"/>
          <w:cantSplit/>
        </w:trPr>
        <w:tc>
          <w:tcPr>
            <w:tcW w:type="dxa" w:w="1539"/>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Agent</w:t>
            </w:r>
          </w:p>
        </w:tc>
        <w:tc>
          <w:tcPr>
            <w:tcW w:type="dxa" w:w="2908"/>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Person</w:t>
            </w:r>
          </w:p>
        </w:tc>
        <w:tc>
          <w:tcPr>
            <w:tcW w:type="dxa" w:w="153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Own judgment</w:t>
            </w:r>
          </w:p>
        </w:tc>
        <w:tc>
          <w:tcPr>
            <w:tcW w:type="dxa" w:w="153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Decide at hand-off</w:t>
            </w:r>
          </w:p>
        </w:tc>
        <w:tc>
          <w:tcPr>
            <w:tcW w:type="dxa" w:w="153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 optional checks</w:t>
            </w:r>
          </w:p>
        </w:tc>
        <w:tc>
          <w:tcPr>
            <w:tcW w:type="dxa" w:w="153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 A + relief</w:t>
            </w:r>
          </w:p>
        </w:tc>
        <w:tc>
          <w:tcPr>
            <w:tcW w:type="dxa" w:w="153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C: required checks</w:t>
            </w:r>
          </w:p>
        </w:tc>
        <w:tc>
          <w:tcPr>
            <w:tcW w:type="dxa" w:w="153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D: C + relief</w:t>
            </w:r>
          </w:p>
        </w:tc>
      </w:tr>
      <w:tr>
        <w:trPr>
          <w:cantSplit/>
        </w:trPr>
        <w:tc>
          <w:tcPr>
            <w:tcW w:type="dxa" w:w="153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γ</w:t>
            </w:r>
            <w:r>
              <w:rPr>
                <w:rFonts w:ascii="Times New Roman" w:hAnsi="Times New Roman" w:eastAsia="Times New Roman" w:cs="Times New Roman"/>
                <w:b w:val="0"/>
                <w:color w:val="000000"/>
                <w:sz w:val="18"/>
                <w:vertAlign w:val="subscript"/>
              </w:rPr>
              <w:t xml:space="preserve">a</w:t>
            </w:r>
            <w:r>
              <w:rPr>
                <w:rFonts w:ascii="Times New Roman" w:hAnsi="Times New Roman" w:eastAsia="Times New Roman" w:cs="Times New Roman"/>
                <w:b w:val="0"/>
                <w:color w:val="000000"/>
                <w:sz w:val="18"/>
              </w:rPr>
              <w:t xml:space="preserve"> = 1</w:t>
            </w: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4.26</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4.26</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4.32</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3.69</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4.69</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and fearful</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1.71</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4.27</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4.27</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follower (agent’s own policy)</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equal mix of the four</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3.26</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4.68</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4.31</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4.32</w:t>
            </w:r>
          </w:p>
        </w:tc>
      </w:tr>
      <w:tr>
        <w:trPr>
          <w:cantSplit/>
        </w:trPr>
        <w:tc>
          <w:tcPr>
            <w:tcW w:type="dxa" w:w="153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γ</w:t>
            </w:r>
            <w:r>
              <w:rPr>
                <w:rFonts w:ascii="Times New Roman" w:hAnsi="Times New Roman" w:eastAsia="Times New Roman" w:cs="Times New Roman"/>
                <w:b w:val="0"/>
                <w:color w:val="000000"/>
                <w:sz w:val="18"/>
                <w:vertAlign w:val="subscript"/>
              </w:rPr>
              <w:t xml:space="preserve">a</w:t>
            </w:r>
            <w:r>
              <w:rPr>
                <w:rFonts w:ascii="Times New Roman" w:hAnsi="Times New Roman" w:eastAsia="Times New Roman" w:cs="Times New Roman"/>
                <w:b w:val="0"/>
                <w:color w:val="000000"/>
                <w:sz w:val="18"/>
              </w:rPr>
              <w:t xml:space="preserve"> = 1.5</w:t>
            </w: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4.52</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4.52</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4.23</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4.61</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4.41</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4.47</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3.69</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1.56</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4.59</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4.68</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and fearful</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1.71</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4.26</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4.24</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follower (agent’s own policy)</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4.42</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4.42</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equal mix of the four</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3.26</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4.59</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4.43</w:t>
            </w:r>
          </w:p>
        </w:tc>
      </w:tr>
      <w:tr>
        <w:trPr>
          <w:cantSplit/>
        </w:trPr>
        <w:tc>
          <w:tcPr>
            <w:tcW w:type="dxa" w:w="153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γ</w:t>
            </w:r>
            <w:r>
              <w:rPr>
                <w:rFonts w:ascii="Times New Roman" w:hAnsi="Times New Roman" w:eastAsia="Times New Roman" w:cs="Times New Roman"/>
                <w:b w:val="0"/>
                <w:color w:val="000000"/>
                <w:sz w:val="18"/>
                <w:vertAlign w:val="subscript"/>
              </w:rPr>
              <w:t xml:space="preserve">a</w:t>
            </w:r>
            <w:r>
              <w:rPr>
                <w:rFonts w:ascii="Times New Roman" w:hAnsi="Times New Roman" w:eastAsia="Times New Roman" w:cs="Times New Roman"/>
                <w:b w:val="0"/>
                <w:color w:val="000000"/>
                <w:sz w:val="18"/>
              </w:rPr>
              <w:t xml:space="preserve"> = 2</w:t>
            </w: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4.58</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4.58</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4.04</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4.22</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4.56</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4.36</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4.47</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3.69</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4.48</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4.68</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4.38</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4.57</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and fearful</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1.71</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4.10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4.07</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follower (agent’s own policy)</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4.28</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4.28</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equal mix of the four</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3.26</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4.26</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4.39</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4.41</w:t>
            </w:r>
          </w:p>
        </w:tc>
      </w:tr>
      <w:tr>
        <w:trPr>
          <w:cantSplit/>
        </w:trPr>
        <w:tc>
          <w:tcPr>
            <w:tcW w:type="dxa" w:w="1539"/>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γ</w:t>
            </w:r>
            <w:r>
              <w:rPr>
                <w:rFonts w:ascii="Times New Roman" w:hAnsi="Times New Roman" w:eastAsia="Times New Roman" w:cs="Times New Roman"/>
                <w:b w:val="0"/>
                <w:color w:val="000000"/>
                <w:sz w:val="18"/>
                <w:vertAlign w:val="subscript"/>
              </w:rPr>
              <w:t xml:space="preserve">a</w:t>
            </w:r>
            <w:r>
              <w:rPr>
                <w:rFonts w:ascii="Times New Roman" w:hAnsi="Times New Roman" w:eastAsia="Times New Roman" w:cs="Times New Roman"/>
                <w:b w:val="0"/>
                <w:color w:val="000000"/>
                <w:sz w:val="18"/>
              </w:rPr>
              <w:t xml:space="preserve"> = 6</w:t>
            </w: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1.18</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4.65</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−0.62</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3.33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3.33</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1.18</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3.82</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4.56</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3.96</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4.53</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3.69</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−0.39</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4.01</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4.68</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3.98</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4.63</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and fearful</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1.71</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0.08</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1.72</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3.43</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3.39</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follower (agent’s own policy)</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−0.62</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−0.62</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−0.62</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−0.62</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3.05</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3.05</w:t>
            </w:r>
          </w:p>
        </w:tc>
      </w:tr>
      <w:tr>
        <w:trPr>
          <w:cantSplit/>
        </w:trPr>
        <w:tc>
          <w:tcPr>
            <w:tcW w:type="dxa" w:w="1539"/>
            <w:vAlign w:val="center"/>
          </w:tcPr>
          <w:p>
            <w:pPr>
              <w:pStyle w:val="Compact"/>
              <w:keepNext w:val="0"/>
              <w:widowControl/>
              <w:spacing w:before="0" w:after="0" w:line="240" w:lineRule="auto"/>
              <w:ind w:firstLine="0"/>
              <w:jc w:val="left"/>
            </w:pPr>
          </w:p>
        </w:tc>
        <w:tc>
          <w:tcPr>
            <w:tcW w:type="dxa" w:w="2908"/>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equal mix of the four</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3.26</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0.34</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3.37</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3.72</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3.98</w:t>
            </w:r>
          </w:p>
        </w:tc>
        <w:tc>
          <w:tcPr>
            <w:tcW w:type="dxa" w:w="153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4.29</w:t>
            </w:r>
          </w:p>
        </w:tc>
      </w:tr>
    </w:tbl>
    <w:p>
      <w:pPr>
        <w:pStyle w:val="BodyText"/>
        <w:keepNext/>
        <w:pageBreakBefore/>
        <w:widowControl/>
        <w:spacing w:before="200" w:after="120"/>
        <w:ind w:firstLine="0"/>
      </w:pPr>
      <w:r>
        <w:rPr>
          <w:bCs/>
          <w:rFonts w:ascii="Times New Roman" w:hAnsi="Times New Roman" w:eastAsia="Times New Roman" w:cs="Times New Roman"/>
          <w:b/>
          <w:color w:val="000000"/>
        </w:rPr>
        <w:t>Supplementary Table S11.</w:t>
      </w:r>
      <w:r>
        <w:rPr>
          <w:bCs/>
          <w:rFonts w:ascii="Times New Roman" w:hAnsi="Times New Roman" w:eastAsia="Times New Roman" w:cs="Times New Roman"/>
          <w:b w:val="0"/>
          <w:color w:val="000000"/>
        </w:rPr>
        <w:t xml:space="preserve"> Follower scenarios.</w:t>
      </w:r>
      <w:r>
        <w:rPr>
          <w:rFonts w:ascii="Times New Roman" w:hAnsi="Times New Roman" w:eastAsia="Times New Roman" w:cs="Times New Roman"/>
          <w:b w:val="0"/>
          <w:color w:val="000000"/>
        </w:rPr>
        <w:t xml:space="preserve"> A share f of users take the agent’s own decision (the Supplementary Note “Agent checking and follower scenarios”) and the remaining 1 − f are the equal mix of the four types of main Table 1. Mean material payoff under each arrangement, the paired difference C − A with its 95% half-width, and the bad-state action and missed-opportunity rates under A and C. The f = 0 rows are main Table 4. Paired differences and intervals are calculated before rounding, so a displayed difference can differ by 0.01 from the difference of the displayed means. These are scenario calculations; f is not an estimate of any population. 100,000 decisions per person, seed 31. Data in </w:t>
      </w:r>
      <w:r>
        <w:rPr>
          <w:rStyle w:val="VerbatimChar"/>
          <w:rFonts w:ascii="Times New Roman" w:hAnsi="Times New Roman" w:eastAsia="Times New Roman" w:cs="Times New Roman"/>
          <w:b w:val="0"/>
          <w:color w:val="000000"/>
        </w:rPr>
        <w:t xml:space="preserve">sS11_followers.csv</w:t>
      </w:r>
      <w:r>
        <w:rPr>
          <w:rFonts w:ascii="Times New Roman" w:hAnsi="Times New Roman" w:eastAsia="Times New Roman" w:cs="Times New Roman"/>
          <w:b w:val="0"/>
          <w:color w:val="000000"/>
        </w:rPr>
        <w:t xml:space="preserve">.</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977"/>
        <w:gridCol w:w="837"/>
        <w:gridCol w:w="1257"/>
        <w:gridCol w:w="977"/>
        <w:gridCol w:w="977"/>
        <w:gridCol w:w="977"/>
        <w:gridCol w:w="977"/>
        <w:gridCol w:w="1675"/>
        <w:gridCol w:w="1257"/>
        <w:gridCol w:w="1257"/>
        <w:gridCol w:w="1257"/>
        <w:gridCol w:w="1257"/>
      </w:tblGrid>
      <w:tr>
        <w:trPr>
          <w:tblHeader w:val="true"/>
          <w:cantSplit/>
        </w:trPr>
        <w:tc>
          <w:tcPr>
            <w:tcW w:type="dxa" w:w="977"/>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Agent γ</w:t>
            </w:r>
            <w:r>
              <w:rPr>
                <w:rFonts w:ascii="Times New Roman" w:hAnsi="Times New Roman" w:eastAsia="Times New Roman" w:cs="Times New Roman"/>
                <w:b/>
                <w:color w:val="000000"/>
                <w:sz w:val="18"/>
                <w:vertAlign w:val="subscript"/>
              </w:rPr>
              <w:t xml:space="preserve">a</w:t>
            </w:r>
          </w:p>
        </w:tc>
        <w:tc>
          <w:tcPr>
            <w:tcW w:type="dxa" w:w="837"/>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f</w:t>
            </w:r>
          </w:p>
        </w:tc>
        <w:tc>
          <w:tcPr>
            <w:tcW w:type="dxa" w:w="125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Decide at hand-off</w:t>
            </w:r>
          </w:p>
        </w:tc>
        <w:tc>
          <w:tcPr>
            <w:tcW w:type="dxa" w:w="97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w:t>
            </w:r>
          </w:p>
        </w:tc>
        <w:tc>
          <w:tcPr>
            <w:tcW w:type="dxa" w:w="97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w:t>
            </w:r>
          </w:p>
        </w:tc>
        <w:tc>
          <w:tcPr>
            <w:tcW w:type="dxa" w:w="97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C</w:t>
            </w:r>
          </w:p>
        </w:tc>
        <w:tc>
          <w:tcPr>
            <w:tcW w:type="dxa" w:w="97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D</w:t>
            </w:r>
          </w:p>
        </w:tc>
        <w:tc>
          <w:tcPr>
            <w:tcW w:type="dxa" w:w="1675"/>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C − A (paired)</w:t>
            </w:r>
          </w:p>
        </w:tc>
        <w:tc>
          <w:tcPr>
            <w:tcW w:type="dxa" w:w="125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Bad-state, A</w:t>
            </w:r>
          </w:p>
        </w:tc>
        <w:tc>
          <w:tcPr>
            <w:tcW w:type="dxa" w:w="125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Bad-state, C</w:t>
            </w:r>
          </w:p>
        </w:tc>
        <w:tc>
          <w:tcPr>
            <w:tcW w:type="dxa" w:w="125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 A</w:t>
            </w:r>
          </w:p>
        </w:tc>
        <w:tc>
          <w:tcPr>
            <w:tcW w:type="dxa" w:w="125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 C</w:t>
            </w:r>
          </w:p>
        </w:tc>
      </w:tr>
      <w:tr>
        <w:trPr>
          <w:cantSplit/>
        </w:trPr>
        <w:tc>
          <w:tcPr>
            <w:tcW w:type="dxa" w:w="97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1</w:t>
            </w: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0.00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4.68</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4.31</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4.32</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−0.37 ± 0.02</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0.20%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0.10%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0.25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4.69</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4.32</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4.33</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−0.37 ± 0.02</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0.21%</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0.09%</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0.46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4.69</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4.33</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−0.36 ± 0.02</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0.22%</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0.09%</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0.59</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4.69</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4.33</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−0.36 ± 0.02</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0.22%</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0.08%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0.75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4.69</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−0.36 ± 0.02</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0.23%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0.08%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0.86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−0.36 ± 0.02</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0.23%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0.07%</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r>
      <w:tr>
        <w:trPr>
          <w:cantSplit/>
        </w:trPr>
        <w:tc>
          <w:tcPr>
            <w:tcW w:type="dxa" w:w="977"/>
            <w:vAlign w:val="center"/>
          </w:tcPr>
          <w:p>
            <w:pPr>
              <w:pStyle w:val="Compact"/>
              <w:keepNext w:val="0"/>
              <w:widowControl/>
              <w:spacing w:before="0" w:after="0" w:line="240" w:lineRule="auto"/>
              <w:ind w:firstLine="0"/>
              <w:jc w:val="left"/>
            </w:pPr>
          </w:p>
        </w:tc>
        <w:tc>
          <w:tcPr>
            <w:tcW w:type="dxa" w:w="8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1.00</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c>
          <w:tcPr>
            <w:tcW w:type="dxa" w:w="167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−0.36 ± 0.02</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0.07%</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r>
      <w:tr>
        <w:trPr>
          <w:cantSplit/>
        </w:trPr>
        <w:tc>
          <w:tcPr>
            <w:tcW w:type="dxa" w:w="97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1.5</w:t>
            </w: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0.00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3.65</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4.59</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4.43</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−0.10 ± 0.02</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0.51%</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0.22%</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2.9%</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3.0%</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0.25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3.83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4.46</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4.53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4.43</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−0.06 ± 0.03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0.59%</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0.23%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3.0%</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0.46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3.97</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4.48</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4.41</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4.43</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−0.02 ± 0.03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0.67%</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0.23%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0.59</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4.07</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4.41</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4.45</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4.41</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4.42</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−0.00 ± 0.04</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0.71%</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0.23%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0.75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4.18</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4.39</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4.41</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4.41</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4.42</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0.03 ± 0.04</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0.77%</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0.23%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3.2%</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0.86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4.25</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4.37</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4.38</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4.42</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4.42</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0.04 ± 0.04</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0.81%</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0.24%</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3.2%</w:t>
            </w:r>
          </w:p>
        </w:tc>
      </w:tr>
      <w:tr>
        <w:trPr>
          <w:cantSplit/>
        </w:trPr>
        <w:tc>
          <w:tcPr>
            <w:tcW w:type="dxa" w:w="977"/>
            <w:vAlign w:val="center"/>
          </w:tcPr>
          <w:p>
            <w:pPr>
              <w:pStyle w:val="Compact"/>
              <w:keepNext w:val="0"/>
              <w:widowControl/>
              <w:spacing w:before="0" w:after="0" w:line="240" w:lineRule="auto"/>
              <w:ind w:firstLine="0"/>
              <w:jc w:val="left"/>
            </w:pPr>
          </w:p>
        </w:tc>
        <w:tc>
          <w:tcPr>
            <w:tcW w:type="dxa" w:w="8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1.00</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4.42</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4.42</w:t>
            </w:r>
          </w:p>
        </w:tc>
        <w:tc>
          <w:tcPr>
            <w:tcW w:type="dxa" w:w="167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0.07 ± 0.05</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0.86%</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w:t>
            </w:r>
          </w:p>
        </w:tc>
      </w:tr>
      <w:tr>
        <w:trPr>
          <w:cantSplit/>
        </w:trPr>
        <w:tc>
          <w:tcPr>
            <w:tcW w:type="dxa" w:w="97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2</w:t>
            </w: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0.00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2.83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4.26</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4.39</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4.41</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0.08 ± 0.02</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0.71%</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0.30%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4.1%</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0.25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3.03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4.11</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4.21</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4.38</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0.22 ± 0.03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0.95%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0.33%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4.1%</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4.2%</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0.46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3.20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3.98</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4.05</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4.31</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4.35</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0.34 ± 0.04</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1.15%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0.36%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4.2%</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0.59</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3.31</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3.90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3.95</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4.31</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0.41 ± 0.05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1.28%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0.38%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0.75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3.44</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3.80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3.83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4.31</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0.50 ± 0.06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1.43%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0.40%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4.5%</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0.86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3.53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3.73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3.75</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4.29</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4.30</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0.56 ± 0.06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1.53%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0.41%</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4.4%</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4.5%</w:t>
            </w:r>
          </w:p>
        </w:tc>
      </w:tr>
      <w:tr>
        <w:trPr>
          <w:cantSplit/>
        </w:trPr>
        <w:tc>
          <w:tcPr>
            <w:tcW w:type="dxa" w:w="977"/>
            <w:vAlign w:val="center"/>
          </w:tcPr>
          <w:p>
            <w:pPr>
              <w:pStyle w:val="Compact"/>
              <w:keepNext w:val="0"/>
              <w:widowControl/>
              <w:spacing w:before="0" w:after="0" w:line="240" w:lineRule="auto"/>
              <w:ind w:firstLine="0"/>
              <w:jc w:val="left"/>
            </w:pPr>
          </w:p>
        </w:tc>
        <w:tc>
          <w:tcPr>
            <w:tcW w:type="dxa" w:w="8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1.00</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3.64</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3.64</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3.64</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4.28</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4.28</w:t>
            </w:r>
          </w:p>
        </w:tc>
        <w:tc>
          <w:tcPr>
            <w:tcW w:type="dxa" w:w="167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0.64 ± 0.07</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1.67%</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0.43%</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w:t>
            </w:r>
          </w:p>
        </w:tc>
      </w:tr>
    </w:tbl>
    <w:p>
      <w:pPr>
        <w:pStyle w:val="BodyText"/>
        <w:widowControl/>
        <w:spacing w:before="200" w:after="120"/>
        <w:ind w:firstLine="0"/>
        <w:pageBreakBefore/>
        <w:keepNext/>
      </w:pPr>
      <w:r>
        <w:rPr>
          <w:rFonts w:ascii="Times New Roman" w:hAnsi="Times New Roman"/>
          <w:sz w:val="20"/>
          <w:b/>
        </w:rPr>
        <w:t>Supplementary Table S11 (continued).</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977"/>
        <w:gridCol w:w="837"/>
        <w:gridCol w:w="1257"/>
        <w:gridCol w:w="977"/>
        <w:gridCol w:w="977"/>
        <w:gridCol w:w="977"/>
        <w:gridCol w:w="977"/>
        <w:gridCol w:w="1675"/>
        <w:gridCol w:w="1257"/>
        <w:gridCol w:w="1257"/>
        <w:gridCol w:w="1257"/>
        <w:gridCol w:w="1257"/>
      </w:tblGrid>
      <w:tr>
        <w:trPr>
          <w:tblHeader w:val="true"/>
          <w:cantSplit/>
        </w:trPr>
        <w:tc>
          <w:tcPr>
            <w:tcW w:type="dxa" w:w="977"/>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Agent γ</w:t>
            </w:r>
            <w:r>
              <w:rPr>
                <w:rFonts w:ascii="Times New Roman" w:hAnsi="Times New Roman" w:eastAsia="Times New Roman" w:cs="Times New Roman"/>
                <w:b/>
                <w:color w:val="000000"/>
                <w:sz w:val="18"/>
                <w:vertAlign w:val="subscript"/>
              </w:rPr>
              <w:t xml:space="preserve">a</w:t>
            </w:r>
          </w:p>
        </w:tc>
        <w:tc>
          <w:tcPr>
            <w:tcW w:type="dxa" w:w="837"/>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f</w:t>
            </w:r>
          </w:p>
        </w:tc>
        <w:tc>
          <w:tcPr>
            <w:tcW w:type="dxa" w:w="125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Decide at hand-off</w:t>
            </w:r>
          </w:p>
        </w:tc>
        <w:tc>
          <w:tcPr>
            <w:tcW w:type="dxa" w:w="97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A</w:t>
            </w:r>
          </w:p>
        </w:tc>
        <w:tc>
          <w:tcPr>
            <w:tcW w:type="dxa" w:w="97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w:t>
            </w:r>
          </w:p>
        </w:tc>
        <w:tc>
          <w:tcPr>
            <w:tcW w:type="dxa" w:w="97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C</w:t>
            </w:r>
          </w:p>
        </w:tc>
        <w:tc>
          <w:tcPr>
            <w:tcW w:type="dxa" w:w="97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D</w:t>
            </w:r>
          </w:p>
        </w:tc>
        <w:tc>
          <w:tcPr>
            <w:tcW w:type="dxa" w:w="1675"/>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C − A (paired)</w:t>
            </w:r>
          </w:p>
        </w:tc>
        <w:tc>
          <w:tcPr>
            <w:tcW w:type="dxa" w:w="125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Bad-state, A</w:t>
            </w:r>
          </w:p>
        </w:tc>
        <w:tc>
          <w:tcPr>
            <w:tcW w:type="dxa" w:w="125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Bad-state, C</w:t>
            </w:r>
          </w:p>
        </w:tc>
        <w:tc>
          <w:tcPr>
            <w:tcW w:type="dxa" w:w="125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 A</w:t>
            </w:r>
          </w:p>
        </w:tc>
        <w:tc>
          <w:tcPr>
            <w:tcW w:type="dxa" w:w="125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 C</w:t>
            </w:r>
          </w:p>
        </w:tc>
      </w:tr>
      <w:tr>
        <w:trPr>
          <w:cantSplit/>
        </w:trPr>
        <w:tc>
          <w:tcPr>
            <w:tcW w:type="dxa" w:w="97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4</w:t>
            </w: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0.00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0.95</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3.43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3.72</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4.09</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4.32</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0.65 ± 0.03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1.40%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0.45%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6.6%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6.7%</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0.25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0.94</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2.81</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3.02</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3.94</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4.12</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1.13 ± 0.05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2.18%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0.62%</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6.7%</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7.0%</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0.46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0.94</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2.28</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2.43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3.82</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3.95</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1.54 ± 0.07</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2.83%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0.77%</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6.9%</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7.2%</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0.59</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0.94</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1.96</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2.07</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3.74</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3.84</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1.79 ± 0.08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3.23%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0.86%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7.0%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7.4%</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0.75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1.56</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1.63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3.65</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3.71</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2.09 ± 0.09</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3.73%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0.97%</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7.1%</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7.6%</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0.86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1.28</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1.32</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3.59</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3.62</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2.30 ± 0.10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4.07%</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1.05%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7.2%</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7.7%</w:t>
            </w:r>
          </w:p>
        </w:tc>
      </w:tr>
      <w:tr>
        <w:trPr>
          <w:cantSplit/>
        </w:trPr>
        <w:tc>
          <w:tcPr>
            <w:tcW w:type="dxa" w:w="977"/>
            <w:vAlign w:val="center"/>
          </w:tcPr>
          <w:p>
            <w:pPr>
              <w:pStyle w:val="Compact"/>
              <w:keepNext w:val="0"/>
              <w:widowControl/>
              <w:spacing w:before="0" w:after="0" w:line="240" w:lineRule="auto"/>
              <w:ind w:firstLine="0"/>
              <w:jc w:val="left"/>
            </w:pPr>
          </w:p>
        </w:tc>
        <w:tc>
          <w:tcPr>
            <w:tcW w:type="dxa" w:w="8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1.00</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3.50</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3.50</w:t>
            </w:r>
          </w:p>
        </w:tc>
        <w:tc>
          <w:tcPr>
            <w:tcW w:type="dxa" w:w="167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2.57 ± 0.11</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1.15%</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7.8%</w:t>
            </w:r>
          </w:p>
        </w:tc>
      </w:tr>
      <w:tr>
        <w:trPr>
          <w:cantSplit/>
        </w:trPr>
        <w:tc>
          <w:tcPr>
            <w:tcW w:type="dxa" w:w="97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6</w:t>
            </w: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0.00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0.34</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3.37</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3.72</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3.98</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4.29</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0.61 ± 0.03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1.40%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0.51%</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7.5%</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0.25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0.10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2.37</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2.63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3.75</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3.98</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1.38 ± 0.05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2.57%</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0.77%</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7.6%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8.0%</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0.46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−0.10</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1.53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1.72</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3.55</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3.72</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2.02 ± 0.07</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3.56%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0.98%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7.8%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8.4%</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0.59</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−0.23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1.02</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1.16</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3.43</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3.56</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2.41 ± 0.08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4.17%</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1.11%</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7.9%</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8.6%</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0.75</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−0.38</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0.38</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0.47</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3.28</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3.36</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2.90 ± 0.10</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4.93%</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1.28%</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8.1%</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8.9%</w:t>
            </w:r>
          </w:p>
        </w:tc>
      </w:tr>
      <w:tr>
        <w:trPr>
          <w:cantSplit/>
        </w:trPr>
        <w:tc>
          <w:tcPr>
            <w:tcW w:type="dxa" w:w="977"/>
            <w:vAlign w:val="center"/>
          </w:tcPr>
          <w:p>
            <w:pPr>
              <w:pStyle w:val="Compact"/>
              <w:keepNext/>
              <w:widowControl/>
              <w:spacing w:before="0" w:after="0" w:line="240" w:lineRule="auto"/>
              <w:ind w:firstLine="0"/>
              <w:jc w:val="left"/>
            </w:pPr>
          </w:p>
        </w:tc>
        <w:tc>
          <w:tcPr>
            <w:tcW w:type="dxa" w:w="837"/>
            <w:vAlign w:val="center"/>
          </w:tcPr>
          <w:p>
            <w:pPr>
              <w:pStyle w:val="Compact"/>
              <w:keepNext/>
              <w:widowControl/>
              <w:spacing w:before="0" w:after="0" w:line="240" w:lineRule="auto"/>
              <w:ind w:firstLine="0"/>
              <w:jc w:val="left"/>
            </w:pPr>
            <w:r>
              <w:rPr>
                <w:rFonts w:ascii="Times New Roman" w:hAnsi="Times New Roman" w:eastAsia="Times New Roman" w:cs="Times New Roman"/>
                <w:b w:val="0"/>
                <w:color w:val="000000"/>
                <w:sz w:val="18"/>
              </w:rPr>
              <w:t xml:space="preserve">0.86</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−0.48</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−0.06</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−0.01</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3.18</w:t>
            </w:r>
          </w:p>
        </w:tc>
        <w:tc>
          <w:tcPr>
            <w:tcW w:type="dxa" w:w="97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3.22</w:t>
            </w:r>
          </w:p>
        </w:tc>
        <w:tc>
          <w:tcPr>
            <w:tcW w:type="dxa" w:w="1675"/>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3.24 ± 0.11</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5.44%</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1.39%</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8.2%</w:t>
            </w:r>
          </w:p>
        </w:tc>
        <w:tc>
          <w:tcPr>
            <w:tcW w:type="dxa" w:w="1257"/>
            <w:vAlign w:val="center"/>
          </w:tcPr>
          <w:p>
            <w:pPr>
              <w:pStyle w:val="Compact"/>
              <w:keepNext/>
              <w:widowControl/>
              <w:spacing w:before="0" w:after="0" w:line="240" w:lineRule="auto"/>
              <w:ind w:firstLine="0"/>
              <w:jc w:val="center"/>
            </w:pPr>
            <w:r>
              <w:rPr>
                <w:rFonts w:ascii="Times New Roman" w:hAnsi="Times New Roman" w:eastAsia="Times New Roman" w:cs="Times New Roman"/>
                <w:b w:val="0"/>
                <w:color w:val="000000"/>
                <w:sz w:val="18"/>
              </w:rPr>
              <w:t xml:space="preserve">9.1%</w:t>
            </w:r>
          </w:p>
        </w:tc>
      </w:tr>
      <w:tr>
        <w:trPr>
          <w:cantSplit/>
        </w:trPr>
        <w:tc>
          <w:tcPr>
            <w:tcW w:type="dxa" w:w="977"/>
            <w:vAlign w:val="center"/>
          </w:tcPr>
          <w:p>
            <w:pPr>
              <w:pStyle w:val="Compact"/>
              <w:keepNext w:val="0"/>
              <w:widowControl/>
              <w:spacing w:before="0" w:after="0" w:line="240" w:lineRule="auto"/>
              <w:ind w:firstLine="0"/>
              <w:jc w:val="left"/>
            </w:pPr>
          </w:p>
        </w:tc>
        <w:tc>
          <w:tcPr>
            <w:tcW w:type="dxa" w:w="8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1.00</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−0.62</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−0.62</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−0.62</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3.05</w:t>
            </w:r>
          </w:p>
        </w:tc>
        <w:tc>
          <w:tcPr>
            <w:tcW w:type="dxa" w:w="97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3.05</w:t>
            </w:r>
          </w:p>
        </w:tc>
        <w:tc>
          <w:tcPr>
            <w:tcW w:type="dxa" w:w="1675"/>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3.66 ± 0.13</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6.10%</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1.53%</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8.3%</w:t>
            </w:r>
          </w:p>
        </w:tc>
        <w:tc>
          <w:tcPr>
            <w:tcW w:type="dxa" w:w="125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9.4%</w:t>
            </w:r>
          </w:p>
        </w:tc>
      </w:tr>
    </w:tbl>
    <w:p>
      <w:pPr>
        <w:pStyle w:val="BodyText"/>
        <w:keepNext/>
        <w:pageBreakBefore/>
        <w:widowControl/>
        <w:spacing w:before="200" w:after="120"/>
        <w:ind w:firstLine="0"/>
      </w:pPr>
      <w:r>
        <w:rPr>
          <w:bCs/>
          <w:rFonts w:ascii="Times New Roman" w:hAnsi="Times New Roman" w:eastAsia="Times New Roman" w:cs="Times New Roman"/>
          <w:b/>
          <w:color w:val="000000"/>
        </w:rPr>
        <w:t>Supplementary Table S12.</w:t>
      </w:r>
      <w:r>
        <w:rPr>
          <w:bCs/>
          <w:rFonts w:ascii="Times New Roman" w:hAnsi="Times New Roman" w:eastAsia="Times New Roman" w:cs="Times New Roman"/>
          <w:b w:val="0"/>
          <w:color w:val="000000"/>
        </w:rPr>
        <w:t xml:space="preserve"> Precision checks for the numerical solution.</w:t>
      </w:r>
      <w:r>
        <w:rPr>
          <w:rFonts w:ascii="Times New Roman" w:hAnsi="Times New Roman" w:eastAsia="Times New Roman" w:cs="Times New Roman"/>
          <w:b w:val="0"/>
          <w:color w:val="000000"/>
        </w:rPr>
        <w:t xml:space="preserve"> The main comparisons recomputed with a finer evidence grid and with fewer or more quadrature nodes, on the same random streams as the corresponding main-text results (Table 3 rows: seed 31; Fig. 2 rows: seed 11; Table 4 row: seed 31), 100,000 decisions each. “Own” is own judgment and “procedure” the full procedure of Table 3; for the Fig. 2 rows the “own” columns give the overconfident person’s outcome with k additional steps imposed; for the Table 4 row they give arrangement C after an agent with γ</w:t>
      </w:r>
      <w:r>
        <w:rPr>
          <w:rFonts w:ascii="Times New Roman" w:hAnsi="Times New Roman" w:eastAsia="Times New Roman" w:cs="Times New Roman"/>
          <w:b w:val="0"/>
          <w:color w:val="000000"/>
          <w:vertAlign w:val="subscript"/>
        </w:rPr>
        <w:t xml:space="preserve">a</w:t>
      </w:r>
      <w:r>
        <w:rPr>
          <w:rFonts w:ascii="Times New Roman" w:hAnsi="Times New Roman" w:eastAsia="Times New Roman" w:cs="Times New Roman"/>
          <w:b w:val="0"/>
          <w:color w:val="000000"/>
        </w:rPr>
        <w:t xml:space="preserve"> = 4. Data in </w:t>
      </w:r>
      <w:r>
        <w:rPr>
          <w:rStyle w:val="VerbatimChar"/>
          <w:rFonts w:ascii="Times New Roman" w:hAnsi="Times New Roman" w:eastAsia="Times New Roman" w:cs="Times New Roman"/>
          <w:b w:val="0"/>
          <w:color w:val="000000"/>
        </w:rPr>
        <w:t xml:space="preserve">convergence.csv</w:t>
      </w:r>
      <w:r>
        <w:rPr>
          <w:rFonts w:ascii="Times New Roman" w:hAnsi="Times New Roman" w:eastAsia="Times New Roman" w:cs="Times New Roman"/>
          <w:b w:val="0"/>
          <w:color w:val="000000"/>
        </w:rPr>
        <w:t xml:space="preserve">.</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2414"/>
        <w:gridCol w:w="2737"/>
        <w:gridCol w:w="1448"/>
        <w:gridCol w:w="1448"/>
        <w:gridCol w:w="1287"/>
        <w:gridCol w:w="1609"/>
        <w:gridCol w:w="1448"/>
        <w:gridCol w:w="1287"/>
      </w:tblGrid>
      <w:tr>
        <w:trPr>
          <w:tblHeader w:val="true"/>
          <w:cantSplit/>
        </w:trPr>
        <w:tc>
          <w:tcPr>
            <w:tcW w:type="dxa" w:w="2414"/>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Numerical setting</w:t>
            </w:r>
          </w:p>
        </w:tc>
        <w:tc>
          <w:tcPr>
            <w:tcW w:type="dxa" w:w="2737"/>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Person or case</w:t>
            </w:r>
          </w:p>
        </w:tc>
        <w:tc>
          <w:tcPr>
            <w:tcW w:type="dxa" w:w="1448"/>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Own: payoff</w:t>
            </w:r>
          </w:p>
        </w:tc>
        <w:tc>
          <w:tcPr>
            <w:tcW w:type="dxa" w:w="1448"/>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bad-state</w:t>
            </w:r>
          </w:p>
        </w:tc>
        <w:tc>
          <w:tcPr>
            <w:tcW w:type="dxa" w:w="128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w:t>
            </w:r>
          </w:p>
        </w:tc>
        <w:tc>
          <w:tcPr>
            <w:tcW w:type="dxa" w:w="160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Procedure: payoff</w:t>
            </w:r>
          </w:p>
        </w:tc>
        <w:tc>
          <w:tcPr>
            <w:tcW w:type="dxa" w:w="1448"/>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bad-state</w:t>
            </w:r>
          </w:p>
        </w:tc>
        <w:tc>
          <w:tcPr>
            <w:tcW w:type="dxa" w:w="128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w:t>
            </w:r>
          </w:p>
        </w:tc>
      </w:tr>
      <w:tr>
        <w:trPr>
          <w:cantSplit/>
        </w:trPr>
        <w:tc>
          <w:tcPr>
            <w:tcW w:type="dxa" w:w="2414"/>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baseline: 2401 points, 31 nodes</w:t>
            </w: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4.70</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0.21%</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2.23%</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3.73</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0.77%</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10.8%</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0.42%</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2.6%</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3.69</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0.05%</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13.9%</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0.09%</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Fig. 2 k=0</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1.04</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4.46%</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Fig. 2 k=2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3.01</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2.14%</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Fig. 2 k=3</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3.28</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1.49%</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Table 4 C (γ</w:t>
            </w:r>
            <w:r>
              <w:rPr>
                <w:rFonts w:ascii="Times New Roman" w:hAnsi="Times New Roman" w:eastAsia="Times New Roman" w:cs="Times New Roman"/>
                <w:b w:val="0"/>
                <w:color w:val="000000"/>
                <w:sz w:val="18"/>
                <w:vertAlign w:val="subscript"/>
              </w:rPr>
              <w:t>a</w:t>
            </w:r>
            <w:r>
              <w:rPr>
                <w:rFonts w:ascii="Times New Roman" w:hAnsi="Times New Roman" w:eastAsia="Times New Roman" w:cs="Times New Roman"/>
                <w:b w:val="0"/>
                <w:color w:val="000000"/>
                <w:sz w:val="18"/>
              </w:rPr>
              <w:t xml:space="preserve"> = 4)</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3.50</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1.15%</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7.8%</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4801 points, 31 nodes</w:t>
            </w: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4.69</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4.51</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0.21%</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2.23%</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0.76%</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10.9%</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4.33</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0.42%</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2.6%</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3.69</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0.05%</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13.9%</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0.09%</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Fig. 2 k=0</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1.04</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4.46%</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Fig. 2 k=2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3.01</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2.14%</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Fig. 2 k=3</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3.28</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1.49%</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Table 4 C (γ</w:t>
            </w:r>
            <w:r>
              <w:rPr>
                <w:rFonts w:ascii="Times New Roman" w:hAnsi="Times New Roman" w:eastAsia="Times New Roman" w:cs="Times New Roman"/>
                <w:b w:val="0"/>
                <w:color w:val="000000"/>
                <w:sz w:val="18"/>
                <w:vertAlign w:val="subscript"/>
              </w:rPr>
              <w:t>a</w:t>
            </w:r>
            <w:r>
              <w:rPr>
                <w:rFonts w:ascii="Times New Roman" w:hAnsi="Times New Roman" w:eastAsia="Times New Roman" w:cs="Times New Roman"/>
                <w:b w:val="0"/>
                <w:color w:val="000000"/>
                <w:sz w:val="18"/>
              </w:rPr>
              <w:t xml:space="preserve"> = 4)</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3.50</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1.15%</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7.8%</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bl>
    <w:p>
      <w:pPr>
        <w:pStyle w:val="BodyText"/>
        <w:widowControl/>
        <w:spacing w:before="200" w:after="120"/>
        <w:ind w:firstLine="0"/>
        <w:pageBreakBefore/>
        <w:keepNext/>
      </w:pPr>
      <w:r>
        <w:rPr>
          <w:rFonts w:ascii="Times New Roman" w:hAnsi="Times New Roman"/>
          <w:sz w:val="20"/>
          <w:b/>
        </w:rPr>
        <w:t>Supplementary Table S12 (continued).</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CellMar>
          <w:top w:w="55" w:type="dxa"/>
          <w:left w:w="70" w:type="dxa"/>
          <w:bottom w:w="55" w:type="dxa"/>
          <w:right w:w="70" w:type="dxa"/>
        </w:tblCellMar>
      </w:tblPr>
      <w:tblGrid>
        <w:gridCol w:w="2414"/>
        <w:gridCol w:w="2737"/>
        <w:gridCol w:w="1448"/>
        <w:gridCol w:w="1448"/>
        <w:gridCol w:w="1287"/>
        <w:gridCol w:w="1609"/>
        <w:gridCol w:w="1448"/>
        <w:gridCol w:w="1287"/>
      </w:tblGrid>
      <w:tr>
        <w:trPr>
          <w:tblHeader w:val="true"/>
          <w:cantSplit/>
        </w:trPr>
        <w:tc>
          <w:tcPr>
            <w:tcW w:type="dxa" w:w="2414"/>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Numerical setting</w:t>
            </w:r>
          </w:p>
        </w:tc>
        <w:tc>
          <w:tcPr>
            <w:tcW w:type="dxa" w:w="2737"/>
            <w:tcBorders>
              <w:bottom w:val="single" w:sz="4" w:color="000000"/>
            </w:tcBorders>
            <w:vAlign w:val="center"/>
            <w:shd w:fill="E7E6E6"/>
          </w:tcPr>
          <w:p>
            <w:pPr>
              <w:pStyle w:val="Compact"/>
              <w:keepNext/>
              <w:widowControl/>
              <w:spacing w:before="0" w:after="0" w:line="240" w:lineRule="auto"/>
              <w:ind w:firstLine="0"/>
              <w:jc w:val="left"/>
            </w:pPr>
            <w:r>
              <w:rPr>
                <w:rFonts w:ascii="Times New Roman" w:hAnsi="Times New Roman" w:eastAsia="Times New Roman" w:cs="Times New Roman"/>
                <w:b/>
                <w:color w:val="000000"/>
                <w:sz w:val="18"/>
              </w:rPr>
              <w:t xml:space="preserve">Person or case</w:t>
            </w:r>
          </w:p>
        </w:tc>
        <w:tc>
          <w:tcPr>
            <w:tcW w:type="dxa" w:w="1448"/>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Own: payoff</w:t>
            </w:r>
          </w:p>
        </w:tc>
        <w:tc>
          <w:tcPr>
            <w:tcW w:type="dxa" w:w="1448"/>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bad-state</w:t>
            </w:r>
          </w:p>
        </w:tc>
        <w:tc>
          <w:tcPr>
            <w:tcW w:type="dxa" w:w="128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w:t>
            </w:r>
          </w:p>
        </w:tc>
        <w:tc>
          <w:tcPr>
            <w:tcW w:type="dxa" w:w="1609"/>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Procedure: payoff</w:t>
            </w:r>
          </w:p>
        </w:tc>
        <w:tc>
          <w:tcPr>
            <w:tcW w:type="dxa" w:w="1448"/>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bad-state</w:t>
            </w:r>
          </w:p>
        </w:tc>
        <w:tc>
          <w:tcPr>
            <w:tcW w:type="dxa" w:w="1287"/>
            <w:tcBorders>
              <w:bottom w:val="single" w:sz="4" w:color="000000"/>
            </w:tcBorders>
            <w:vAlign w:val="center"/>
            <w:shd w:fill="E7E6E6"/>
          </w:tcPr>
          <w:p>
            <w:pPr>
              <w:pStyle w:val="Compact"/>
              <w:keepNext/>
              <w:widowControl/>
              <w:spacing w:before="0" w:after="0" w:line="240" w:lineRule="auto"/>
              <w:ind w:firstLine="0"/>
              <w:jc w:val="center"/>
            </w:pPr>
            <w:r>
              <w:rPr>
                <w:rFonts w:ascii="Times New Roman" w:hAnsi="Times New Roman" w:eastAsia="Times New Roman" w:cs="Times New Roman"/>
                <w:b/>
                <w:color w:val="000000"/>
                <w:sz w:val="18"/>
              </w:rPr>
              <w:t xml:space="preserve">missed</w:t>
            </w:r>
          </w:p>
        </w:tc>
      </w:tr>
      <w:tr>
        <w:trPr>
          <w:cantSplit/>
        </w:trPr>
        <w:tc>
          <w:tcPr>
            <w:tcW w:type="dxa" w:w="2414"/>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9601 points, 31 nodes</w:t>
            </w: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4.69</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0.24%</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4.51</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0.21%</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2.23%</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0.76%</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10.9%</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4.33</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0.42%</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2.6%</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3.68</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0.05%</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13.9%</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0.09%</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Fig. 2 k=0</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1.04</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4.46%</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Fig. 2 k=2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3.01</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2.14%</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Fig. 2 k=3</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3.28</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1.49%</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Table 4 C (γ</w:t>
            </w:r>
            <w:r>
              <w:rPr>
                <w:rFonts w:ascii="Times New Roman" w:hAnsi="Times New Roman" w:eastAsia="Times New Roman" w:cs="Times New Roman"/>
                <w:b w:val="0"/>
                <w:color w:val="000000"/>
                <w:sz w:val="18"/>
                <w:vertAlign w:val="subscript"/>
              </w:rPr>
              <w:t>a</w:t>
            </w:r>
            <w:r>
              <w:rPr>
                <w:rFonts w:ascii="Times New Roman" w:hAnsi="Times New Roman" w:eastAsia="Times New Roman" w:cs="Times New Roman"/>
                <w:b w:val="0"/>
                <w:color w:val="000000"/>
                <w:sz w:val="18"/>
              </w:rPr>
              <w:t xml:space="preserve"> = 4)</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3.50</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1.15%</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7.9%</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2401 points, 15 nodes</w:t>
            </w: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4.69</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0.25%</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1.9%</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4.51</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0.22%</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1.2%</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2.23%</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3.70</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0.78%</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11.0%</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4.33</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0.43%</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2.7%</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3.67</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0.05%</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14.1%</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0.09%</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Fig. 2 k=0</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1.05</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4.46%</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Fig. 2 k=2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3.01</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2.14%</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Fig. 2 k=3</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3.28</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1.49%</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Table 4 C (γ</w:t>
            </w:r>
            <w:r>
              <w:rPr>
                <w:rFonts w:ascii="Times New Roman" w:hAnsi="Times New Roman" w:eastAsia="Times New Roman" w:cs="Times New Roman"/>
                <w:b w:val="0"/>
                <w:color w:val="000000"/>
                <w:sz w:val="18"/>
                <w:vertAlign w:val="subscript"/>
              </w:rPr>
              <w:t>a</w:t>
            </w:r>
            <w:r>
              <w:rPr>
                <w:rFonts w:ascii="Times New Roman" w:hAnsi="Times New Roman" w:eastAsia="Times New Roman" w:cs="Times New Roman"/>
                <w:b w:val="0"/>
                <w:color w:val="000000"/>
                <w:sz w:val="18"/>
              </w:rPr>
              <w:t xml:space="preserve"> = 4)</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3.50</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1.15%</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7.9%</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2401 points, 61 nodes</w:t>
            </w: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calibrated</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4.69</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0.25%</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1.8%</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4.51</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0.21%</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0.93</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4.50%</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2.82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2.23%</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anxious</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3.73</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0.77%</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10.8%</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4.34</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0.42%</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2.6%</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fearful</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3.67</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0.05%</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14.1%</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4.21</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0.09%</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4.5%</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Fig. 2 k=0</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1.04</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4.46%</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7.3%</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Fig. 2 k=2</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3.01</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2.14%</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3.1%</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Fig. 2 k=3</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3.28</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1.49%</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2.1%</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r>
        <w:trPr>
          <w:cantSplit/>
        </w:trPr>
        <w:tc>
          <w:tcPr>
            <w:tcW w:type="dxa" w:w="2414"/>
            <w:vAlign w:val="center"/>
          </w:tcPr>
          <w:p>
            <w:pPr>
              <w:pStyle w:val="Compact"/>
              <w:keepNext w:val="0"/>
              <w:widowControl/>
              <w:spacing w:before="0" w:after="0" w:line="240" w:lineRule="auto"/>
              <w:ind w:firstLine="0"/>
              <w:jc w:val="left"/>
            </w:pPr>
          </w:p>
        </w:tc>
        <w:tc>
          <w:tcPr>
            <w:tcW w:type="dxa" w:w="2737"/>
            <w:vAlign w:val="center"/>
          </w:tcPr>
          <w:p>
            <w:pPr>
              <w:pStyle w:val="Compact"/>
              <w:keepNext w:val="0"/>
              <w:widowControl/>
              <w:spacing w:before="0" w:after="0" w:line="240" w:lineRule="auto"/>
              <w:ind w:firstLine="0"/>
              <w:jc w:val="left"/>
            </w:pPr>
            <w:r>
              <w:rPr>
                <w:rFonts w:ascii="Times New Roman" w:hAnsi="Times New Roman" w:eastAsia="Times New Roman" w:cs="Times New Roman"/>
                <w:b w:val="0"/>
                <w:color w:val="000000"/>
                <w:sz w:val="18"/>
              </w:rPr>
              <w:t xml:space="preserve">overconfident, Table 4 C (γ</w:t>
            </w:r>
            <w:r>
              <w:rPr>
                <w:rFonts w:ascii="Times New Roman" w:hAnsi="Times New Roman" w:eastAsia="Times New Roman" w:cs="Times New Roman"/>
                <w:b w:val="0"/>
                <w:color w:val="000000"/>
                <w:sz w:val="18"/>
                <w:vertAlign w:val="subscript"/>
              </w:rPr>
              <w:t>a</w:t>
            </w:r>
            <w:r>
              <w:rPr>
                <w:rFonts w:ascii="Times New Roman" w:hAnsi="Times New Roman" w:eastAsia="Times New Roman" w:cs="Times New Roman"/>
                <w:b w:val="0"/>
                <w:color w:val="000000"/>
                <w:sz w:val="18"/>
              </w:rPr>
              <w:t xml:space="preserve"> = 4)</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3.50</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1.15%</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7.8%</w:t>
            </w:r>
          </w:p>
        </w:tc>
        <w:tc>
          <w:tcPr>
            <w:tcW w:type="dxa" w:w="1609"/>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448"/>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c>
          <w:tcPr>
            <w:tcW w:type="dxa" w:w="1287"/>
            <w:vAlign w:val="center"/>
          </w:tcPr>
          <w:p>
            <w:pPr>
              <w:pStyle w:val="Compact"/>
              <w:keepNext w:val="0"/>
              <w:widowControl/>
              <w:spacing w:before="0" w:after="0" w:line="240" w:lineRule="auto"/>
              <w:ind w:firstLine="0"/>
              <w:jc w:val="center"/>
            </w:pPr>
            <w:r>
              <w:rPr>
                <w:rFonts w:ascii="Times New Roman" w:hAnsi="Times New Roman" w:eastAsia="Times New Roman" w:cs="Times New Roman"/>
                <w:b w:val="0"/>
                <w:color w:val="000000"/>
                <w:sz w:val="18"/>
              </w:rPr>
              <w:t xml:space="preserve">—</w:t>
            </w:r>
          </w:p>
        </w:tc>
      </w:tr>
    </w:tbl>
    <w:bookmarkEnd w:id="58"/>
    <w:bookmarkStart w:id="59" w:name="supplementary-references"/>
    <w:p>
      <w:pPr>
        <w:sectPr>
          <w:type w:val="nextPage"/>
          <w:pgSz w:w="15840" w:h="12240" w:orient="landscape"/>
          <w:pgMar w:top="1080" w:right="1080" w:bottom="1080" w:left="1080" w:header="360" w:footer="360" w:gutter="0"/>
        </w:sectPr>
      </w:pPr>
    </w:p>
    <w:bookmarkStart w:id="21" w:name="Xcf73141067fabd37b41cc30b712782218540e1a"/>
    <w:p>
      <w:pPr>
        <w:pStyle w:val="Heading2"/>
        <w:widowControl/>
        <w:ind w:firstLine="0"/>
        <w:keepNext/>
      </w:pPr>
      <w:r>
        <w:rPr>
          <w:rFonts w:ascii="Times New Roman" w:hAnsi="Times New Roman" w:eastAsia="Times New Roman" w:cs="Times New Roman"/>
          <w:color w:val="000000"/>
        </w:rPr>
        <w:t xml:space="preserve">Supplementary Note: The model in full and its numerical solution</w:t>
      </w:r>
    </w:p>
    <w:p>
      <w:pPr>
        <w:pStyle w:val="FirstParagraph"/>
        <w:widowControl/>
        <w:ind w:firstLine="0"/>
      </w:pPr>
      <w:r>
        <w:rPr>
          <w:bCs/>
          <w:rFonts w:ascii="Times New Roman" w:hAnsi="Times New Roman" w:eastAsia="Times New Roman" w:cs="Times New Roman"/>
          <w:b/>
          <w:color w:val="000000"/>
        </w:rPr>
        <w:t xml:space="preserve">State, observations and the evidence score.</w:t>
      </w:r>
      <w:r>
        <w:rPr>
          <w:rFonts w:ascii="Times New Roman" w:hAnsi="Times New Roman" w:eastAsia="Times New Roman" w:cs="Times New Roman"/>
          <w:color w:val="000000"/>
        </w:rPr>
        <w:t xml:space="preserve"> The world state μ is +1 (good) or −1 (bad) with equal prior probability and does not change during the decision. At each step t = 1, …, H one observation arrives, x</w:t>
      </w:r>
      <w:r>
        <w:rPr>
          <w:rFonts w:ascii="Times New Roman" w:hAnsi="Times New Roman" w:eastAsia="Times New Roman" w:cs="Times New Roman"/>
          <w:color w:val="000000"/>
          <w:vertAlign w:val="subscript"/>
        </w:rPr>
        <w:t xml:space="preserve">t</w:t>
      </w:r>
      <w:r>
        <w:rPr>
          <w:rFonts w:ascii="Times New Roman" w:hAnsi="Times New Roman" w:eastAsia="Times New Roman" w:cs="Times New Roman"/>
          <w:color w:val="000000"/>
        </w:rPr>
        <w:t xml:space="preserve"> = μ + σε</w:t>
      </w:r>
      <w:r>
        <w:rPr>
          <w:rFonts w:ascii="Times New Roman" w:hAnsi="Times New Roman" w:eastAsia="Times New Roman" w:cs="Times New Roman"/>
          <w:color w:val="000000"/>
          <w:vertAlign w:val="subscript"/>
        </w:rPr>
        <w:t xml:space="preserve">t</w:t>
      </w:r>
      <w:r>
        <w:rPr>
          <w:rFonts w:ascii="Times New Roman" w:hAnsi="Times New Roman" w:eastAsia="Times New Roman" w:cs="Times New Roman"/>
          <w:color w:val="000000"/>
        </w:rPr>
        <w:t xml:space="preserve">, with ε</w:t>
      </w:r>
      <w:r>
        <w:rPr>
          <w:rFonts w:ascii="Times New Roman" w:hAnsi="Times New Roman" w:eastAsia="Times New Roman" w:cs="Times New Roman"/>
          <w:color w:val="000000"/>
          <w:vertAlign w:val="subscript"/>
        </w:rPr>
        <w:t xml:space="preserve">t</w:t>
      </w:r>
      <w:r>
        <w:rPr>
          <w:rFonts w:ascii="Times New Roman" w:hAnsi="Times New Roman" w:eastAsia="Times New Roman" w:cs="Times New Roman"/>
          <w:color w:val="000000"/>
        </w:rPr>
        <w:t xml:space="preserve"> independent standard normal draws and σ = 1.25. The log-likelihood ratio of the good state against the bad state after t observations is ℓ</w:t>
      </w:r>
      <w:r>
        <w:rPr>
          <w:rFonts w:ascii="Times New Roman" w:hAnsi="Times New Roman" w:eastAsia="Times New Roman" w:cs="Times New Roman"/>
          <w:color w:val="000000"/>
          <w:vertAlign w:val="subscript"/>
        </w:rPr>
        <w:t xml:space="preserve">t</w:t>
      </w:r>
      <w:r>
        <w:rPr>
          <w:rFonts w:ascii="Times New Roman" w:hAnsi="Times New Roman" w:eastAsia="Times New Roman" w:cs="Times New Roman"/>
          <w:color w:val="000000"/>
        </w:rPr>
        <w:t xml:space="preserve"> = Σ</w:t>
      </w:r>
      <w:r>
        <w:rPr>
          <w:rFonts w:ascii="Times New Roman" w:hAnsi="Times New Roman" w:eastAsia="Times New Roman" w:cs="Times New Roman"/>
          <w:color w:val="000000"/>
          <w:vertAlign w:val="subscript"/>
        </w:rPr>
        <w:t xml:space="preserve">s≤t</w:t>
      </w:r>
      <w:r>
        <w:rPr>
          <w:rFonts w:ascii="Times New Roman" w:hAnsi="Times New Roman" w:eastAsia="Times New Roman" w:cs="Times New Roman"/>
          <w:color w:val="000000"/>
        </w:rPr>
        <w:t xml:space="preserve"> 2x</w:t>
      </w:r>
      <w:r>
        <w:rPr>
          <w:rFonts w:ascii="Times New Roman" w:hAnsi="Times New Roman" w:eastAsia="Times New Roman" w:cs="Times New Roman"/>
          <w:color w:val="000000"/>
          <w:vertAlign w:val="subscript"/>
        </w:rPr>
        <w:t xml:space="preserve">s</w:t>
      </w:r>
      <w:r>
        <w:rPr>
          <w:rFonts w:ascii="Times New Roman" w:hAnsi="Times New Roman" w:eastAsia="Times New Roman" w:cs="Times New Roman"/>
          <w:color w:val="000000"/>
        </w:rPr>
        <w:t xml:space="preserve">/σ</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 because log[N(x; +1, σ</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)/N(x; −1, σ</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 = 2x/σ</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 With a prior of one half, ℓ</w:t>
      </w:r>
      <w:r>
        <w:rPr>
          <w:rFonts w:ascii="Times New Roman" w:hAnsi="Times New Roman" w:eastAsia="Times New Roman" w:cs="Times New Roman"/>
          <w:color w:val="000000"/>
          <w:vertAlign w:val="subscript"/>
        </w:rPr>
        <w:t xml:space="preserve">t</w:t>
      </w:r>
      <w:r>
        <w:rPr>
          <w:rFonts w:ascii="Times New Roman" w:hAnsi="Times New Roman" w:eastAsia="Times New Roman" w:cs="Times New Roman"/>
          <w:color w:val="000000"/>
        </w:rPr>
        <w:t xml:space="preserve"> is the posterior log-odds, and b(ℓ) = 1/(1 + e</w:t>
      </w:r>
      <w:r>
        <w:rPr>
          <w:rFonts w:ascii="Times New Roman" w:hAnsi="Times New Roman" w:eastAsia="Times New Roman" w:cs="Times New Roman"/>
          <w:color w:val="000000"/>
          <w:vertAlign w:val="superscript"/>
        </w:rPr>
        <w:t xml:space="preserve">−ℓ</w:t>
      </w:r>
      <w:r>
        <w:rPr>
          <w:rFonts w:ascii="Times New Roman" w:hAnsi="Times New Roman" w:eastAsia="Times New Roman" w:cs="Times New Roman"/>
          <w:color w:val="000000"/>
        </w:rPr>
        <w:t xml:space="preserve">) is the posterior probability that the state is good. A person with evidence weighting γ uses the score L</w:t>
      </w:r>
      <w:r>
        <w:rPr>
          <w:rFonts w:ascii="Times New Roman" w:hAnsi="Times New Roman" w:eastAsia="Times New Roman" w:cs="Times New Roman"/>
          <w:color w:val="000000"/>
          <w:vertAlign w:val="subscript"/>
        </w:rPr>
        <w:t xml:space="preserve">t</w:t>
      </w:r>
      <w:r>
        <w:rPr>
          <w:rFonts w:ascii="Times New Roman" w:hAnsi="Times New Roman" w:eastAsia="Times New Roman" w:cs="Times New Roman"/>
          <w:color w:val="000000"/>
        </w:rPr>
        <w:t xml:space="preserve"> = γℓ</w:t>
      </w:r>
      <w:r>
        <w:rPr>
          <w:rFonts w:ascii="Times New Roman" w:hAnsi="Times New Roman" w:eastAsia="Times New Roman" w:cs="Times New Roman"/>
          <w:color w:val="000000"/>
          <w:vertAlign w:val="subscript"/>
        </w:rPr>
        <w:t xml:space="preserve">t</w:t>
      </w:r>
      <w:r>
        <w:rPr>
          <w:rFonts w:ascii="Times New Roman" w:hAnsi="Times New Roman" w:eastAsia="Times New Roman" w:cs="Times New Roman"/>
          <w:color w:val="000000"/>
        </w:rPr>
        <w:t xml:space="preserve"> (main-text equation 1). This is the log-likelihood ratio that would be correct if observations had spread σ/√γ, since 2x/(σ</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/γ) = γ·2x/σ</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w:t>
      </w:r>
    </w:p>
    <w:p>
      <w:pPr>
        <w:pStyle w:val="BodyText"/>
        <w:widowControl/>
        <w:ind w:firstLine="0"/>
      </w:pPr>
      <w:r>
        <w:rPr>
          <w:bCs/>
          <w:rFonts w:ascii="Times New Roman" w:hAnsi="Times New Roman" w:eastAsia="Times New Roman" w:cs="Times New Roman"/>
          <w:b/>
          <w:color w:val="000000"/>
        </w:rPr>
        <w:t xml:space="preserve">What overweighting does and does not distort.</w:t>
      </w:r>
      <w:r>
        <w:rPr>
          <w:rFonts w:ascii="Times New Roman" w:hAnsi="Times New Roman" w:eastAsia="Times New Roman" w:cs="Times New Roman"/>
          <w:color w:val="000000"/>
        </w:rPr>
        <w:t xml:space="preserve"> Under the perceived spread σ</w:t>
      </w:r>
      <w:r>
        <w:rPr>
          <w:rFonts w:ascii="Times New Roman" w:hAnsi="Times New Roman" w:eastAsia="Times New Roman" w:cs="Times New Roman"/>
          <w:color w:val="000000"/>
          <w:vertAlign w:val="subscript"/>
        </w:rPr>
        <w:t xml:space="preserve">p</w:t>
      </w:r>
      <w:r>
        <w:rPr>
          <w:rFonts w:ascii="Times New Roman" w:hAnsi="Times New Roman" w:eastAsia="Times New Roman" w:cs="Times New Roman"/>
          <w:color w:val="000000"/>
        </w:rPr>
        <w:t xml:space="preserve"> = σ/√γ, the person expects each increment of L to have mean ±2/σ</w:t>
      </w:r>
      <w:r>
        <w:rPr>
          <w:rFonts w:ascii="Times New Roman" w:hAnsi="Times New Roman" w:eastAsia="Times New Roman" w:cs="Times New Roman"/>
          <w:color w:val="000000"/>
          <w:vertAlign w:val="subscript"/>
        </w:rPr>
        <w:t xml:space="preserve">p</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 = ±2γ/σ</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 (positive in the good state) and variance 4/σ</w:t>
      </w:r>
      <w:r>
        <w:rPr>
          <w:rFonts w:ascii="Times New Roman" w:hAnsi="Times New Roman" w:eastAsia="Times New Roman" w:cs="Times New Roman"/>
          <w:color w:val="000000"/>
          <w:vertAlign w:val="subscript"/>
        </w:rPr>
        <w:t xml:space="preserve">p</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 = 4γ/σ</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 The actual increments γ·2x/σ</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 have the same mean, ±2γ/σ</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 but variance γ</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·4σ</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/σ</w:t>
      </w:r>
      <w:r>
        <w:rPr>
          <w:rFonts w:ascii="Times New Roman" w:hAnsi="Times New Roman" w:eastAsia="Times New Roman" w:cs="Times New Roman"/>
          <w:color w:val="000000"/>
          <w:vertAlign w:val="superscript"/>
        </w:rPr>
        <w:t xml:space="preserve">4</w:t>
      </w:r>
      <w:r>
        <w:rPr>
          <w:rFonts w:ascii="Times New Roman" w:hAnsi="Times New Roman" w:eastAsia="Times New Roman" w:cs="Times New Roman"/>
          <w:color w:val="000000"/>
        </w:rPr>
        <w:t xml:space="preserve"> = 4γ</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/σ</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 The overconfident person therefore expects the right average movement of the evidence but understates its noise by a factor γ in variance (√γ in standard deviation). The perceived precision enters both the update and the forecast of future observations, which is why correcting only the current score, leaves future observations looking too precise.</w:t>
      </w:r>
    </w:p>
    <w:p>
      <w:pPr>
        <w:pStyle w:val="BodyText"/>
        <w:widowControl/>
        <w:ind w:firstLine="0"/>
      </w:pPr>
      <w:r>
        <w:rPr>
          <w:bCs/>
          <w:rFonts w:ascii="Times New Roman" w:hAnsi="Times New Roman" w:eastAsia="Times New Roman" w:cs="Times New Roman"/>
          <w:b/>
          <w:color w:val="000000"/>
        </w:rPr>
        <w:t xml:space="preserve">Payoffs, costs and the dynamic program.</w:t>
      </w:r>
      <w:r>
        <w:rPr>
          <w:rFonts w:ascii="Times New Roman" w:hAnsi="Times New Roman" w:eastAsia="Times New Roman" w:cs="Times New Roman"/>
          <w:color w:val="000000"/>
        </w:rPr>
        <w:t xml:space="preserve"> Acting is final and succeeds with probability Q = 0.95 in the good state and 1 − Q in the bad state. Success pays R</w:t>
      </w:r>
      <w:r>
        <w:rPr>
          <w:rFonts w:ascii="Times New Roman" w:hAnsi="Times New Roman" w:eastAsia="Times New Roman" w:cs="Times New Roman"/>
          <w:color w:val="000000"/>
          <w:vertAlign w:val="subscript"/>
        </w:rPr>
        <w:t xml:space="preserve">OK</w:t>
      </w:r>
      <w:r>
        <w:rPr>
          <w:rFonts w:ascii="Times New Roman" w:hAnsi="Times New Roman" w:eastAsia="Times New Roman" w:cs="Times New Roman"/>
          <w:color w:val="000000"/>
        </w:rPr>
        <w:t xml:space="preserve"> = 20, failure R</w:t>
      </w:r>
      <w:r>
        <w:rPr>
          <w:rFonts w:ascii="Times New Roman" w:hAnsi="Times New Roman" w:eastAsia="Times New Roman" w:cs="Times New Roman"/>
          <w:color w:val="000000"/>
          <w:vertAlign w:val="subscript"/>
        </w:rPr>
        <w:t xml:space="preserve">BAD</w:t>
      </w:r>
      <w:r>
        <w:rPr>
          <w:rFonts w:ascii="Times New Roman" w:hAnsi="Times New Roman" w:eastAsia="Times New Roman" w:cs="Times New Roman"/>
          <w:color w:val="000000"/>
        </w:rPr>
        <w:t xml:space="preserve"> = −100, giving up 0. Every observation step, including the first, costs C = 0.5; the anxious person bears an additional C</w:t>
      </w:r>
      <w:r>
        <w:rPr>
          <w:rFonts w:ascii="Times New Roman" w:hAnsi="Times New Roman" w:eastAsia="Times New Roman" w:cs="Times New Roman"/>
          <w:color w:val="000000"/>
          <w:vertAlign w:val="subscript"/>
        </w:rPr>
        <w:t xml:space="preserve">anx</w:t>
      </w:r>
      <w:r>
        <w:rPr>
          <w:rFonts w:ascii="Times New Roman" w:hAnsi="Times New Roman" w:eastAsia="Times New Roman" w:cs="Times New Roman"/>
          <w:color w:val="000000"/>
        </w:rPr>
        <w:t xml:space="preserve"> per step and the fearful person an additional R</w:t>
      </w:r>
      <w:r>
        <w:rPr>
          <w:rFonts w:ascii="Times New Roman" w:hAnsi="Times New Roman" w:eastAsia="Times New Roman" w:cs="Times New Roman"/>
          <w:color w:val="000000"/>
          <w:vertAlign w:val="subscript"/>
        </w:rPr>
        <w:t xml:space="preserve">blame</w:t>
      </w:r>
      <w:r>
        <w:rPr>
          <w:rFonts w:ascii="Times New Roman" w:hAnsi="Times New Roman" w:eastAsia="Times New Roman" w:cs="Times New Roman"/>
          <w:color w:val="000000"/>
        </w:rPr>
        <w:t xml:space="preserve"> on failure after acting. With s(L) = Q b(L) + (1 − Q)(1 − b(L)) the perceived success probability and A(L) = s(L) R</w:t>
      </w:r>
      <w:r>
        <w:rPr>
          <w:rFonts w:ascii="Times New Roman" w:hAnsi="Times New Roman" w:eastAsia="Times New Roman" w:cs="Times New Roman"/>
          <w:color w:val="000000"/>
          <w:vertAlign w:val="subscript"/>
        </w:rPr>
        <w:t xml:space="preserve">OK</w:t>
      </w:r>
      <w:r>
        <w:rPr>
          <w:rFonts w:ascii="Times New Roman" w:hAnsi="Times New Roman" w:eastAsia="Times New Roman" w:cs="Times New Roman"/>
          <w:color w:val="000000"/>
        </w:rPr>
        <w:t xml:space="preserve"> + (1 − s(L))(R</w:t>
      </w:r>
      <w:r>
        <w:rPr>
          <w:rFonts w:ascii="Times New Roman" w:hAnsi="Times New Roman" w:eastAsia="Times New Roman" w:cs="Times New Roman"/>
          <w:color w:val="000000"/>
          <w:vertAlign w:val="subscript"/>
        </w:rPr>
        <w:t xml:space="preserve">BAD</w:t>
      </w:r>
      <w:r>
        <w:rPr>
          <w:rFonts w:ascii="Times New Roman" w:hAnsi="Times New Roman" w:eastAsia="Times New Roman" w:cs="Times New Roman"/>
          <w:color w:val="000000"/>
        </w:rPr>
        <w:t xml:space="preserve"> − R</w:t>
      </w:r>
      <w:r>
        <w:rPr>
          <w:rFonts w:ascii="Times New Roman" w:hAnsi="Times New Roman" w:eastAsia="Times New Roman" w:cs="Times New Roman"/>
          <w:color w:val="000000"/>
          <w:vertAlign w:val="subscript"/>
        </w:rPr>
        <w:t xml:space="preserve">blame</w:t>
      </w:r>
      <w:r>
        <w:rPr>
          <w:rFonts w:ascii="Times New Roman" w:hAnsi="Times New Roman" w:eastAsia="Times New Roman" w:cs="Times New Roman"/>
          <w:color w:val="000000"/>
        </w:rPr>
        <w:t xml:space="preserve">) the perceived value of acting, the value function satisfies main-text equation (2): V</w:t>
      </w:r>
      <w:r>
        <w:rPr>
          <w:rFonts w:ascii="Times New Roman" w:hAnsi="Times New Roman" w:eastAsia="Times New Roman" w:cs="Times New Roman"/>
          <w:color w:val="000000"/>
          <w:vertAlign w:val="subscript"/>
        </w:rPr>
        <w:t xml:space="preserve">H</w:t>
      </w:r>
      <w:r>
        <w:rPr>
          <w:rFonts w:ascii="Times New Roman" w:hAnsi="Times New Roman" w:eastAsia="Times New Roman" w:cs="Times New Roman"/>
          <w:color w:val="000000"/>
        </w:rPr>
        <w:t xml:space="preserve">(L) = max{A(L), 0} at the deadline and V</w:t>
      </w:r>
      <w:r>
        <w:rPr>
          <w:rFonts w:ascii="Times New Roman" w:hAnsi="Times New Roman" w:eastAsia="Times New Roman" w:cs="Times New Roman"/>
          <w:color w:val="000000"/>
          <w:vertAlign w:val="subscript"/>
        </w:rPr>
        <w:t xml:space="preserve">t</w:t>
      </w:r>
      <w:r>
        <w:rPr>
          <w:rFonts w:ascii="Times New Roman" w:hAnsi="Times New Roman" w:eastAsia="Times New Roman" w:cs="Times New Roman"/>
          <w:color w:val="000000"/>
        </w:rPr>
        <w:t xml:space="preserve">(L) = max{A(L), 0, −(C + C</w:t>
      </w:r>
      <w:r>
        <w:rPr>
          <w:rFonts w:ascii="Times New Roman" w:hAnsi="Times New Roman" w:eastAsia="Times New Roman" w:cs="Times New Roman"/>
          <w:color w:val="000000"/>
          <w:vertAlign w:val="subscript"/>
        </w:rPr>
        <w:t xml:space="preserve">anx</w:t>
      </w:r>
      <w:r>
        <w:rPr>
          <w:rFonts w:ascii="Times New Roman" w:hAnsi="Times New Roman" w:eastAsia="Times New Roman" w:cs="Times New Roman"/>
          <w:color w:val="000000"/>
        </w:rPr>
        <w:t xml:space="preserve">) + E[V</w:t>
      </w:r>
      <w:r>
        <w:rPr>
          <w:rFonts w:ascii="Times New Roman" w:hAnsi="Times New Roman" w:eastAsia="Times New Roman" w:cs="Times New Roman"/>
          <w:color w:val="000000"/>
          <w:vertAlign w:val="subscript"/>
        </w:rPr>
        <w:t xml:space="preserve">t+1</w:t>
      </w:r>
      <w:r>
        <w:rPr>
          <w:rFonts w:ascii="Times New Roman" w:hAnsi="Times New Roman" w:eastAsia="Times New Roman" w:cs="Times New Roman"/>
          <w:color w:val="000000"/>
        </w:rPr>
        <w:t>(L′) | L]} before it. The expectation uses the person’s perceived transition: L′ = L + κ(±1 + σ</w:t>
      </w:r>
      <w:r>
        <w:rPr>
          <w:rFonts w:ascii="Times New Roman" w:hAnsi="Times New Roman" w:eastAsia="Times New Roman" w:cs="Times New Roman"/>
          <w:color w:val="000000"/>
          <w:vertAlign w:val="subscript"/>
        </w:rPr>
        <w:t xml:space="preserve">p</w:t>
      </w:r>
      <w:r>
        <w:rPr>
          <w:rFonts w:ascii="Times New Roman" w:hAnsi="Times New Roman" w:eastAsia="Times New Roman" w:cs="Times New Roman"/>
          <w:color w:val="000000"/>
        </w:rPr>
        <w:t>z), where κ = 2/σ</w:t>
      </w:r>
      <w:r>
        <w:rPr>
          <w:rFonts w:ascii="Times New Roman" w:hAnsi="Times New Roman" w:eastAsia="Times New Roman" w:cs="Times New Roman"/>
          <w:color w:val="000000"/>
          <w:vertAlign w:val="subscript"/>
        </w:rPr>
        <w:t xml:space="preserve">p</w:t>
      </w:r>
      <w:r>
        <w:rPr>
          <w:rFonts w:ascii="Times New Roman" w:hAnsi="Times New Roman" w:eastAsia="Times New Roman" w:cs="Times New Roman"/>
          <w:color w:val="000000"/>
          <w:vertAlign w:val="superscript"/>
        </w:rPr>
        <w:t xml:space="preserve">2</w:t>
      </w:r>
      <w:r>
        <w:rPr>
          <w:rFonts w:ascii="Times New Roman" w:hAnsi="Times New Roman" w:eastAsia="Times New Roman" w:cs="Times New Roman"/>
          <w:color w:val="000000"/>
        </w:rPr>
        <w:t xml:space="preserve">, the sign is + with probability b(L) and − otherwise, and z is standard normal. The optimal policy is described by two thresholds at each step: act when L is at or above the upper threshold, give up when at or below the lower one, otherwise pay for another observation. At the deadline the person acts if A(L) ≥ 0 and gives up otherwise. The program checks that the act region and the give-up region are each one-sided at every step, so that the two thresholds describe the policy completely.</w:t>
      </w:r>
    </w:p>
    <w:p>
      <w:pPr>
        <w:pStyle w:val="BodyText"/>
        <w:widowControl/>
        <w:ind w:firstLine="0"/>
      </w:pPr>
      <w:r>
        <w:rPr>
          <w:bCs/>
          <w:rFonts w:ascii="Times New Roman" w:hAnsi="Times New Roman" w:eastAsia="Times New Roman" w:cs="Times New Roman"/>
          <w:b/>
          <w:color w:val="000000"/>
        </w:rPr>
        <w:t xml:space="preserve">Relief and the evidence channel.</w:t>
      </w:r>
      <w:r>
        <w:rPr>
          <w:rFonts w:ascii="Times New Roman" w:hAnsi="Times New Roman" w:eastAsia="Times New Roman" w:cs="Times New Roman"/>
          <w:color w:val="000000"/>
        </w:rPr>
        <w:t xml:space="preserve"> A verdict with relief θ replaces C</w:t>
      </w:r>
      <w:r>
        <w:rPr>
          <w:rFonts w:ascii="Times New Roman" w:hAnsi="Times New Roman" w:eastAsia="Times New Roman" w:cs="Times New Roman"/>
          <w:color w:val="000000"/>
          <w:vertAlign w:val="subscript"/>
        </w:rPr>
        <w:t xml:space="preserve">anx</w:t>
      </w:r>
      <w:r>
        <w:rPr>
          <w:rFonts w:ascii="Times New Roman" w:hAnsi="Times New Roman" w:eastAsia="Times New Roman" w:cs="Times New Roman"/>
          <w:color w:val="000000"/>
        </w:rPr>
        <w:t xml:space="preserve"> by (1 − θ)C</w:t>
      </w:r>
      <w:r>
        <w:rPr>
          <w:rFonts w:ascii="Times New Roman" w:hAnsi="Times New Roman" w:eastAsia="Times New Roman" w:cs="Times New Roman"/>
          <w:color w:val="000000"/>
          <w:vertAlign w:val="subscript"/>
        </w:rPr>
        <w:t xml:space="preserve">anx</w:t>
      </w:r>
      <w:r>
        <w:rPr>
          <w:rFonts w:ascii="Times New Roman" w:hAnsi="Times New Roman" w:eastAsia="Times New Roman" w:cs="Times New Roman"/>
          <w:color w:val="000000"/>
        </w:rPr>
        <w:t xml:space="preserve"> after “wait” and R</w:t>
      </w:r>
      <w:r>
        <w:rPr>
          <w:rFonts w:ascii="Times New Roman" w:hAnsi="Times New Roman" w:eastAsia="Times New Roman" w:cs="Times New Roman"/>
          <w:color w:val="000000"/>
          <w:vertAlign w:val="subscript"/>
        </w:rPr>
        <w:t xml:space="preserve">blame</w:t>
      </w:r>
      <w:r>
        <w:rPr>
          <w:rFonts w:ascii="Times New Roman" w:hAnsi="Times New Roman" w:eastAsia="Times New Roman" w:cs="Times New Roman"/>
          <w:color w:val="000000"/>
        </w:rPr>
        <w:t xml:space="preserve"> by (1 − θ)R</w:t>
      </w:r>
      <w:r>
        <w:rPr>
          <w:rFonts w:ascii="Times New Roman" w:hAnsi="Times New Roman" w:eastAsia="Times New Roman" w:cs="Times New Roman"/>
          <w:color w:val="000000"/>
          <w:vertAlign w:val="subscript"/>
        </w:rPr>
        <w:t xml:space="preserve">blame</w:t>
      </w:r>
      <w:r>
        <w:rPr>
          <w:rFonts w:ascii="Times New Roman" w:hAnsi="Times New Roman" w:eastAsia="Times New Roman" w:cs="Times New Roman"/>
          <w:color w:val="000000"/>
        </w:rPr>
        <w:t xml:space="preserve"> after “go” (equation 3), and the policy is re-solved with the relieved cost. Reported payoff is material: gains, losses and observation costs only. In the evidence-channel comparisons (Supplementary Tables S4 and S5) the verdict also shifts the perceived log-odds by +δ after “go” or −δ after “wait”; the person’s policy is unchanged and the shifted score is compared with the same thresholds.</w:t>
      </w:r>
    </w:p>
    <w:p>
      <w:pPr>
        <w:pStyle w:val="BodyText"/>
        <w:widowControl/>
        <w:ind w:firstLine="0"/>
      </w:pPr>
      <w:r>
        <w:rPr>
          <w:bCs/>
          <w:rFonts w:ascii="Times New Roman" w:hAnsi="Times New Roman" w:eastAsia="Times New Roman" w:cs="Times New Roman"/>
          <w:b/>
          <w:color w:val="000000"/>
        </w:rPr>
        <w:t xml:space="preserve">Devices.</w:t>
      </w:r>
      <w:r>
        <w:rPr>
          <w:rFonts w:ascii="Times New Roman" w:hAnsi="Times New Roman" w:eastAsia="Times New Roman" w:cs="Times New Roman"/>
          <w:color w:val="000000"/>
        </w:rPr>
        <w:t xml:space="preserve"> “Own judgment”: decisions from step 1 by the person’s own policy. “Interval only” (imposed wait): no decision before step k + 1, so that “two additional steps” means the first decision at step 3 with three observations in hand; observations arrive during the interval and each step is charged. “Blind wait”: the same interval, but no observation arrives during it; observations resume afterward in the same order, so the interval adds only its cost and shortens the effective horizon. “Verdict” (relief only): a random draw says “go” with probability p before the first decision; the relieved policy applies from step 1. “The procedure”: the interval and the verdict together. “Mirror”: after k = 2 observations the device says “go” to anyone whose own score makes the good state more likely than the bad state (γℓ</w:t>
      </w:r>
      <w:r>
        <w:rPr>
          <w:rFonts w:ascii="Times New Roman" w:hAnsi="Times New Roman" w:eastAsia="Times New Roman" w:cs="Times New Roman"/>
          <w:color w:val="000000"/>
          <w:vertAlign w:val="subscript"/>
        </w:rPr>
        <w:t xml:space="preserve">2</w:t>
      </w:r>
      <w:r>
        <w:rPr>
          <w:rFonts w:ascii="Times New Roman" w:hAnsi="Times New Roman" w:eastAsia="Times New Roman" w:cs="Times New Roman"/>
          <w:color w:val="000000"/>
        </w:rPr>
        <w:t xml:space="preserve"> &gt; 0) and “wait” to the rest; decisions start at step 3, and the matched random comparison draws “go” with the same frequency at the same step. “Common adjustment” (Supplementary Table S1): both of a person’s thresholds are multiplied by a factor f in perceived units; f* is the factor that brings the overconfident person’s first-step action threshold to the calibrated person’s. “Rule of thumb” (Supplementary Table S2): a one-step lookahead in place of the dynamic program; the person stops as soon as the better of acting now and giving up now is worth at least as much as taking exactly one more observation and then stopping, and acts if acting has positive perceived value. “Agent-timed decision” and the hand-off arrangements are defined in the Supplementary Note “Agent checking and follower scenarios”.</w:t>
      </w:r>
    </w:p>
    <w:p>
      <w:pPr>
        <w:pStyle w:val="BodyText"/>
        <w:widowControl/>
        <w:ind w:firstLine="0"/>
      </w:pPr>
      <w:r>
        <w:t xml:space="preserve">Calibration and threshold adjustment. For the overconfident type, recomputing the evidence score with γ = 1 and forecasting future observations with their actual spread σ gives the calibrated policy. Correcting the current score alone leaves future observations looking too precise. Supplementary Table S1 instead multiplies both decision thresholds by a common factor. A factor of 1.25 leaves the γ = 4 person’s bad-state action rate at 3.5%, compared with 2.1% after two additional observations. The factor 3.57, chosen to align the first-step action threshold with the calibrated threshold, reduces the rate to 0.21%. Thus, the comparison with required waiting depends on the adjustment chosen; applying that adjustment requires an estimate of how the person weights evidence.</w:t>
      </w:r>
    </w:p>
    <w:p>
      <w:pPr>
        <w:pStyle w:val="BodyText"/>
        <w:widowControl/>
        <w:ind w:firstLine="0"/>
      </w:pPr>
      <w:r>
        <w:rPr>
          <w:bCs/>
          <w:rFonts w:ascii="Times New Roman" w:hAnsi="Times New Roman" w:eastAsia="Times New Roman" w:cs="Times New Roman"/>
          <w:b/>
          <w:color w:val="000000"/>
        </w:rPr>
        <w:t xml:space="preserve">Numerical solution.</w:t>
      </w:r>
      <w:r>
        <w:rPr>
          <w:rFonts w:ascii="Times New Roman" w:hAnsi="Times New Roman" w:eastAsia="Times New Roman" w:cs="Times New Roman"/>
          <w:color w:val="000000"/>
        </w:rPr>
        <w:t xml:space="preserve"> Values are computed on a grid of L from −30 to 30 in steps of 0.025 (2,401 points) with linear interpolation, and the expectation over the next observation uses 31-node Gauss–Hermite quadrature. Thresholds are the first grid point at which acting is optimal and the last at which giving up is optimal. Supplementary Table S12 repeats the main comparisons with the grid step halved and quartered (4,801 and 9,601 points) and with the quadrature nodes halved and doubled (15 and 61). Refining the grid changes reported payoffs by at most 0.01 and error rates by at most 0.1 percentage points; doubling the nodes changes them by at most 0.02 and 0.2 points, and halving the nodes by at most 0.03 and 0.2 points. These checks assess numerical discretization at fixed random streams; Monte Carlo intervals describe the separate variation due to sampling.</w:t>
      </w:r>
    </w:p>
    <w:p>
      <w:pPr>
        <w:pStyle w:val="BodyText"/>
        <w:widowControl/>
        <w:ind w:firstLine="0"/>
      </w:pPr>
      <w:r>
        <w:rPr>
          <w:bCs/>
          <w:rFonts w:ascii="Times New Roman" w:hAnsi="Times New Roman" w:eastAsia="Times New Roman" w:cs="Times New Roman"/>
          <w:b/>
          <w:color w:val="000000"/>
        </w:rPr>
        <w:t xml:space="preserve">Simulation and paired comparisons.</w:t>
      </w:r>
      <w:r>
        <w:rPr>
          <w:rFonts w:ascii="Times New Roman" w:hAnsi="Times New Roman" w:eastAsia="Times New Roman" w:cs="Times New Roman"/>
          <w:color w:val="000000"/>
        </w:rPr>
        <w:t xml:space="preserve"> Each setting simulates 100,000 decisions per person in the main text and 60,000 per cell in the supplementary sweeps unless stated otherwise. For a given seed, four independent random streams supply the states, the observations, the verdict draws and the success draws, and every person and every device in a comparison uses the same streams. Differences between devices or persons are therefore paired: the 95% intervals reported for differences are 1.96 standard errors of the per-decision differences, and the intervals for population cells are computed from the per-decision average across the four persons. Seeds: Fig. 1 uses generator seed 3 with the selection criteria given in the figure legend; Fig. 2 seed 11; Fig. 3 seed 23; Table 3 and Supplementary Table S7 seed 31; Table 4 and Supplementary Tables S10 and S11 seed 31 with 100,000 decisions; Supplementary Fig. S1 seed 41; Supplementary Fig. S2 seed 43; Supplementary Fig. S3 seed 47; Supplementary Fig. S4 seed 51; Supplementary Table S1 seed 49; Supplementary Table S2 seed 53; Supplementary Tables S4, S5, S6 and S8 seed 23; Supplementary Table S9 seed 31; Supplementary Table S12 seeds 31 and 11. Because seeds differ across figures and tables, the same quantity can differ slightly between them (for example, the overconfident person’s bad-state action rate is 4.46% in Fig. 2 and 4.50% in Table 3). The reproducibility package, containing the simulation code, automated tests, result files and figures, is openly available at https://github.com/shijunzhe/oracle-interval and archived at Zenodo (https://doi.org/10.5281/zenodo.22967587). The script reproduce.sh is the entry point for regenerating the results and figures.</w:t>
      </w:r>
      <w:r>
        <w:rPr>
          <w:rStyle w:val="VerbatimChar"/>
          <w:rFonts w:ascii="Times New Roman" w:hAnsi="Times New Roman" w:eastAsia="Times New Roman" w:cs="Times New Roman"/>
          <w:color w:val="000000"/>
        </w:rPr>
      </w:r>
      <w:r>
        <w:rPr>
          <w:rFonts w:ascii="Times New Roman" w:hAnsi="Times New Roman" w:eastAsia="Times New Roman" w:cs="Times New Roman"/>
          <w:color w:val="000000"/>
        </w:rPr>
      </w:r>
    </w:p>
    <w:bookmarkEnd w:id="21"/>
    <w:bookmarkStart w:id="22" w:name="Xe5ccea5c31e5b5d14c8de22394e54687c3a73c6"/>
    <w:p>
      <w:pPr>
        <w:pStyle w:val="Heading2"/>
        <w:widowControl/>
        <w:ind w:firstLine="0"/>
        <w:keepNext/>
      </w:pPr>
      <w:r>
        <w:t xml:space="preserve">Casting probabilities and the model verdict</w:t>
      </w:r>
    </w:p>
    <w:p>
      <w:pPr>
        <w:pStyle w:val="FirstParagraph"/>
        <w:widowControl/>
        <w:ind w:firstLine="0"/>
      </w:pPr>
      <w:r>
        <w:t xml:space="preserve">Under the standard idealized stalk method, line values 6, 7, 8 and 9 have probabilities of 1/16, 5/16, 7/16 and 3/16, respectively. With three fair coins, the corresponding probabilities are 1/8, 3/8, 3/8 and 1/8 (Wilhelm and Baynes 1967). Values 6 and 9 mark changing lines, giving each line a one-in-four chance of changing under either method. Values 7 and 9 mark yang, or unbroken, lines, with a combined probability of one half. Independent casts therefore make all sixty-four primary hexagrams equally likely. These calculations assume an unmanipulated procedure and the standard randomization assumptions for each method; physical casting can depart from them.</w:t>
      </w:r>
    </w:p>
    <w:p>
      <w:pPr>
        <w:pStyle w:val="BodyText"/>
        <w:widowControl/>
        <w:ind w:firstLine="0"/>
      </w:pPr>
      <w:r>
        <w:t xml:space="preserve">A changing line identifies a passage for interpretation, and that passage may advise waiting. When several lines change, the interpretation also depends on the reading convention. If each of six independent lines has a one-in-four chance of changing, the probability that at least one changes is 1 − (3/4)⁶, about 82%. The model's p = 1/4 is therefore an illustrative probability for a “go” verdict; it does not represent the probability that a whole hexagram changes or recommends action. With fixed policies for each verdict, changing p changes the population average linearly while leaving the expected outcomes within each verdict group unchanged (Supplementary Fig. S2).</w:t>
      </w:r>
    </w:p>
    <w:p>
      <w:pPr>
        <w:pStyle w:val="Heading2"/>
        <w:pageBreakBefore/>
        <w:widowControl/>
        <w:ind w:firstLine="0"/>
        <w:keepNext/>
      </w:pPr>
      <w:r>
        <w:rPr>
          <w:rFonts w:ascii="Times New Roman" w:hAnsi="Times New Roman" w:eastAsia="Times New Roman" w:cs="Times New Roman"/>
          <w:color w:val="000000"/>
        </w:rPr>
        <w:t xml:space="preserve">Supplementary Note: Agent checking and follower scenarios</w:t>
      </w:r>
    </w:p>
    <w:p>
      <w:pPr>
        <w:pStyle w:val="FirstParagraph"/>
        <w:widowControl/>
        <w:ind w:firstLine="0"/>
      </w:pPr>
      <w:r>
        <w:rPr>
          <w:rFonts w:ascii="Times New Roman" w:hAnsi="Times New Roman" w:eastAsia="Times New Roman" w:cs="Times New Roman"/>
          <w:color w:val="000000"/>
        </w:rPr>
        <w:t xml:space="preserve">This extension compares the checking arrangements described in Section 6. A allows the user to act, give up or continue checking at the agent’s hand-off. B adds relief of both extra decision costs. C requires two new observations after hand-off before action can proceed, while allowing the user to give up at any point. D adds both forms of relief. Relief reduces the relevant extra costs by 70% and leaves beliefs unchanged. Material payoffs include the cost of every observation collected, including those obtained before hand-off, and exclude anxiety, blame and the costs of administering protection.</w:t>
      </w:r>
    </w:p>
    <w:p>
      <w:pPr>
        <w:pStyle w:val="BodyText"/>
        <w:widowControl/>
        <w:ind w:firstLine="0"/>
      </w:pPr>
      <w:r>
        <w:rPr>
          <w:rFonts w:ascii="Times New Roman" w:hAnsi="Times New Roman" w:eastAsia="Times New Roman" w:cs="Times New Roman"/>
          <w:color w:val="000000"/>
        </w:rPr>
        <w:t xml:space="preserve">Agent and user observe the same sequence of raw observations. Let ℓ</w:t>
      </w:r>
      <w:r>
        <w:rPr>
          <w:rFonts w:ascii="Times New Roman" w:hAnsi="Times New Roman" w:eastAsia="Times New Roman" w:cs="Times New Roman"/>
          <w:color w:val="000000"/>
          <w:vertAlign w:val="subscript"/>
        </w:rPr>
        <w:t xml:space="preserve">t</w:t>
      </w:r>
      <w:r>
        <w:rPr>
          <w:rFonts w:ascii="Times New Roman" w:hAnsi="Times New Roman" w:eastAsia="Times New Roman" w:cs="Times New Roman"/>
          <w:color w:val="000000"/>
        </w:rPr>
        <w:t xml:space="preserve"> denote the log-odds computed from those observations using equation (1) with γ = 1. The agent reads this history as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ℓ</w:t>
      </w:r>
      <w:r>
        <w:rPr>
          <w:rFonts w:ascii="Times New Roman" w:hAnsi="Times New Roman" w:eastAsia="Times New Roman" w:cs="Times New Roman"/>
          <w:color w:val="000000"/>
          <w:vertAlign w:val="subscript"/>
        </w:rPr>
        <w:t xml:space="preserve">t</w:t>
      </w:r>
      <w:r>
        <w:rPr>
          <w:rFonts w:ascii="Times New Roman" w:hAnsi="Times New Roman" w:eastAsia="Times New Roman" w:cs="Times New Roman"/>
          <w:color w:val="000000"/>
        </w:rPr>
        <w:t xml:space="preserve">; a user with weighting γ reads it as γℓ</w:t>
      </w:r>
      <w:r>
        <w:rPr>
          <w:rFonts w:ascii="Times New Roman" w:hAnsi="Times New Roman" w:eastAsia="Times New Roman" w:cs="Times New Roman"/>
          <w:color w:val="000000"/>
          <w:vertAlign w:val="subscript"/>
        </w:rPr>
        <w:t xml:space="preserve">t</w:t>
      </w:r>
      <w:r>
        <w:rPr>
          <w:rFonts w:ascii="Times New Roman" w:hAnsi="Times New Roman" w:eastAsia="Times New Roman" w:cs="Times New Roman"/>
          <w:color w:val="000000"/>
        </w:rPr>
        <w:t xml:space="preserve">. The user therefore reconstructs their own assessment from the raw history. The agent’s “act” or “give up” recommendation produces no additional belief update. Its influence on these users is through the hand-off time and the observation history then available.</w:t>
      </w:r>
    </w:p>
    <w:p>
      <w:pPr>
        <w:pStyle w:val="BodyText"/>
        <w:widowControl/>
        <w:ind w:firstLine="0"/>
      </w:pPr>
      <w:r>
        <w:rPr>
          <w:rFonts w:ascii="Times New Roman" w:hAnsi="Times New Roman" w:eastAsia="Times New Roman" w:cs="Times New Roman"/>
          <w:color w:val="000000"/>
        </w:rPr>
        <w:t>The agent solves equation (2) with γ = γ</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 xml:space="preserve"> and material costs only, C</w:t>
      </w:r>
      <w:r>
        <w:rPr>
          <w:rFonts w:ascii="Times New Roman" w:hAnsi="Times New Roman" w:eastAsia="Times New Roman" w:cs="Times New Roman"/>
          <w:color w:val="000000"/>
          <w:vertAlign w:val="subscript"/>
        </w:rPr>
        <w:t>anx</w:t>
      </w:r>
      <w:r>
        <w:rPr>
          <w:rFonts w:ascii="Times New Roman" w:hAnsi="Times New Roman" w:eastAsia="Times New Roman" w:cs="Times New Roman"/>
          <w:color w:val="000000"/>
        </w:rPr>
        <w:t xml:space="preserve"> = R</w:t>
      </w:r>
      <w:r>
        <w:rPr>
          <w:rFonts w:ascii="Times New Roman" w:hAnsi="Times New Roman" w:eastAsia="Times New Roman" w:cs="Times New Roman"/>
          <w:color w:val="000000"/>
          <w:vertAlign w:val="subscript"/>
        </w:rPr>
        <w:t>blame</w:t>
      </w:r>
      <w:r>
        <w:rPr>
          <w:rFonts w:ascii="Times New Roman" w:hAnsi="Times New Roman" w:eastAsia="Times New Roman" w:cs="Times New Roman"/>
          <w:color w:val="000000"/>
        </w:rPr>
        <w:t xml:space="preserve"> = 0. It uses the perceived observation spread σ/√γ</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 xml:space="preserve"> when forecasting future observations. Its hand-off time t</w:t>
      </w:r>
      <w:r>
        <w:rPr>
          <w:rFonts w:ascii="Times New Roman" w:hAnsi="Times New Roman" w:eastAsia="Times New Roman" w:cs="Times New Roman"/>
          <w:color w:val="000000"/>
          <w:vertAlign w:val="subscript"/>
        </w:rPr>
        <w:t>h</w:t>
      </w:r>
      <w:r>
        <w:rPr>
          <w:rFonts w:ascii="Times New Roman" w:hAnsi="Times New Roman" w:eastAsia="Times New Roman" w:cs="Times New Roman"/>
          <w:color w:val="000000"/>
        </w:rPr>
        <w:t xml:space="preserve"> is the first step at which this rule would act or give up. The user’s continuation policy uses their own evidence weighting and costs in equation (2). Under B and D, the additional costs in this continuation problem become (1 − θ)C</w:t>
      </w:r>
      <w:r>
        <w:rPr>
          <w:rFonts w:ascii="Times New Roman" w:hAnsi="Times New Roman" w:eastAsia="Times New Roman" w:cs="Times New Roman"/>
          <w:color w:val="000000"/>
          <w:vertAlign w:val="subscript"/>
        </w:rPr>
        <w:t>anx</w:t>
      </w:r>
      <w:r>
        <w:rPr>
          <w:rFonts w:ascii="Times New Roman" w:hAnsi="Times New Roman" w:eastAsia="Times New Roman" w:cs="Times New Roman"/>
          <w:color w:val="000000"/>
        </w:rPr>
        <w:t xml:space="preserve"> and (1 − θ)R</w:t>
      </w:r>
      <w:r>
        <w:rPr>
          <w:rFonts w:ascii="Times New Roman" w:hAnsi="Times New Roman" w:eastAsia="Times New Roman" w:cs="Times New Roman"/>
          <w:color w:val="000000"/>
          <w:vertAlign w:val="subscript"/>
        </w:rPr>
        <w:t>blame</w:t>
      </w:r>
      <w:r>
        <w:rPr>
          <w:rFonts w:ascii="Times New Roman" w:hAnsi="Times New Roman" w:eastAsia="Times New Roman" w:cs="Times New Roman"/>
          <w:color w:val="000000"/>
        </w:rPr>
        <w:t>, with θ = 0.7. These changes apply when the user takes over and leave the agent’s original hand-off time unchanged.</w:t>
      </w:r>
    </w:p>
    <w:p>
      <w:pPr>
        <w:pStyle w:val="BodyText"/>
        <w:widowControl/>
        <w:ind w:firstLine="0"/>
      </w:pPr>
      <w:r>
        <w:rPr>
          <w:rFonts w:ascii="Times New Roman" w:hAnsi="Times New Roman" w:eastAsia="Times New Roman" w:cs="Times New Roman"/>
          <w:color w:val="000000"/>
        </w:rPr>
        <w:t xml:space="preserve">Under C and D, the earliest permitted action is at t</w:t>
      </w:r>
      <w:r>
        <w:rPr>
          <w:rFonts w:ascii="Times New Roman" w:hAnsi="Times New Roman" w:eastAsia="Times New Roman" w:cs="Times New Roman"/>
          <w:color w:val="000000"/>
          <w:vertAlign w:val="subscript"/>
        </w:rPr>
        <w:t xml:space="preserve">h</w:t>
      </w:r>
      <w:r>
        <w:rPr>
          <w:rFonts w:ascii="Times New Roman" w:hAnsi="Times New Roman" w:eastAsia="Times New Roman" w:cs="Times New Roman"/>
          <w:color w:val="000000"/>
        </w:rPr>
        <w:t xml:space="preserve"> + 2, after observations at t</w:t>
      </w:r>
      <w:r>
        <w:rPr>
          <w:rFonts w:ascii="Times New Roman" w:hAnsi="Times New Roman" w:eastAsia="Times New Roman" w:cs="Times New Roman"/>
          <w:color w:val="000000"/>
          <w:vertAlign w:val="subscript"/>
        </w:rPr>
        <w:t xml:space="preserve">h</w:t>
      </w:r>
      <w:r>
        <w:rPr>
          <w:rFonts w:ascii="Times New Roman" w:hAnsi="Times New Roman" w:eastAsia="Times New Roman" w:cs="Times New Roman"/>
          <w:color w:val="000000"/>
        </w:rPr>
        <w:t xml:space="preserve"> + 1 and t</w:t>
      </w:r>
      <w:r>
        <w:rPr>
          <w:rFonts w:ascii="Times New Roman" w:hAnsi="Times New Roman" w:eastAsia="Times New Roman" w:cs="Times New Roman"/>
          <w:color w:val="000000"/>
          <w:vertAlign w:val="subscript"/>
        </w:rPr>
        <w:t xml:space="preserve">h</w:t>
      </w:r>
      <w:r>
        <w:rPr>
          <w:rFonts w:ascii="Times New Roman" w:hAnsi="Times New Roman" w:eastAsia="Times New Roman" w:cs="Times New Roman"/>
          <w:color w:val="000000"/>
        </w:rPr>
        <w:t xml:space="preserve"> + 2. Action is unavailable at hand-off and at the following step. Observations already collected by the agent do not count toward this requirement. Giving up remains available at every step. The policy is solved again with this constraint: before t</w:t>
      </w:r>
      <w:r>
        <w:rPr>
          <w:rFonts w:ascii="Times New Roman" w:hAnsi="Times New Roman" w:eastAsia="Times New Roman" w:cs="Times New Roman"/>
          <w:color w:val="000000"/>
          <w:vertAlign w:val="subscript"/>
        </w:rPr>
        <w:t xml:space="preserve">h</w:t>
      </w:r>
      <w:r>
        <w:rPr>
          <w:rFonts w:ascii="Times New Roman" w:hAnsi="Times New Roman" w:eastAsia="Times New Roman" w:cs="Times New Roman"/>
          <w:color w:val="000000"/>
        </w:rPr>
        <w:t xml:space="preserve"> + 2, equation (2) compares giving up with paying for another observation while time remains; from t</w:t>
      </w:r>
      <w:r>
        <w:rPr>
          <w:rFonts w:ascii="Times New Roman" w:hAnsi="Times New Roman" w:eastAsia="Times New Roman" w:cs="Times New Roman"/>
          <w:color w:val="000000"/>
          <w:vertAlign w:val="subscript"/>
        </w:rPr>
        <w:t xml:space="preserve">h</w:t>
      </w:r>
      <w:r>
        <w:rPr>
          <w:rFonts w:ascii="Times New Roman" w:hAnsi="Times New Roman" w:eastAsia="Times New Roman" w:cs="Times New Roman"/>
          <w:color w:val="000000"/>
        </w:rPr>
        <w:t xml:space="preserve"> + 2, acting is also available. The deadline remains H = 20 and the clock is not restarted at hand-off. If t</w:t>
      </w:r>
      <w:r>
        <w:rPr>
          <w:rFonts w:ascii="Times New Roman" w:hAnsi="Times New Roman" w:eastAsia="Times New Roman" w:cs="Times New Roman"/>
          <w:color w:val="000000"/>
          <w:vertAlign w:val="subscript"/>
        </w:rPr>
        <w:t xml:space="preserve">h</w:t>
      </w:r>
      <w:r>
        <w:rPr>
          <w:rFonts w:ascii="Times New Roman" w:hAnsi="Times New Roman" w:eastAsia="Times New Roman" w:cs="Times New Roman"/>
          <w:color w:val="000000"/>
        </w:rPr>
        <w:t xml:space="preserve"> + 2 &gt; H, action is never available and, with positive observation costs, giving up immediately is optimal.</w:t>
      </w:r>
    </w:p>
    <w:p>
      <w:pPr>
        <w:pStyle w:val="BodyText"/>
        <w:widowControl/>
        <w:ind w:firstLine="0"/>
      </w:pPr>
      <w:r>
        <w:rPr>
          <w:rFonts w:ascii="Times New Roman" w:hAnsi="Times New Roman" w:eastAsia="Times New Roman" w:cs="Times New Roman"/>
          <w:color w:val="000000"/>
        </w:rPr>
        <w:t xml:space="preserve">Early refusal can reduce the average number of additional observations below two when that average includes all hand-offs. Every decision that ends in action must still have acquired at least two new observations. Every observation actually collected is charged, including observations during the required interval. Because the rule permits early refusal, it need not reduce missed opportunities. In Fig. 2, both action and giving up are postponed until the initial waiting interval ends.</w:t>
      </w:r>
    </w:p>
    <w:p>
      <w:pPr>
        <w:pStyle w:val="BodyText"/>
        <w:widowControl/>
        <w:ind w:firstLine="0"/>
      </w:pPr>
      <w:r>
        <w:rPr>
          <w:rFonts w:ascii="Times New Roman" w:hAnsi="Times New Roman" w:eastAsia="Times New Roman" w:cs="Times New Roman"/>
          <w:color w:val="000000"/>
        </w:rPr>
        <w:t xml:space="preserve">In the run with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 4, the agent handed off at an average step of 1.54: 64% of hand-offs occurred at step 1 and 24% at step 2. The latest occurred at step 11. Thus every hand-off in that run left enough time for two new observations before the deadline. These timing figures describe the simulated sample; later hand-offs remain possible under the model.</w:t>
      </w:r>
    </w:p>
    <w:p>
      <w:pPr>
        <w:pStyle w:val="BodyText"/>
        <w:widowControl/>
        <w:ind w:firstLine="0"/>
      </w:pPr>
      <w:r>
        <w:rPr>
          <w:rFonts w:ascii="Times New Roman" w:hAnsi="Times New Roman" w:eastAsia="Times New Roman" w:cs="Times New Roman"/>
          <w:color w:val="000000"/>
        </w:rPr>
        <w:t xml:space="preserve">A share f follows the agent’s decision policy exactly. These followers add no checks of their own under A or B. Under C and D, the original hand-off time fixes when the two new observations begin to count. Followers adopt the agent’s continuation policy with action unavailable before t</w:t>
      </w:r>
      <w:r>
        <w:rPr>
          <w:rFonts w:ascii="Times New Roman" w:hAnsi="Times New Roman" w:eastAsia="Times New Roman" w:cs="Times New Roman"/>
          <w:color w:val="000000"/>
          <w:vertAlign w:val="subscript"/>
        </w:rPr>
        <w:t xml:space="preserve">h</w:t>
      </w:r>
      <w:r>
        <w:rPr>
          <w:rFonts w:ascii="Times New Roman" w:hAnsi="Times New Roman" w:eastAsia="Times New Roman" w:cs="Times New Roman"/>
          <w:color w:val="000000"/>
        </w:rPr>
        <w:t xml:space="preserve"> + 2 and giving up allowed throughout. Their behavior is fixed with respect to relief. The remaining share, 1 − f, comprises equal proportions of the four types in main Table 1. The reported design uses 100,000 decisions per type, shared random streams and seed 31, with agent weighting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 {1, 1.5, 2, 4, 6}. The full design varies f over {0, 0.25, 0.46, 0.59, 0.75, 0.86, 1}; Supplementary Table S11 reports all seven values of f; the main text quotes 0 and 0.86.</w:t>
      </w:r>
    </w:p>
    <w:p>
      <w:pPr>
        <w:pStyle w:val="BodyText"/>
        <w:widowControl/>
        <w:ind w:firstLine="0"/>
      </w:pPr>
      <w:r>
        <w:rPr>
          <w:rFonts w:ascii="Times New Roman" w:hAnsi="Times New Roman" w:eastAsia="Times New Roman" w:cs="Times New Roman"/>
          <w:color w:val="000000"/>
        </w:rPr>
        <w:t xml:space="preserve">Let M</w:t>
      </w:r>
      <w:r>
        <w:rPr>
          <w:rFonts w:ascii="Times New Roman" w:hAnsi="Times New Roman" w:eastAsia="Times New Roman" w:cs="Times New Roman"/>
          <w:color w:val="000000"/>
          <w:vertAlign w:val="subscript"/>
        </w:rPr>
        <w:t xml:space="preserve">A,F</w:t>
      </w:r>
      <w:r>
        <w:rPr>
          <w:rFonts w:ascii="Times New Roman" w:hAnsi="Times New Roman" w:eastAsia="Times New Roman" w:cs="Times New Roman"/>
          <w:color w:val="000000"/>
        </w:rPr>
        <w:t xml:space="preserve"> and M</w:t>
      </w:r>
      <w:r>
        <w:rPr>
          <w:rFonts w:ascii="Times New Roman" w:hAnsi="Times New Roman" w:eastAsia="Times New Roman" w:cs="Times New Roman"/>
          <w:color w:val="000000"/>
          <w:vertAlign w:val="subscript"/>
        </w:rPr>
        <w:t xml:space="preserve">C,F</w:t>
      </w:r>
      <w:r>
        <w:rPr>
          <w:rFonts w:ascii="Times New Roman" w:hAnsi="Times New Roman" w:eastAsia="Times New Roman" w:cs="Times New Roman"/>
          <w:color w:val="000000"/>
        </w:rPr>
        <w:t xml:space="preserve"> denote mean material payoff for followers under A and C, and M</w:t>
      </w:r>
      <w:r>
        <w:rPr>
          <w:rFonts w:ascii="Times New Roman" w:hAnsi="Times New Roman" w:eastAsia="Times New Roman" w:cs="Times New Roman"/>
          <w:color w:val="000000"/>
          <w:vertAlign w:val="subscript"/>
        </w:rPr>
        <w:t xml:space="preserve">A,O</w:t>
      </w:r>
      <w:r>
        <w:rPr>
          <w:rFonts w:ascii="Times New Roman" w:hAnsi="Times New Roman" w:eastAsia="Times New Roman" w:cs="Times New Roman"/>
          <w:color w:val="000000"/>
        </w:rPr>
        <w:t xml:space="preserve"> and M</w:t>
      </w:r>
      <w:r>
        <w:rPr>
          <w:rFonts w:ascii="Times New Roman" w:hAnsi="Times New Roman" w:eastAsia="Times New Roman" w:cs="Times New Roman"/>
          <w:color w:val="000000"/>
          <w:vertAlign w:val="subscript"/>
        </w:rPr>
        <w:t xml:space="preserve">C,O</w:t>
      </w:r>
      <w:r>
        <w:rPr>
          <w:rFonts w:ascii="Times New Roman" w:hAnsi="Times New Roman" w:eastAsia="Times New Roman" w:cs="Times New Roman"/>
          <w:color w:val="000000"/>
        </w:rPr>
        <w:t xml:space="preserve"> the corresponding means for the other users. The group payoff difference is:</w:t>
      </w:r>
    </w:p>
    <w:p>
      <w:pPr>
        <w:pStyle w:val="BodyText"/>
        <w:widowControl/>
        <w:ind w:firstLine="0"/>
      </w:pPr>
      <m:oMath>
        <m:r>
          <m:t>Δ</m:t>
        </m:r>
        <m:d>
          <m:dPr>
            <m:begChr m:val="("/>
            <m:endChr m:val=")"/>
            <m:sepChr m:val=""/>
            <m:grow/>
          </m:dPr>
          <m:e>
            <m:r>
              <m:t>f</m:t>
            </m:r>
            <m:r>
              <m:rPr>
                <m:sty m:val="p"/>
              </m:rPr>
              <m:t>,</m:t>
            </m:r>
            <m:r>
              <m:t> </m:t>
            </m:r>
            <m:sSub>
              <m:e>
                <m:r>
                  <m:t>γ</m:t>
                </m:r>
              </m:e>
              <m:sub>
                <m:r>
                  <m:t>a</m:t>
                </m:r>
              </m:sub>
            </m:sSub>
          </m:e>
        </m:d>
        <m:r>
          <m:t> </m:t>
        </m:r>
        <m:r>
          <m:rPr>
            <m:sty m:val="p"/>
          </m:rPr>
          <m:t>=</m:t>
        </m:r>
        <m:r>
          <m:t> </m:t>
        </m:r>
        <m:d>
          <m:dPr>
            <m:begChr m:val="("/>
            <m:endChr m:val=")"/>
            <m:sepChr m:val=""/>
            <m:grow/>
          </m:dPr>
          <m:e>
            <m:r>
              <m:t>1</m:t>
            </m:r>
            <m:r>
              <m:t> </m:t>
            </m:r>
            <m:r>
              <m:rPr>
                <m:sty m:val="p"/>
              </m:rPr>
              <m:t>−</m:t>
            </m:r>
            <m:r>
              <m:t> </m:t>
            </m:r>
            <m:r>
              <m:t>f</m:t>
            </m:r>
          </m:e>
        </m:d>
        <m:d>
          <m:dPr>
            <m:begChr m:val="("/>
            <m:endChr m:val=")"/>
            <m:sepChr m:val=""/>
            <m:grow/>
          </m:dPr>
          <m:e>
            <m:sSub>
              <m:e>
                <m:r>
                  <m:t>M</m:t>
                </m:r>
              </m:e>
              <m:sub>
                <m:r>
                  <m:t>C</m:t>
                </m:r>
                <m:r>
                  <m:rPr>
                    <m:sty m:val="p"/>
                  </m:rPr>
                  <m:t>,</m:t>
                </m:r>
                <m:r>
                  <m:t>O</m:t>
                </m:r>
              </m:sub>
            </m:sSub>
            <m:r>
              <m:t> </m:t>
            </m:r>
            <m:r>
              <m:rPr>
                <m:sty m:val="p"/>
              </m:rPr>
              <m:t>−</m:t>
            </m:r>
            <m:r>
              <m:t> </m:t>
            </m:r>
            <m:sSub>
              <m:e>
                <m:r>
                  <m:t>M</m:t>
                </m:r>
              </m:e>
              <m:sub>
                <m:r>
                  <m:t>A</m:t>
                </m:r>
                <m:r>
                  <m:rPr>
                    <m:sty m:val="p"/>
                  </m:rPr>
                  <m:t>,</m:t>
                </m:r>
                <m:r>
                  <m:t>O</m:t>
                </m:r>
              </m:sub>
            </m:sSub>
          </m:e>
        </m:d>
        <m:r>
          <m:t> </m:t>
        </m:r>
        <m:r>
          <m:rPr>
            <m:sty m:val="p"/>
          </m:rPr>
          <m:t>+</m:t>
        </m:r>
        <m:r>
          <m:t> </m:t>
        </m:r>
        <m:r>
          <m:t>f</m:t>
        </m:r>
        <m:d>
          <m:dPr>
            <m:begChr m:val="("/>
            <m:endChr m:val=")"/>
            <m:sepChr m:val=""/>
            <m:grow/>
          </m:dPr>
          <m:e>
            <m:sSub>
              <m:e>
                <m:r>
                  <m:t>M</m:t>
                </m:r>
              </m:e>
              <m:sub>
                <m:r>
                  <m:t>C</m:t>
                </m:r>
                <m:r>
                  <m:rPr>
                    <m:sty m:val="p"/>
                  </m:rPr>
                  <m:t>,</m:t>
                </m:r>
                <m:r>
                  <m:t>F</m:t>
                </m:r>
              </m:sub>
            </m:sSub>
            <m:r>
              <m:t> </m:t>
            </m:r>
            <m:r>
              <m:rPr>
                <m:sty m:val="p"/>
              </m:rPr>
              <m:t>−</m:t>
            </m:r>
            <m:r>
              <m:t> </m:t>
            </m:r>
            <m:sSub>
              <m:e>
                <m:r>
                  <m:t>M</m:t>
                </m:r>
              </m:e>
              <m:sub>
                <m:r>
                  <m:t>A</m:t>
                </m:r>
                <m:r>
                  <m:rPr>
                    <m:sty m:val="p"/>
                  </m:rPr>
                  <m:t>,</m:t>
                </m:r>
                <m:r>
                  <m:t>F</m:t>
                </m:r>
              </m:sub>
            </m:sSub>
          </m:e>
        </m:d>
        <m:r>
          <m:rPr>
            <m:sty m:val="p"/>
          </m:rPr>
          <m:t>.</m:t>
        </m:r>
      </m:oMath>
    </w:p>
    <w:p>
      <w:pPr>
        <w:pStyle w:val="BodyText"/>
        <w:widowControl/>
        <w:ind w:firstLine="0"/>
      </w:pPr>
      <w:r>
        <w:rPr>
          <w:rFonts w:ascii="Times New Roman" w:hAnsi="Times New Roman" w:eastAsia="Times New Roman" w:cs="Times New Roman"/>
          <w:color w:val="000000"/>
        </w:rPr>
        <w:t xml:space="preserve">This weighted-average identity holds for fixed policies and observation distributions. Its linear dependence on f follows from the population mixture; the component payoffs have to be calculated from the policies. It does not imply that the gain is the product of f and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w:t>
      </w:r>
    </w:p>
    <w:p>
      <w:pPr>
        <w:pStyle w:val="BodyText"/>
        <w:widowControl/>
        <w:ind w:firstLine="0"/>
      </w:pPr>
      <w:r>
        <w:rPr>
          <w:rFonts w:ascii="Times New Roman" w:hAnsi="Times New Roman" w:eastAsia="Times New Roman" w:cs="Times New Roman"/>
          <w:color w:val="000000"/>
        </w:rPr>
        <w:t xml:space="preserve">At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 4, the gain from C over A rises from 0.65 at f = 0 to 2.30 at f = 0.86. Over the same change in population, C’s absolute payoff falls from 4.09 to 3.59. The larger gain from required checks reflects worse performance under optional checking as more users follow the agent. At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 1, C has lower payoff than A in all reported mixtures. At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 1.5, the estimated differences range from −0.10 to 0.07 payoff units across the reported mixtures.</w:t>
      </w:r>
    </w:p>
    <w:p>
      <w:pPr>
        <w:pStyle w:val="BodyText"/>
        <w:widowControl/>
        <w:ind w:firstLine="0"/>
      </w:pPr>
      <w:r>
        <w:rPr>
          <w:rFonts w:ascii="Times New Roman" w:hAnsi="Times New Roman" w:eastAsia="Times New Roman" w:cs="Times New Roman"/>
          <w:color w:val="000000"/>
        </w:rPr>
        <w:t xml:space="preserve">For followers alone, payoff changes from 4.35 to 4.42 at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 1.5, 3.64 to 4.28 at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 2, 0.93 to 3.50 at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 4, and −0.62 to 3.05 at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 6 when required checks are added. At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 4, actions in the bad state fall from 4.50% to 1.15% of all decisions; at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 6, they fall from 6.10% to 1.53%. These rates concern the agent-checking arrangement in Section 6. Main Fig. 2 instead postpones both action and giving up for a waiting interval after the first observation.</w:t>
      </w:r>
    </w:p>
    <w:p>
      <w:pPr>
        <w:pStyle w:val="BodyText"/>
        <w:widowControl/>
        <w:ind w:firstLine="0"/>
      </w:pPr>
      <w:r>
        <w:rPr>
          <w:bCs/>
          <w:rFonts w:ascii="Times New Roman" w:hAnsi="Times New Roman" w:eastAsia="Times New Roman" w:cs="Times New Roman"/>
          <w:b/>
          <w:color w:val="000000"/>
        </w:rPr>
        <w:t xml:space="preserve">Properties of the constrained policy.</w:t>
      </w:r>
      <w:r>
        <w:rPr>
          <w:rFonts w:ascii="Times New Roman" w:hAnsi="Times New Roman" w:eastAsia="Times New Roman" w:cs="Times New Roman"/>
          <w:color w:val="000000"/>
        </w:rPr>
        <w:t xml:space="preserve"> Let T = t</w:t>
      </w:r>
      <w:r>
        <w:rPr>
          <w:rFonts w:ascii="Times New Roman" w:hAnsi="Times New Roman" w:eastAsia="Times New Roman" w:cs="Times New Roman"/>
          <w:color w:val="000000"/>
          <w:vertAlign w:val="subscript"/>
        </w:rPr>
        <w:t xml:space="preserve">h</w:t>
      </w:r>
      <w:r>
        <w:rPr>
          <w:rFonts w:ascii="Times New Roman" w:hAnsi="Times New Roman" w:eastAsia="Times New Roman" w:cs="Times New Roman"/>
          <w:color w:val="000000"/>
        </w:rPr>
        <w:t xml:space="preserve"> + 2 be the first step at which action is permitted. From step T onward the constrained policy coincides with the unconstrained policy for the same person, because the remaining problem is identical. Before T, the only way to stop is to give up, and the give-up threshold is at least as high as the unconstrained one: waiting is worth less when acting is out of reach, so a score that would have justified one more observation under the unconstrained policy can justify giving up under the constraint. Both properties are verified for every T by automated tests included in the reproducibility package. If T exceeds the deadline, giving up immediately is optimal because every observation costs C &gt; 0 and can no longer lead to an action.</w:t>
      </w:r>
    </w:p>
    <w:p>
      <w:pPr>
        <w:pStyle w:val="BodyText"/>
        <w:widowControl/>
        <w:ind w:firstLine="0"/>
      </w:pPr>
      <w:r>
        <w:rPr>
          <w:bCs/>
          <w:rFonts w:ascii="Times New Roman" w:hAnsi="Times New Roman" w:eastAsia="Times New Roman" w:cs="Times New Roman"/>
          <w:b/>
          <w:color w:val="000000"/>
        </w:rPr>
        <w:t xml:space="preserve">Timing in the γ</w:t>
      </w:r>
      <w:r>
        <w:rPr>
          <w:color w:val="000000"/>
          <w:vertAlign w:val="subscript"/>
          <w:bCs/>
          <w:rFonts w:ascii="Times New Roman" w:hAnsi="Times New Roman" w:eastAsia="Times New Roman" w:cs="Times New Roman"/>
          <w:b/>
        </w:rPr>
        <w:t xml:space="preserve">a</w:t>
      </w:r>
      <w:r>
        <w:rPr>
          <w:bCs/>
          <w:rFonts w:ascii="Times New Roman" w:hAnsi="Times New Roman" w:eastAsia="Times New Roman" w:cs="Times New Roman"/>
          <w:b/>
          <w:color w:val="000000"/>
        </w:rPr>
        <w:t xml:space="preserve"> = 4 run.</w:t>
      </w:r>
      <w:r>
        <w:rPr>
          <w:rFonts w:ascii="Times New Roman" w:hAnsi="Times New Roman" w:eastAsia="Times New Roman" w:cs="Times New Roman"/>
          <w:color w:val="000000"/>
        </w:rPr>
        <w:t xml:space="preserve"> The agent’s own rule would act at 47.5% of hand-offs and give up at 52.5%. Under arrangement C, the overconfident, anxious, fearful and overconfident-and-fearful persons give up at the hand-off step in 52.5% of decisions, and these are exactly the decisions at which the agent’s own rule gives up; the calibrated person gives up at hand-off in 18.6% of decisions. Giving up before the two required observations are complete occurs in 53.5% (overconfident), 54.0% (anxious), 54.6% (fearful), 54.0% (overconfident and fearful) and 35.8% (calibrated) of decisions. The mean number of observations collected after hand-off is 0.99 for the overconfident person, 1.11 for the anxious, 1.55 for the fearful and 2.25 for the calibrated person, although every decision that ends in action has at least two.</w:t>
      </w:r>
    </w:p>
    <w:p>
      <w:pPr>
        <w:pStyle w:val="BodyText"/>
        <w:widowControl/>
        <w:ind w:firstLine="0"/>
      </w:pPr>
      <w:r>
        <w:rPr>
          <w:bCs/>
          <w:rFonts w:ascii="Times New Roman" w:hAnsi="Times New Roman" w:eastAsia="Times New Roman" w:cs="Times New Roman"/>
          <w:b/>
          <w:color w:val="000000"/>
        </w:rPr>
        <w:t xml:space="preserve">Paired intervals.</w:t>
      </w:r>
      <w:r>
        <w:rPr>
          <w:rFonts w:ascii="Times New Roman" w:hAnsi="Times New Roman" w:eastAsia="Times New Roman" w:cs="Times New Roman"/>
          <w:color w:val="000000"/>
        </w:rPr>
        <w:t xml:space="preserve"> Because every arrangement uses the same random streams, differences are paired. For the equal mix of the four types (main Table 4), the 95% half-widths of the difference between required checks (C) and optional checks (A) are ±0.02 at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 1, ±0.02 at 1.5, ±0.02 at 2, ±0.03 at 4 and ±0.03 at 6; the corresponding half-widths for B − A and D − A are of the same order and are listed in the results file </w:t>
      </w:r>
      <w:r>
        <w:rPr>
          <w:rStyle w:val="VerbatimChar"/>
          <w:rFonts w:ascii="Times New Roman" w:hAnsi="Times New Roman" w:eastAsia="Times New Roman" w:cs="Times New Roman"/>
          <w:color w:val="000000"/>
        </w:rPr>
        <w:t xml:space="preserve">table4_agent_gamma.csv</w:t>
      </w:r>
      <w:r>
        <w:rPr>
          <w:rFonts w:ascii="Times New Roman" w:hAnsi="Times New Roman" w:eastAsia="Times New Roman" w:cs="Times New Roman"/>
          <w:color w:val="000000"/>
        </w:rPr>
        <w:t xml:space="preserve">. In the follower scenarios (Supplementary Table S11), the difference C − A at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 1.5 is −0.10 ± 0.02 at f = 0, −0.02 ± 0.03 at f = 0.46 and 0.04 ± 0.04 at f = 0.86. The interval includes zero at f = 0.46 and reaches zero at f = 0.86 at the displayed precision. For followers alone (f = 1), the difference is 0.07 ± 0.05. At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 4 the difference is 0.65 ± 0.03, 1.54 ± 0.07 and 2.30 ± 0.10 at the same three shares.</w:t>
      </w:r>
    </w:p>
    <w:bookmarkEnd w:id="22"/>
    <w:bookmarkStart w:id="23" w:name="what-the-empirical-studies-can-establish"/>
    <w:p>
      <w:pPr>
        <w:pStyle w:val="Heading2"/>
        <w:widowControl/>
        <w:ind w:firstLine="0"/>
        <w:keepNext/>
      </w:pPr>
      <w:r>
        <w:rPr>
          <w:rFonts w:ascii="Times New Roman" w:hAnsi="Times New Roman" w:eastAsia="Times New Roman" w:cs="Times New Roman"/>
          <w:color w:val="000000"/>
        </w:rPr>
        <w:t xml:space="preserve">What the empirical studies can establish</w:t>
      </w:r>
    </w:p>
    <w:p>
      <w:pPr>
        <w:pStyle w:val="FirstParagraph"/>
        <w:widowControl/>
        <w:ind w:firstLine="0"/>
      </w:pPr>
      <w:r>
        <w:rPr>
          <w:rFonts w:ascii="Times New Roman" w:hAnsi="Times New Roman" w:eastAsia="Times New Roman" w:cs="Times New Roman"/>
          <w:color w:val="000000"/>
        </w:rPr>
        <w:t xml:space="preserve">Fernandes et al. (2026) examined reasoning with a chatbot. Study 1 required at least one prompt per question; 113 of 246 participants used exactly one on every question. The researchers coded 145 participants’ open responses as showing high trust without critical scrutiny. These observations concern interaction frequency and reported review. Neither provides the fraction of users whose decisions always match an agent’s sequential decision policy. The 13.6% detection rate in the dangerous-command test discussed in Section 6 measures a different outcome in a different task. Its complement includes every reason for failing to block a command, not just a decision to follow the agent without checking.</w:t>
      </w:r>
    </w:p>
    <w:p>
      <w:pPr>
        <w:pStyle w:val="BodyText"/>
        <w:widowControl/>
        <w:ind w:firstLine="0"/>
      </w:pPr>
      <w:r>
        <w:rPr>
          <w:rFonts w:ascii="Times New Roman" w:hAnsi="Times New Roman" w:eastAsia="Times New Roman" w:cs="Times New Roman"/>
          <w:color w:val="000000"/>
        </w:rPr>
        <w:t xml:space="preserve">Boie et al. (2026) evaluated confidence and accuracy over 12,000 responses from six language models. Their expected calibration errors ranged from 0.060 to 0.127. An average absolute calibration gap does not identify a multiplier on sequential log-odds. Converting aggregate accuracy and confidence into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would require a model linking those measures to the same observations, prior and decision task. ECE also averages absolute differences, so adding it to mean accuracy does not in general recover mean confidence. The present simulations therefore examine illustrative weighting values without fitting them to that study.</w:t>
      </w:r>
    </w:p>
    <w:p>
      <w:pPr>
        <w:pStyle w:val="BodyText"/>
        <w:widowControl/>
        <w:ind w:firstLine="0"/>
      </w:pPr>
      <w:r>
        <w:rPr>
          <w:rFonts w:ascii="Times New Roman" w:hAnsi="Times New Roman" w:eastAsia="Times New Roman" w:cs="Times New Roman"/>
          <w:color w:val="000000"/>
        </w:rPr>
        <w:t xml:space="preserve">To estimate f for a specified deployment, a study would need to observe decisions after hand-off, including whether the user seeks new evidence, overrides the recommendation or accepts it without another check. Estimating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would require observing how an agent changes its assessment after successive observations whose information content is known. Repeated decisions would help separate stable user behavior from differences between tasks. These measurements would support a test of the simulation’s predicted changes across populations.</w:t>
      </w:r>
    </w:p>
    <w:bookmarkEnd w:id="23"/>
    <w:bookmarkStart w:id="37" w:name="parameter-choices-and-sensitivity-ranges"/>
    <w:p>
      <w:pPr>
        <w:pStyle w:val="Heading2"/>
        <w:widowControl/>
        <w:ind w:firstLine="0"/>
        <w:keepNext/>
      </w:pPr>
      <w:r>
        <w:rPr>
          <w:rFonts w:ascii="Times New Roman" w:hAnsi="Times New Roman" w:eastAsia="Times New Roman" w:cs="Times New Roman"/>
          <w:color w:val="000000"/>
        </w:rPr>
        <w:t xml:space="preserve">Parameter choices and sensitivity ranges</w:t>
      </w:r>
    </w:p>
    <w:p>
      <w:pPr>
        <w:pStyle w:val="FirstParagraph"/>
        <w:widowControl/>
        <w:ind w:firstLine="0"/>
      </w:pPr>
      <w:r>
        <w:rPr>
          <w:rFonts w:ascii="Times New Roman" w:hAnsi="Times New Roman" w:eastAsia="Times New Roman" w:cs="Times New Roman"/>
          <w:color w:val="000000"/>
        </w:rPr>
        <w:t xml:space="preserve">Main Table 2 retains parameter values and their direct meanings. Supplementary Table S3 summarizes the illustrative mappings and the ranges examined; the following explanations record the rationale and alternatives. Behavioral values illustrate pressures that the cited studies motivate; the numerical translations require further evidence to estimate their size in this sequential decision task.</w:t>
      </w:r>
    </w:p>
    <w:bookmarkStart w:id="24" w:name="σ-observation-spread-1.25"/>
    <w:p>
      <w:pPr>
        <w:pStyle w:val="Heading3"/>
        <w:widowControl/>
        <w:ind w:firstLine="0"/>
        <w:keepNext/>
      </w:pPr>
      <w:r>
        <w:rPr>
          <w:rFonts w:ascii="Times New Roman" w:hAnsi="Times New Roman" w:eastAsia="Times New Roman" w:cs="Times New Roman"/>
          <w:color w:val="000000"/>
        </w:rPr>
        <w:t xml:space="preserve">σ, observation spread 1.25</w:t>
      </w:r>
    </w:p>
    <w:p>
      <w:pPr>
        <w:pStyle w:val="FirstParagraph"/>
        <w:widowControl/>
        <w:ind w:firstLine="0"/>
      </w:pPr>
      <w:r>
        <w:rPr>
          <w:rFonts w:ascii="Times New Roman" w:hAnsi="Times New Roman" w:eastAsia="Times New Roman" w:cs="Times New Roman"/>
          <w:color w:val="000000"/>
        </w:rPr>
        <w:t xml:space="preserve">This spread makes observations informative while allowing them to mislead. Further observations can improve a decision, although one strong observation may be decisive.</w:t>
      </w:r>
    </w:p>
    <w:p>
      <w:pPr>
        <w:pStyle w:val="BodyText"/>
        <w:widowControl/>
        <w:ind w:firstLine="0"/>
      </w:pPr>
      <w:r>
        <w:rPr>
          <w:rFonts w:ascii="Times New Roman" w:hAnsi="Times New Roman" w:eastAsia="Times New Roman" w:cs="Times New Roman"/>
          <w:color w:val="000000"/>
        </w:rPr>
        <w:t xml:space="preserve">Sensitivity range: 1.0 to 1.5 (Supplementary Table S2).</w:t>
      </w:r>
    </w:p>
    <w:bookmarkEnd w:id="24"/>
    <w:bookmarkStart w:id="25" w:name="X18187ad3cbbfcc035a8c50f64d208c6a1efd410"/>
    <w:p>
      <w:pPr>
        <w:pStyle w:val="Heading3"/>
        <w:widowControl/>
        <w:ind w:firstLine="0"/>
        <w:keepNext/>
      </w:pPr>
      <w:r>
        <w:rPr>
          <w:rFonts w:ascii="Times New Roman" w:hAnsi="Times New Roman" w:eastAsia="Times New Roman" w:cs="Times New Roman"/>
          <w:color w:val="000000"/>
        </w:rPr>
        <w:t xml:space="preserve">R</w:t>
      </w:r>
      <w:r>
        <w:rPr>
          <w:rFonts w:ascii="Times New Roman" w:hAnsi="Times New Roman" w:eastAsia="Times New Roman" w:cs="Times New Roman"/>
          <w:color w:val="000000"/>
          <w:vertAlign w:val="subscript"/>
        </w:rPr>
        <w:t xml:space="preserve">OK</w:t>
      </w:r>
      <w:r>
        <w:rPr>
          <w:rFonts w:ascii="Times New Roman" w:hAnsi="Times New Roman" w:eastAsia="Times New Roman" w:cs="Times New Roman"/>
          <w:color w:val="000000"/>
        </w:rPr>
        <w:t xml:space="preserve">, R</w:t>
      </w:r>
      <w:r>
        <w:rPr>
          <w:rFonts w:ascii="Times New Roman" w:hAnsi="Times New Roman" w:eastAsia="Times New Roman" w:cs="Times New Roman"/>
          <w:color w:val="000000"/>
          <w:vertAlign w:val="subscript"/>
        </w:rPr>
        <w:t xml:space="preserve">BAD</w:t>
      </w:r>
      <w:r>
        <w:rPr>
          <w:rFonts w:ascii="Times New Roman" w:hAnsi="Times New Roman" w:eastAsia="Times New Roman" w:cs="Times New Roman"/>
          <w:color w:val="000000"/>
        </w:rPr>
        <w:t xml:space="preserve">, success and failure payoffs +20, −100</w:t>
      </w:r>
    </w:p>
    <w:p>
      <w:pPr>
        <w:pStyle w:val="FirstParagraph"/>
        <w:widowControl/>
        <w:ind w:firstLine="0"/>
      </w:pPr>
      <w:r>
        <w:rPr>
          <w:rFonts w:ascii="Times New Roman" w:hAnsi="Times New Roman" w:eastAsia="Times New Roman" w:cs="Times New Roman"/>
          <w:color w:val="000000"/>
        </w:rPr>
        <w:t xml:space="preserve">The paper examines decisions in which a failure costs substantially more than a success earns. These values illustrate that difference.</w:t>
      </w:r>
    </w:p>
    <w:p>
      <w:pPr>
        <w:pStyle w:val="BodyText"/>
        <w:widowControl/>
        <w:ind w:firstLine="0"/>
      </w:pPr>
      <w:r>
        <w:rPr>
          <w:rFonts w:ascii="Times New Roman" w:hAnsi="Times New Roman" w:eastAsia="Times New Roman" w:cs="Times New Roman"/>
          <w:color w:val="000000"/>
        </w:rPr>
        <w:t xml:space="preserve">Sensitivity range: 5:1 to 20:1, with Q and C changed alongside the ratio so that acting with certainty of the good state still has a positive value (Supplementary Fig. S1).</w:t>
      </w:r>
    </w:p>
    <w:bookmarkEnd w:id="25"/>
    <w:bookmarkStart w:id="26" w:name="c-observation-cost-0.5"/>
    <w:p>
      <w:pPr>
        <w:pStyle w:val="Heading3"/>
        <w:widowControl/>
        <w:ind w:firstLine="0"/>
        <w:keepNext/>
      </w:pPr>
      <w:r>
        <w:rPr>
          <w:rFonts w:ascii="Times New Roman" w:hAnsi="Times New Roman" w:eastAsia="Times New Roman" w:cs="Times New Roman"/>
          <w:color w:val="000000"/>
        </w:rPr>
        <w:t xml:space="preserve">C, observation cost 0.5</w:t>
      </w:r>
    </w:p>
    <w:p>
      <w:pPr>
        <w:pStyle w:val="FirstParagraph"/>
        <w:widowControl/>
        <w:ind w:firstLine="0"/>
      </w:pPr>
      <w:r>
        <w:rPr>
          <w:rFonts w:ascii="Times New Roman" w:hAnsi="Times New Roman" w:eastAsia="Times New Roman" w:cs="Times New Roman"/>
          <w:color w:val="000000"/>
        </w:rPr>
        <w:t xml:space="preserve">This illustrative cost gives waiting a material consequence. Its size is expressed relative to the gain and loss from acting.</w:t>
      </w:r>
    </w:p>
    <w:p>
      <w:pPr>
        <w:pStyle w:val="BodyText"/>
        <w:widowControl/>
        <w:ind w:firstLine="0"/>
      </w:pPr>
      <w:r>
        <w:rPr>
          <w:rFonts w:ascii="Times New Roman" w:hAnsi="Times New Roman" w:eastAsia="Times New Roman" w:cs="Times New Roman"/>
          <w:color w:val="000000"/>
        </w:rPr>
        <w:t xml:space="preserve">Sensitivity range: 0.25 to 1 (Supplementary Fig. S1; Table 3).</w:t>
      </w:r>
    </w:p>
    <w:bookmarkEnd w:id="26"/>
    <w:bookmarkStart w:id="27" w:name="Xc119c26ca7c42a7c3b0b833dc853445e4ed9965"/>
    <w:p>
      <w:pPr>
        <w:pStyle w:val="Heading3"/>
        <w:widowControl/>
        <w:ind w:firstLine="0"/>
        <w:keepNext/>
      </w:pPr>
      <w:r>
        <w:rPr>
          <w:rFonts w:ascii="Times New Roman" w:hAnsi="Times New Roman" w:eastAsia="Times New Roman" w:cs="Times New Roman"/>
          <w:color w:val="000000"/>
        </w:rPr>
        <w:t xml:space="preserve">Q, success probability in the good state 0.95</w:t>
      </w:r>
    </w:p>
    <w:p>
      <w:pPr>
        <w:pStyle w:val="FirstParagraph"/>
        <w:widowControl/>
        <w:ind w:firstLine="0"/>
      </w:pPr>
      <w:r>
        <w:rPr>
          <w:rFonts w:ascii="Times New Roman" w:hAnsi="Times New Roman" w:eastAsia="Times New Roman" w:cs="Times New Roman"/>
          <w:color w:val="000000"/>
        </w:rPr>
        <w:t xml:space="preserve">This value allows a well-supported action to fail. At Q ≤ 0.9375, the fearful person assigns acting a value of zero or less before relief, even when certain that the state is good.</w:t>
      </w:r>
    </w:p>
    <w:p>
      <w:pPr>
        <w:pStyle w:val="BodyText"/>
        <w:widowControl/>
        <w:ind w:firstLine="0"/>
      </w:pPr>
      <w:r>
        <w:rPr>
          <w:rFonts w:ascii="Times New Roman" w:hAnsi="Times New Roman" w:eastAsia="Times New Roman" w:cs="Times New Roman"/>
          <w:color w:val="000000"/>
        </w:rPr>
        <w:t xml:space="preserve">Sensitivity range: 0.90 to 1 (Supplementary Table S2).</w:t>
      </w:r>
    </w:p>
    <w:bookmarkEnd w:id="27"/>
    <w:bookmarkStart w:id="28" w:name="h-deadline-20"/>
    <w:p>
      <w:pPr>
        <w:pStyle w:val="Heading3"/>
        <w:widowControl/>
        <w:ind w:firstLine="0"/>
        <w:keepNext/>
      </w:pPr>
      <w:r>
        <w:rPr>
          <w:rFonts w:ascii="Times New Roman" w:hAnsi="Times New Roman" w:eastAsia="Times New Roman" w:cs="Times New Roman"/>
          <w:color w:val="000000"/>
        </w:rPr>
        <w:t xml:space="preserve">H, deadline 20</w:t>
      </w:r>
    </w:p>
    <w:p>
      <w:pPr>
        <w:pStyle w:val="FirstParagraph"/>
        <w:widowControl/>
        <w:ind w:firstLine="0"/>
      </w:pPr>
      <w:r>
        <w:rPr>
          <w:rFonts w:ascii="Times New Roman" w:hAnsi="Times New Roman" w:eastAsia="Times New Roman" w:cs="Times New Roman"/>
          <w:color w:val="000000"/>
        </w:rPr>
        <w:t xml:space="preserve">A fixed deadline makes the time remaining relevant to the choice between waiting and deciding.</w:t>
      </w:r>
    </w:p>
    <w:p>
      <w:pPr>
        <w:pStyle w:val="BodyText"/>
        <w:widowControl/>
        <w:ind w:firstLine="0"/>
      </w:pPr>
      <w:r>
        <w:rPr>
          <w:rFonts w:ascii="Times New Roman" w:hAnsi="Times New Roman" w:eastAsia="Times New Roman" w:cs="Times New Roman"/>
          <w:color w:val="000000"/>
        </w:rPr>
        <w:t xml:space="preserve">Sensitivity range: 8 to 40 (Supplementary Table S2).</w:t>
      </w:r>
    </w:p>
    <w:bookmarkEnd w:id="28"/>
    <w:bookmarkStart w:id="29" w:name="Xb2d035b6cccd3c3f27d06d6e45128ec499d27df"/>
    <w:p>
      <w:pPr>
        <w:pStyle w:val="Heading3"/>
        <w:widowControl/>
        <w:ind w:firstLine="0"/>
        <w:keepNext/>
      </w:pPr>
      <w:r>
        <w:rPr>
          <w:rFonts w:ascii="Times New Roman" w:hAnsi="Times New Roman" w:eastAsia="Times New Roman" w:cs="Times New Roman"/>
          <w:color w:val="000000"/>
        </w:rPr>
        <w:t xml:space="preserve">γ, overconfident person’s evidence weighting 4 (2 and 6 shown)</w:t>
      </w:r>
    </w:p>
    <w:p>
      <w:pPr>
        <w:pStyle w:val="FirstParagraph"/>
        <w:widowControl/>
        <w:ind w:firstLine="0"/>
      </w:pPr>
      <w:r>
        <w:rPr>
          <w:rFonts w:ascii="Times New Roman" w:hAnsi="Times New Roman" w:eastAsia="Times New Roman" w:cs="Times New Roman"/>
          <w:color w:val="000000"/>
        </w:rPr>
        <w:t xml:space="preserve">Managers’ stated 90% confidence intervals contained the answer in 36% to 58% of judgments across the industry groups reported by Russo and Schoemaker (1992, Table 1). Earlier studies also found intervals that were too narrow (Alpert and Raiffa 1982; Lichtenstein et al. 1982). A simple comparison using normally distributed judgments illustrates possible values of γ. Reducing the assumed spread to σ/√γ gives actual coverage of about 76%, 59% and 50% for stated 90% intervals at γ = 2, 4 and 6. This comparison motivates the illustrative range. Estimating sequential evidence weighting would require observations of that behavior.</w:t>
      </w:r>
    </w:p>
    <w:p>
      <w:pPr>
        <w:pStyle w:val="BodyText"/>
        <w:widowControl/>
        <w:ind w:firstLine="0"/>
      </w:pPr>
      <w:r>
        <w:rPr>
          <w:rFonts w:ascii="Times New Roman" w:hAnsi="Times New Roman" w:eastAsia="Times New Roman" w:cs="Times New Roman"/>
          <w:color w:val="000000"/>
        </w:rPr>
        <w:t xml:space="preserve">Sensitivity range: 1 to 6 (Fig. 2).</w:t>
      </w:r>
    </w:p>
    <w:bookmarkEnd w:id="29"/>
    <w:bookmarkStart w:id="30" w:name="X6637f87aa0b29136e001bcb250e4e1bcb8fd845"/>
    <w:p>
      <w:pPr>
        <w:pStyle w:val="Heading3"/>
        <w:widowControl/>
        <w:ind w:firstLine="0"/>
        <w:keepNext/>
      </w:pPr>
      <w:r>
        <w:rPr>
          <w:rFonts w:ascii="Times New Roman" w:hAnsi="Times New Roman" w:eastAsia="Times New Roman" w:cs="Times New Roman"/>
          <w:color w:val="000000"/>
        </w:rPr>
        <w:t xml:space="preserve">C</w:t>
      </w:r>
      <w:r>
        <w:rPr>
          <w:rFonts w:ascii="Times New Roman" w:hAnsi="Times New Roman" w:eastAsia="Times New Roman" w:cs="Times New Roman"/>
          <w:color w:val="000000"/>
          <w:vertAlign w:val="subscript"/>
        </w:rPr>
        <w:t xml:space="preserve">anx</w:t>
      </w:r>
      <w:r>
        <w:rPr>
          <w:rFonts w:ascii="Times New Roman" w:hAnsi="Times New Roman" w:eastAsia="Times New Roman" w:cs="Times New Roman"/>
          <w:color w:val="000000"/>
        </w:rPr>
        <w:t xml:space="preserve">, anxious person’s extra waiting cost 1.5</w:t>
      </w:r>
    </w:p>
    <w:p>
      <w:pPr>
        <w:pStyle w:val="FirstParagraph"/>
        <w:widowControl/>
        <w:ind w:firstLine="0"/>
      </w:pPr>
      <w:r>
        <w:rPr>
          <w:rFonts w:ascii="Times New Roman" w:hAnsi="Times New Roman" w:eastAsia="Times New Roman" w:cs="Times New Roman"/>
          <w:color w:val="000000"/>
        </w:rPr>
        <w:t xml:space="preserve">Studies of present bias, in which immediate outcomes receive extra weight, find a pooled β of about 0.75 for non-monetary outcomes, with a 95% interval of 0.64 to 0.86. Estimates for money are about 0.94 after adjustment for publication bias (Cheung et al. 2026). Here β describes the reduced weight given to delayed outcomes. Studies also document dread while waiting (Berns et al. 2006; Loewenstein 1987; Story et al. 2013). We assume an extra cost of 1.5 to illustrate substantial pressure to stop waiting. Converting β or measured dread into this model cost would require further evidence.</w:t>
      </w:r>
    </w:p>
    <w:p>
      <w:pPr>
        <w:pStyle w:val="BodyText"/>
        <w:widowControl/>
        <w:ind w:firstLine="0"/>
      </w:pPr>
      <w:r>
        <w:rPr>
          <w:rFonts w:ascii="Times New Roman" w:hAnsi="Times New Roman" w:eastAsia="Times New Roman" w:cs="Times New Roman"/>
          <w:color w:val="000000"/>
        </w:rPr>
        <w:t xml:space="preserve">Sensitivity range: 0.5 to 4 (Supplementary Fig. S4).</w:t>
      </w:r>
    </w:p>
    <w:bookmarkEnd w:id="30"/>
    <w:bookmarkStart w:id="31" w:name="X9fd2c5b452dafeb1671af82c9cef4b34fb46f30"/>
    <w:p>
      <w:pPr>
        <w:pStyle w:val="Heading3"/>
        <w:widowControl/>
        <w:ind w:firstLine="0"/>
        <w:keepNext/>
      </w:pPr>
      <w:r>
        <w:rPr>
          <w:rFonts w:ascii="Times New Roman" w:hAnsi="Times New Roman" w:eastAsia="Times New Roman" w:cs="Times New Roman"/>
          <w:color w:val="000000"/>
        </w:rPr>
        <w:t xml:space="preserve">R</w:t>
      </w:r>
      <w:r>
        <w:rPr>
          <w:rFonts w:ascii="Times New Roman" w:hAnsi="Times New Roman" w:eastAsia="Times New Roman" w:cs="Times New Roman"/>
          <w:color w:val="000000"/>
          <w:vertAlign w:val="subscript"/>
        </w:rPr>
        <w:t xml:space="preserve">blame</w:t>
      </w:r>
      <w:r>
        <w:rPr>
          <w:rFonts w:ascii="Times New Roman" w:hAnsi="Times New Roman" w:eastAsia="Times New Roman" w:cs="Times New Roman"/>
          <w:color w:val="000000"/>
        </w:rPr>
        <w:t xml:space="preserve">, fearful person’s extra failure cost 200</w:t>
      </w:r>
    </w:p>
    <w:p>
      <w:pPr>
        <w:pStyle w:val="FirstParagraph"/>
        <w:widowControl/>
        <w:ind w:firstLine="0"/>
      </w:pPr>
      <w:r>
        <w:rPr>
          <w:rFonts w:ascii="Times New Roman" w:hAnsi="Times New Roman" w:eastAsia="Times New Roman" w:cs="Times New Roman"/>
          <w:color w:val="000000"/>
        </w:rPr>
        <w:t xml:space="preserve">In hypothetical vaccination choices, people were reluctant to accept harm caused by action even when inaction was riskier (Ritov and Baron 1990). Delegation experiments also found that making a harmful choice personally could attract more punishment (Bartling and Fischbacher 2012). We represent fear of such judgment as an additional failure cost of 200. The resulting threefold total cost is an illustrative assumption whose size is not estimated by either study.</w:t>
      </w:r>
    </w:p>
    <w:p>
      <w:pPr>
        <w:pStyle w:val="BodyText"/>
        <w:widowControl/>
        <w:ind w:firstLine="0"/>
      </w:pPr>
      <w:r>
        <w:rPr>
          <w:rFonts w:ascii="Times New Roman" w:hAnsi="Times New Roman" w:eastAsia="Times New Roman" w:cs="Times New Roman"/>
          <w:color w:val="000000"/>
        </w:rPr>
        <w:t xml:space="preserve">Sensitivity range: 50 to 400 (Supplementary Fig. S4).</w:t>
      </w:r>
    </w:p>
    <w:bookmarkEnd w:id="31"/>
    <w:bookmarkStart w:id="32" w:name="θ-share-of-pressure-relieved-0.7"/>
    <w:p>
      <w:pPr>
        <w:pStyle w:val="Heading3"/>
        <w:widowControl/>
        <w:ind w:firstLine="0"/>
        <w:keepNext/>
      </w:pPr>
      <w:r>
        <w:rPr>
          <w:rFonts w:ascii="Times New Roman" w:hAnsi="Times New Roman" w:eastAsia="Times New Roman" w:cs="Times New Roman"/>
          <w:color w:val="000000"/>
        </w:rPr>
        <w:t xml:space="preserve">θ, share of pressure relieved 0.7</w:t>
      </w:r>
    </w:p>
    <w:p>
      <w:pPr>
        <w:pStyle w:val="FirstParagraph"/>
        <w:widowControl/>
        <w:ind w:firstLine="0"/>
      </w:pPr>
      <w:r>
        <w:rPr>
          <w:rFonts w:ascii="Times New Roman" w:hAnsi="Times New Roman" w:eastAsia="Times New Roman" w:cs="Times New Roman"/>
          <w:color w:val="000000"/>
        </w:rPr>
        <w:t xml:space="preserve">Delegation reduced punishment in an allocation game: a direct unfair choice attracted 4.27 punishment points, and delegation to another person attracted 1.31 in the same treatment, a reduction of about 69% (Bartling and Fischbacher 2012). Related studies examine leniency after delegation to a machine (Feier et al. 2022) and willingness to accept harm in markets (Falk and Szech 2013). Applying a 70% reduction to felt pressure transfers the numerical size across different measures. These studies motivate examining relief, while its size after a verdict or during anxious waiting requires separate estimation.</w:t>
      </w:r>
    </w:p>
    <w:p>
      <w:pPr>
        <w:pStyle w:val="BodyText"/>
        <w:widowControl/>
        <w:ind w:firstLine="0"/>
      </w:pPr>
      <w:r>
        <w:rPr>
          <w:rFonts w:ascii="Times New Roman" w:hAnsi="Times New Roman" w:eastAsia="Times New Roman" w:cs="Times New Roman"/>
          <w:color w:val="000000"/>
        </w:rPr>
        <w:t xml:space="preserve">Sensitivity range: 0 to 1 (Supplementary Fig. S3).</w:t>
      </w:r>
    </w:p>
    <w:bookmarkEnd w:id="32"/>
    <w:bookmarkStart w:id="33" w:name="p-probability-of-go-14"/>
    <w:p>
      <w:pPr>
        <w:pStyle w:val="Heading3"/>
        <w:widowControl/>
        <w:ind w:firstLine="0"/>
        <w:keepNext/>
      </w:pPr>
      <w:r>
        <w:rPr>
          <w:rFonts w:ascii="Times New Roman" w:hAnsi="Times New Roman" w:eastAsia="Times New Roman" w:cs="Times New Roman"/>
          <w:color w:val="000000"/>
        </w:rPr>
        <w:t xml:space="preserve">p, probability of “go” 1/4</w:t>
      </w:r>
    </w:p>
    <w:p>
      <w:pPr>
        <w:pStyle w:val="FirstParagraph"/>
        <w:widowControl/>
        <w:ind w:firstLine="0"/>
      </w:pPr>
      <w:r>
        <w:rPr>
          <w:rFonts w:ascii="Times New Roman" w:hAnsi="Times New Roman" w:eastAsia="Times New Roman" w:cs="Times New Roman"/>
          <w:color w:val="000000"/>
        </w:rPr>
        <w:t xml:space="preserve">The probability of a changing line in the casting procedure inspires this illustrative convention. Estimating the frequency of actionable advice would require evidence from whole consultations.</w:t>
      </w:r>
    </w:p>
    <w:p>
      <w:pPr>
        <w:pStyle w:val="BodyText"/>
        <w:widowControl/>
        <w:ind w:firstLine="0"/>
      </w:pPr>
      <w:r>
        <w:rPr>
          <w:rFonts w:ascii="Times New Roman" w:hAnsi="Times New Roman" w:eastAsia="Times New Roman" w:cs="Times New Roman"/>
          <w:color w:val="000000"/>
        </w:rPr>
        <w:t xml:space="preserve">Sensitivity range: 0 to 1 (Supplementary Fig. S2).</w:t>
      </w:r>
    </w:p>
    <w:bookmarkEnd w:id="33"/>
    <w:bookmarkStart w:id="34" w:name="k-imposed-waiting-steps-2-steps"/>
    <w:p>
      <w:pPr>
        <w:pStyle w:val="Heading3"/>
        <w:widowControl/>
        <w:ind w:firstLine="0"/>
        <w:keepNext/>
      </w:pPr>
      <w:r>
        <w:rPr>
          <w:rFonts w:ascii="Times New Roman" w:hAnsi="Times New Roman" w:eastAsia="Times New Roman" w:cs="Times New Roman"/>
          <w:color w:val="000000"/>
        </w:rPr>
        <w:t xml:space="preserve">k, imposed waiting steps 2 steps</w:t>
      </w:r>
    </w:p>
    <w:p>
      <w:pPr>
        <w:pStyle w:val="FirstParagraph"/>
        <w:keepNext/>
        <w:widowControl/>
        <w:ind w:firstLine="0"/>
      </w:pPr>
      <w:r>
        <w:rPr>
          <w:rFonts w:ascii="Times New Roman" w:hAnsi="Times New Roman" w:eastAsia="Times New Roman" w:cs="Times New Roman"/>
          <w:color w:val="000000"/>
        </w:rPr>
        <w:t xml:space="preserve">This short interval illustrates the benefit of further evidence and the cost of delay. Fig. 2 compares zero to five additional steps.</w:t>
      </w:r>
    </w:p>
    <w:p>
      <w:pPr>
        <w:pStyle w:val="BodyText"/>
        <w:widowControl/>
        <w:ind w:firstLine="0"/>
      </w:pPr>
      <w:r>
        <w:rPr>
          <w:rFonts w:ascii="Times New Roman" w:hAnsi="Times New Roman" w:eastAsia="Times New Roman" w:cs="Times New Roman"/>
          <w:color w:val="000000"/>
        </w:rPr>
        <w:t xml:space="preserve">Sensitivity range: 0 to 5 (Fig. 2).</w:t>
      </w:r>
    </w:p>
    <w:bookmarkEnd w:id="34"/>
    <w:bookmarkStart w:id="35" w:name="γa-agents-evidence-weighting-4"/>
    <w:p>
      <w:pPr>
        <w:pStyle w:val="Heading3"/>
        <w:widowControl/>
        <w:ind w:firstLine="0"/>
        <w:keepNext/>
      </w:pPr>
      <w:r>
        <w:rPr>
          <w:rFonts w:ascii="Times New Roman" w:hAnsi="Times New Roman" w:eastAsia="Times New Roman" w:cs="Times New Roman"/>
          <w:color w:val="000000"/>
        </w:rPr>
        <w:t xml:space="preserve">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agent’s evidence weighting 4</w:t>
      </w:r>
    </w:p>
    <w:p>
      <w:pPr>
        <w:pStyle w:val="FirstParagraph"/>
        <w:widowControl/>
        <w:ind w:firstLine="0"/>
      </w:pPr>
      <w:r>
        <w:rPr>
          <w:rFonts w:ascii="Times New Roman" w:hAnsi="Times New Roman" w:eastAsia="Times New Roman" w:cs="Times New Roman"/>
          <w:color w:val="000000"/>
        </w:rPr>
        <w:t xml:space="preserve">In tests of five language models, stated confidence commonly clustered between 80% and 100%. Overconfidence varied by model, task and prompting method (Xiong et al. 2024). These findings motivate examining an agent that weights evidence too heavily. We set γ</w:t>
      </w:r>
      <w:r>
        <w:rPr>
          <w:rFonts w:ascii="Times New Roman" w:hAnsi="Times New Roman" w:eastAsia="Times New Roman" w:cs="Times New Roman"/>
          <w:color w:val="000000"/>
          <w:vertAlign w:val="subscript"/>
        </w:rPr>
        <w:t xml:space="preserve">a</w:t>
      </w:r>
      <w:r>
        <w:rPr>
          <w:rFonts w:ascii="Times New Roman" w:hAnsi="Times New Roman" w:eastAsia="Times New Roman" w:cs="Times New Roman"/>
          <w:color w:val="000000"/>
        </w:rPr>
        <w:t xml:space="preserve"> = 4 to use the same illustrative evidence multiplier as the overconfident human type. Estimating this parameter for an agent would require evidence about how it uses successive observations.</w:t>
      </w:r>
    </w:p>
    <w:p>
      <w:pPr>
        <w:pStyle w:val="BodyText"/>
        <w:widowControl/>
        <w:ind w:firstLine="0"/>
      </w:pPr>
      <w:r>
        <w:rPr>
          <w:rFonts w:ascii="Times New Roman" w:hAnsi="Times New Roman" w:eastAsia="Times New Roman" w:cs="Times New Roman"/>
          <w:color w:val="000000"/>
        </w:rPr>
        <w:t xml:space="preserve">Sensitivity range: 1 to 6 (Supplementary Table S9).</w:t>
      </w:r>
    </w:p>
    <w:bookmarkEnd w:id="35"/>
    <w:bookmarkStart w:id="36" w:name="X4f86036648351aead1eebe69abec18310942756"/>
    <w:p>
      <w:pPr>
        <w:pStyle w:val="Heading3"/>
        <w:widowControl/>
        <w:ind w:firstLine="0"/>
        <w:keepNext/>
      </w:pPr>
      <w:r>
        <w:rPr>
          <w:rFonts w:ascii="Times New Roman" w:hAnsi="Times New Roman" w:eastAsia="Times New Roman" w:cs="Times New Roman"/>
          <w:color w:val="000000"/>
        </w:rPr>
        <w:t xml:space="preserve">δ, belief change caused by the verdict 0 (main); 1 (shift)</w:t>
      </w:r>
    </w:p>
    <w:p>
      <w:pPr>
        <w:pStyle w:val="FirstParagraph"/>
        <w:widowControl/>
        <w:ind w:firstLine="0"/>
      </w:pPr>
      <w:r>
        <w:rPr>
          <w:rFonts w:ascii="Times New Roman" w:hAnsi="Times New Roman" w:eastAsia="Times New Roman" w:cs="Times New Roman"/>
          <w:color w:val="000000"/>
        </w:rPr>
        <w:t xml:space="preserve">This illustrative change in belief tests what happens when a person also treats reassurance as evidence. The change at which a benefit reverses differs across decision types.</w:t>
      </w:r>
    </w:p>
    <w:p>
      <w:pPr>
        <w:pStyle w:val="BodyText"/>
        <w:widowControl/>
        <w:ind w:firstLine="0"/>
      </w:pPr>
      <w:r>
        <w:rPr>
          <w:rFonts w:ascii="Times New Roman" w:hAnsi="Times New Roman" w:eastAsia="Times New Roman" w:cs="Times New Roman"/>
          <w:color w:val="000000"/>
        </w:rPr>
        <w:t xml:space="preserve">Sensitivity range: 0 to 2 (Supplementary Table S4).</w:t>
      </w:r>
    </w:p>
    <w:p>
      <w:pPr>
        <w:pStyle w:val="BodyText"/>
        <w:widowControl/>
        <w:ind w:firstLine="0"/>
      </w:pPr>
      <w:r>
        <w:rPr>
          <w:rFonts w:ascii="Times New Roman" w:hAnsi="Times New Roman" w:eastAsia="Times New Roman" w:cs="Times New Roman"/>
          <w:color w:val="000000"/>
        </w:rPr>
        <w:t xml:space="preserve">Each main figure or table uses its own fixed random seed. For example, the overconfident person’s bad-state action rate is 4.46% in Fig. 2 and 4.50% in Table 3. Such differences concern Monte Carlo variation at fixed parameters; sensitivity analyses address the separate question of changing those parameters.</w:t>
      </w:r>
    </w:p>
    <w:bookmarkEnd w:id="36"/>
    <w:bookmarkEnd w:id="37"/>
    <w:bookmarkStart w:id="38" w:name="product-reports-and-review-settings"/>
    <w:p>
      <w:pPr>
        <w:pStyle w:val="Heading2"/>
        <w:widowControl/>
        <w:ind w:firstLine="0"/>
        <w:keepNext/>
      </w:pPr>
      <w:r>
        <w:rPr>
          <w:rFonts w:ascii="Times New Roman" w:hAnsi="Times New Roman" w:eastAsia="Times New Roman" w:cs="Times New Roman"/>
          <w:color w:val="000000"/>
        </w:rPr>
        <w:t xml:space="preserve">Product reports and review settings</w:t>
      </w:r>
    </w:p>
    <w:p>
      <w:pPr>
        <w:pStyle w:val="FirstParagraph"/>
        <w:widowControl/>
        <w:ind w:firstLine="0"/>
      </w:pPr>
      <w:r>
        <w:rPr>
          <w:rFonts w:ascii="Times New Roman" w:hAnsi="Times New Roman" w:eastAsia="Times New Roman" w:cs="Times New Roman"/>
          <w:color w:val="000000"/>
        </w:rPr>
        <w:t xml:space="preserve">Product reports describe how the work left to users changes when they delegate to an agent. In April 2025, Anthropic classified 79% of conversations with its programming agent as automation, compared with 49% in its chat product (Anthropic 2025a). A 2026 report gave a median of 13 conversational rounds for blog posts and articles in chat and Cowork, compared with a single human prompt in blog-producing Claude Code sessions (Anthropic 2026). The quality of users’ review is a separate question. In an internal survey conducted in August 2025, more than half of the engineers and researchers responding said they could fully delegate only 0% to 20% of their work. Their explanations described the need to supervise and verify the results (Anthropic 2025b). As agents perform more of a task, evaluation needs to examine the judgment users exercise over the work that remains.</w:t>
      </w:r>
    </w:p>
    <w:p>
      <w:pPr>
        <w:pStyle w:val="BodyText"/>
        <w:widowControl/>
        <w:ind w:firstLine="0"/>
      </w:pPr>
      <w:r>
        <w:rPr>
          <w:rFonts w:ascii="Times New Roman" w:hAnsi="Times New Roman" w:eastAsia="Times New Roman" w:cs="Times New Roman"/>
          <w:color w:val="000000"/>
        </w:rPr>
        <w:t xml:space="preserve">Anthropic reported that 62% of users had at some point used bypass mode or selected an option to stop asking about shell commands. It announced automatic checking as the default for new Pro, Max and Team sessions from 14 August 2026, preserving pinned settings (Phillippi 2026). The dates and settings identify the product configuration described; they do not establish the quality of a user’s review.</w:t>
      </w:r>
    </w:p>
    <w:p>
      <w:pPr>
        <w:pStyle w:val="BodyText"/>
        <w:widowControl/>
        <w:ind w:firstLine="0"/>
      </w:pPr>
      <w:r>
        <w:rPr>
          <w:rFonts w:ascii="Times New Roman" w:hAnsi="Times New Roman" w:eastAsia="Times New Roman" w:cs="Times New Roman"/>
          <w:color w:val="000000"/>
        </w:rPr>
        <w:t xml:space="preserve">The approval, rejection and bypass figures are taken from Anthropic’s reports (Hughes 2026; Phillippi 2026) and have not been independently verified for this article. The March approval rate of 93% and August rate of 97% are successive aggregate reports, so they do not track change in the same users. The 39% plan-rejection rate concerns a different stage of work. In the company-commissioned study, each of 1,053 paid testers encountered one dangerous command prompt, with harmful execution disabled. The detection rates describe performance in that setup. The usage shares (Anthropic 2025a, 2026) and internal survey are also company reports. The survey covered 132 engineers and researchers, with 53 interviewed (Anthropic 2025b). The August change to default settings applied to new Pro, Max and Team sessions and preserved pinned defaults; auto mode remained opt-in for enterprise and API deployments at the time of the announcement.</w:t>
      </w:r>
    </w:p>
    <w:p>
      <w:pPr>
        <w:pStyle w:val="BodyText"/>
        <w:widowControl/>
        <w:ind w:firstLine="0"/>
      </w:pPr>
      <w:r>
        <w:rPr>
          <w:rFonts w:ascii="Times New Roman" w:hAnsi="Times New Roman" w:eastAsia="Times New Roman" w:cs="Times New Roman"/>
          <w:color w:val="000000"/>
        </w:rPr>
        <w:t xml:space="preserve">OpenAI’s system card (2025b) reports confirmation recall in its evaluation: 91.0% overall, 99.9% for high-stakes communications and 100% for financial transactions. The report notes that evaluation errors may underestimate the overall rate. These figures measure whether the agent asks for confirmation when it should; they do not measure user approval. The system card also describes a watch mode that pauses execution when the user becomes inactive or leaves the conversation.</w:t>
      </w:r>
    </w:p>
    <w:bookmarkEnd w:id="38"/>
    <w:bookmarkStart w:id="39" w:name="legal-scope-and-application-dates"/>
    <w:p>
      <w:pPr>
        <w:pStyle w:val="Heading2"/>
        <w:widowControl/>
        <w:ind w:firstLine="0"/>
        <w:keepNext/>
      </w:pPr>
      <w:r>
        <w:rPr>
          <w:rFonts w:ascii="Times New Roman" w:hAnsi="Times New Roman" w:eastAsia="Times New Roman" w:cs="Times New Roman"/>
          <w:color w:val="000000"/>
        </w:rPr>
        <w:t xml:space="preserve">Legal scope and application dates</w:t>
      </w:r>
    </w:p>
    <w:p>
      <w:pPr>
        <w:pStyle w:val="FirstParagraph"/>
        <w:widowControl/>
        <w:ind w:firstLine="0"/>
      </w:pPr>
      <w:r>
        <w:rPr>
          <w:rFonts w:ascii="Times New Roman" w:hAnsi="Times New Roman" w:eastAsia="Times New Roman" w:cs="Times New Roman"/>
          <w:color w:val="000000"/>
        </w:rPr>
        <w:t xml:space="preserve">Liability depends on the jurisdiction, the parties’ roles and the harm involved. Directive (EU) 2024/2853 expressly includes software in product liability. Member states must transpose it by 9 December 2026, and it applies to products placed on the market or put into service after that date. Covered damage includes death or injury, specified property damage, and destruction or corruption of data used outside a professional activity. The directive provides no general cover for pure economic loss and imposes no insurance requirement (European Parliament and Council of the European Union 2024a, Articles 2, 4, 6 and 22).</w:t>
      </w:r>
    </w:p>
    <w:p>
      <w:pPr>
        <w:pStyle w:val="BodyText"/>
        <w:widowControl/>
        <w:ind w:firstLine="0"/>
      </w:pPr>
      <w:r>
        <w:rPr>
          <w:rFonts w:ascii="Times New Roman" w:hAnsi="Times New Roman" w:eastAsia="Times New Roman" w:cs="Times New Roman"/>
          <w:color w:val="000000"/>
        </w:rPr>
        <w:t xml:space="preserve">The AI Act’s human-oversight provisions appear in Articles 14 and 26(2) of Regulation (EU) 2024/1689 (European Parliament and Council of the European Union 2024b). High-risk systems include specified uses in Annex III and certain regulated products under Article 6(1). General-purpose programming or household use alone does not establish high-risk status. As amended by Regulation (EU) 2026/1744, Article 113 sets 2 December 2027 as the application date for the relevant Annex III provisions and 2 August 2028 for the relevant Article 6(1) provisions, subject to the Act’s scope and transition rules (European Parliament and Council of the European Union 2026). These dates reflect the law as of September 2026.</w:t>
      </w:r>
    </w:p>
    <w:p>
      <w:pPr>
        <w:pStyle w:val="BodyText"/>
        <w:widowControl/>
        <w:ind w:firstLine="0"/>
      </w:pPr>
      <w:r>
        <w:rPr>
          <w:rFonts w:ascii="Times New Roman" w:hAnsi="Times New Roman" w:eastAsia="Times New Roman" w:cs="Times New Roman"/>
          <w:color w:val="000000"/>
        </w:rPr>
        <w:t xml:space="preserve">The Article 29 Working Party discusses meaningful human involvement in its Guidelines on automated individual decision-making and profiling, WP251rev.01, adopted on 6 February 2018 (Article 29 Data Protection Working Party 2018). The guidance interprets GDPR Article 22, which concerns solely automated decisions with legal or similarly significant effects (European Parliament and Council of the European Union 2016, Article 22). Payment consent is addressed in Article 64 of Directive (EU) 2015/2366, and strong customer authentication in Article 97, subject to applicable exemptions (European Parliament and Council of the European Union 2015, Articles 64 and 97). These requirements need to be assessed for the action concerned; they do not impose a new manual approval for every agent action.</w:t>
      </w:r>
    </w:p>
    <w:bookmarkEnd w:id="39"/>
    <w:bookmarkStart w:id="40" w:name="X1c5ee42a882ddd17cd45325fa426911fccfe247"/>
    <w:p>
      <w:pPr>
        <w:pStyle w:val="Heading2"/>
        <w:widowControl/>
        <w:ind w:firstLine="0"/>
        <w:keepNext/>
      </w:pPr>
      <w:r>
        <w:rPr>
          <w:rFonts w:ascii="Times New Roman" w:hAnsi="Times New Roman" w:eastAsia="Times New Roman" w:cs="Times New Roman"/>
          <w:color w:val="000000"/>
        </w:rPr>
        <w:t xml:space="preserve">Protection for reporting and compensation for harm</w:t>
      </w:r>
    </w:p>
    <w:p>
      <w:pPr>
        <w:pStyle w:val="FirstParagraph"/>
        <w:widowControl/>
        <w:ind w:firstLine="0"/>
      </w:pPr>
      <w:r>
        <w:rPr>
          <w:rFonts w:ascii="Times New Roman" w:hAnsi="Times New Roman" w:eastAsia="Times New Roman" w:cs="Times New Roman"/>
          <w:color w:val="000000"/>
        </w:rPr>
        <w:t xml:space="preserve">Aviation reporting systems show how institutions can protect eligible reports and inadvertent conduct from specified sanctions, subject to exceptions and limits (Dekker 2009, 2016). Separate rules under the Montreal Convention govern compensation for covered passenger death or injury. In medicine, meeting the standard of care can protect a clinician from negligence liability after a bad result. Some systems also compensate eligible treatment injuries without requiring proof of negligence. Clinicians who follow AI advice remain subject to the applicable standard of care (Price et al. 2019). These arrangements allow conduct to be assessed using what the person could reasonably have known and done, while handling losses under separate rules. This is relevant to the problem of moral luck: outcomes can affect judgments of blame even when circumstances lie beyond a person’s control (Williams 1981; Nagel 1979). A record of the information and checks available before an approval can help a later reviewer assess the decision on that basis.</w:t>
      </w:r>
    </w:p>
    <w:p>
      <w:pPr>
        <w:pStyle w:val="BodyText"/>
        <w:widowControl/>
        <w:ind w:firstLine="0"/>
      </w:pPr>
      <w:r>
        <w:rPr>
          <w:rFonts w:ascii="Times New Roman" w:hAnsi="Times New Roman" w:eastAsia="Times New Roman" w:cs="Times New Roman"/>
          <w:color w:val="000000"/>
        </w:rPr>
        <w:t xml:space="preserve">Article 16 of Regulation (EU) 376/2014 provides specified protections for occurrence reports and the people mentioned in them (European Parliament and Council of the European Union 2014). Authorities must generally refrain from proceedings for inadvertent infringements that they learn of only through reporting, subject to national criminal law and stated exceptions. Separate protections restrict the use of reports in disciplinary or administrative proceedings and protect people from employer prejudice. These latter protections can apply even when an occurrence was already known. The regulation excludes wilful misconduct and serious disregard of an obvious risk, and it creates no general immunity from civil claims or criminal law. Member states may offer stronger protection.</w:t>
      </w:r>
    </w:p>
    <w:p>
      <w:pPr>
        <w:pStyle w:val="BodyText"/>
        <w:widowControl/>
        <w:ind w:firstLine="0"/>
      </w:pPr>
      <w:r>
        <w:rPr>
          <w:rFonts w:ascii="Times New Roman" w:hAnsi="Times New Roman" w:eastAsia="Times New Roman" w:cs="Times New Roman"/>
          <w:color w:val="000000"/>
        </w:rPr>
        <w:t xml:space="preserve">The US Aviation Safety Reporting Program can waive civil penalties or certificate suspension while retaining a finding that a violation occurred. Eligibility requires inadvertent conduct and excludes specified accidents, criminal offences and competency cases. It also requires no qualifying enforcement finding in the preceding five years and a report within ten days of the violation or of when it became, or should have become, known (Federal Aviation Administration 2021, para. 12.3).</w:t>
      </w:r>
    </w:p>
    <w:p>
      <w:pPr>
        <w:pStyle w:val="BodyText"/>
        <w:widowControl/>
        <w:ind w:firstLine="0"/>
      </w:pPr>
      <w:r>
        <w:rPr>
          <w:rFonts w:ascii="Times New Roman" w:hAnsi="Times New Roman" w:eastAsia="Times New Roman" w:cs="Times New Roman"/>
          <w:color w:val="000000"/>
        </w:rPr>
        <w:t xml:space="preserve">The Montreal Convention (1999), Articles 17, 20 and 21, provides a separate route to compensation for covered passenger death or bodily injury (International Civil Aviation Organization 1999). Within the first tier, a carrier cannot avoid liability merely by showing that it was not negligent. Above that tier, specified defences apply. A passenger’s own negligence or other wrongful conduct can reduce liability in either tier. The Convention’s conditions limit which events are covered. New Zealand’s ACC treatment-injury cover does not require proof of negligence, but it does require a qualifying injury caused by treatment from a registered health professional (Accident Compensation Corporation 2025). The US National Vaccine Injury Compensation Program also provides compensation without a negligence finding, subject to eligibility rules. For a claim determined on its merits, the Vaccine Injury Table can establish a rebuttable presumption of causation; otherwise, the claimant must prove that a covered vaccine caused the injury or significantly aggravated a pre-existing condition (Health Resources and Services Administration 2026).</w:t>
      </w:r>
    </w:p>
    <w:bookmarkEnd w:id="40"/>
    <w:bookmarkStart w:id="41" w:name="expert-reliance-and-payment-decisions"/>
    <w:p>
      <w:pPr>
        <w:pStyle w:val="Heading2"/>
        <w:widowControl/>
        <w:ind w:firstLine="0"/>
        <w:keepNext/>
      </w:pPr>
      <w:r>
        <w:rPr>
          <w:rFonts w:ascii="Times New Roman" w:hAnsi="Times New Roman" w:eastAsia="Times New Roman" w:cs="Times New Roman"/>
          <w:color w:val="000000"/>
        </w:rPr>
        <w:t xml:space="preserve">Expert reliance and payment decisions</w:t>
      </w:r>
    </w:p>
    <w:p>
      <w:pPr>
        <w:pStyle w:val="FirstParagraph"/>
        <w:widowControl/>
        <w:ind w:firstLine="0"/>
      </w:pPr>
      <w:r>
        <w:rPr>
          <w:rFonts w:ascii="Times New Roman" w:hAnsi="Times New Roman" w:eastAsia="Times New Roman" w:cs="Times New Roman"/>
          <w:color w:val="000000"/>
        </w:rPr>
        <w:t xml:space="preserve">In Smith v. Van Gorkom, 488 A.2d 858 (Supreme Court of Delaware 1985), the court found that directors breached their duty of care by approving a merger without adequate information. The transaction price exceeded the market price, but the court did not treat this fact as establishing fairness. Section 141(e) of the Delaware General Corporation Law protects specified good-faith reliance on corporate records and reports. It includes expert advice within the expert’s reasonably believed competence, provided the expert was selected with reasonable care (Delaware General Assembly n.d., § 141(e)). These examples show how one jurisdiction evaluates the process by which a decision was made.</w:t>
      </w:r>
    </w:p>
    <w:p>
      <w:pPr>
        <w:pStyle w:val="BodyText"/>
        <w:widowControl/>
        <w:ind w:firstLine="0"/>
      </w:pPr>
      <w:r>
        <w:rPr>
          <w:rFonts w:ascii="Times New Roman" w:hAnsi="Times New Roman" w:eastAsia="Times New Roman" w:cs="Times New Roman"/>
          <w:color w:val="000000"/>
        </w:rPr>
        <w:t xml:space="preserve">UK reimbursement rules introduced on 7 October 2024 cover eligible authorized push-payment scams, in which a customer is deceived into authorizing a transfer. They apply to transfers between UK accounts over Faster Payments or CHAPS, generally up to £85,000 per claim. The sending payment provider reimburses the customer and shares the cost with the receiving provider. Customer fraud and civil disputes are excluded. The exception for gross negligence has a high threshold and does not apply where the consumer’s vulnerability contributed to their being defrauded; other eligibility and claim conditions also apply (Payment Systems Regulator 2023, 2024, n.d.). This defined reimbursement scheme leaves some failed purchases and other losses outside its coverage.</w:t>
      </w:r>
    </w:p>
    <w:p>
      <w:pPr>
        <w:pStyle w:val="BodyText"/>
        <w:widowControl/>
        <w:ind w:firstLine="0"/>
      </w:pPr>
      <w:r>
        <w:rPr>
          <w:rFonts w:ascii="Times New Roman" w:hAnsi="Times New Roman" w:eastAsia="Times New Roman" w:cs="Times New Roman"/>
          <w:color w:val="000000"/>
        </w:rPr>
        <w:t xml:space="preserve">The Payment Services (Amendment) Regulations 2024 allow qualifying delays to investigate suspected fraud. A delay must last no longer than necessary and can extend at most to the end of the fourth business day following receipt of the order (HM Treasury 2024). A personal decision record can help explain conduct, although it may also be disclosed or used in proceedings. Aviation reports have specific protections, including restrictions on use under 14 CFR 91.25 and Articles 15 and 16 of Regulation (EU) 376/2014 (Federal Aviation Administration n.d.; European Parliament and Council of the European Union 2014). Those protections depend on the applicable rules; keeping a record alone creates no legal protection.</w:t>
      </w:r>
    </w:p>
    <w:bookmarkEnd w:id="41"/>
    <w:p>
      <w:pPr>
        <w:pStyle w:val="Heading2"/>
        <w:widowControl/>
        <w:ind w:firstLine="0"/>
        <w:pageBreakBefore/>
        <w:keepNext/>
      </w:pPr>
      <w:r>
        <w:rPr>
          <w:rFonts w:ascii="Times New Roman" w:hAnsi="Times New Roman" w:eastAsia="Times New Roman" w:cs="Times New Roman"/>
          <w:color w:val="000000"/>
        </w:rPr>
        <w:t xml:space="preserve">Supplementary References</w:t>
      </w:r>
    </w:p>
    <w:p>
      <w:pPr>
        <w:pStyle w:val="FirstParagraph"/>
        <w:keepLines/>
        <w:widowControl/>
        <w:spacing w:after="120"/>
        <w:ind w:left="288" w:hanging="288"/>
      </w:pPr>
      <w:r>
        <w:rPr>
          <w:rFonts w:ascii="Times New Roman" w:hAnsi="Times New Roman" w:eastAsia="Times New Roman" w:cs="Times New Roman"/>
          <w:color w:val="000000"/>
          <w:sz w:val="20"/>
        </w:rPr>
        <w:t xml:space="preserve">Accident Compensation Corporation (2025) Injuries we cover. Published 1 September 2025. https://www.acc.co.nz/im-injured/what-we-cover/injuries-we-cover. Accessed 10 Sep 2026</w:t>
      </w:r>
    </w:p>
    <w:p>
      <w:pPr>
        <w:pStyle w:val="BodyText"/>
        <w:keepLines/>
        <w:widowControl/>
        <w:spacing w:after="120"/>
        <w:ind w:left="288" w:hanging="288"/>
      </w:pPr>
      <w:r>
        <w:rPr>
          <w:rFonts w:ascii="Times New Roman" w:hAnsi="Times New Roman" w:eastAsia="Times New Roman" w:cs="Times New Roman"/>
          <w:color w:val="000000"/>
          <w:sz w:val="20"/>
        </w:rPr>
        <w:t xml:space="preserve">Alpert M, Raiffa H (1982) A progress report on the training of probability assessors. In: Kahneman D, Slovic P, Tversky A (eds) Judgment under uncertainty: heuristics and biases. Cambridge University Press, Cambridge, p 294–305. https://doi.org/10.1017/CBO9780511809477.022</w:t>
      </w:r>
    </w:p>
    <w:p>
      <w:pPr>
        <w:pStyle w:val="BodyText"/>
        <w:keepLines/>
        <w:widowControl/>
        <w:spacing w:after="120"/>
        <w:ind w:left="288" w:hanging="288"/>
      </w:pPr>
      <w:r>
        <w:rPr>
          <w:rFonts w:ascii="Times New Roman" w:hAnsi="Times New Roman" w:eastAsia="Times New Roman" w:cs="Times New Roman"/>
          <w:color w:val="000000"/>
          <w:sz w:val="20"/>
        </w:rPr>
        <w:t xml:space="preserve">Anthropic (2025a) Anthropic Economic Index: AI’s impact on software development. Anthropic, San Francisco. https://www.anthropic.com/news/impact-software-development. Accessed 7 Sep 2026</w:t>
      </w:r>
    </w:p>
    <w:p>
      <w:pPr>
        <w:pStyle w:val="BodyText"/>
        <w:keepLines/>
        <w:widowControl/>
        <w:spacing w:after="120"/>
        <w:ind w:left="288" w:hanging="288"/>
      </w:pPr>
      <w:r>
        <w:rPr>
          <w:rFonts w:ascii="Times New Roman" w:hAnsi="Times New Roman" w:eastAsia="Times New Roman" w:cs="Times New Roman"/>
          <w:color w:val="000000"/>
          <w:sz w:val="20"/>
        </w:rPr>
        <w:t xml:space="preserve">Anthropic (2025b) How AI is transforming work at Anthropic. Anthropic, San Francisco. https://www.anthropic.com/research/how-ai-is-transforming-work-at-anthropic. Accessed 7 Sep 2026</w:t>
      </w:r>
    </w:p>
    <w:p>
      <w:pPr>
        <w:pStyle w:val="BodyText"/>
        <w:keepLines/>
        <w:widowControl/>
        <w:spacing w:after="120"/>
        <w:ind w:left="288" w:hanging="288"/>
      </w:pPr>
      <w:r>
        <w:rPr>
          <w:rFonts w:ascii="Times New Roman" w:hAnsi="Times New Roman" w:eastAsia="Times New Roman" w:cs="Times New Roman"/>
          <w:color w:val="000000"/>
          <w:sz w:val="20"/>
        </w:rPr>
        <w:t xml:space="preserve">Anthropic (2026) Anthropic Economic Index report: cadences. Anthropic, San Francisco, 26 Jun 2026. https://www.anthropic.com/research/economic-index-june-2026-report. Accessed 7 Sep 2026</w:t>
      </w:r>
    </w:p>
    <w:p>
      <w:pPr>
        <w:pStyle w:val="BodyText"/>
        <w:keepLines/>
        <w:widowControl/>
        <w:spacing w:after="120"/>
        <w:ind w:left="288" w:hanging="288"/>
      </w:pPr>
      <w:r>
        <w:rPr>
          <w:rFonts w:ascii="Times New Roman" w:hAnsi="Times New Roman" w:eastAsia="Times New Roman" w:cs="Times New Roman"/>
          <w:color w:val="000000"/>
          <w:sz w:val="20"/>
        </w:rPr>
        <w:t xml:space="preserve">Article 29 Data Protection Working Party (2018) Guidelines on automated individual decision-making and profiling for the purposes of Regulation 2016/679. WP251rev.01, revised and adopted 6 February 2018. European Commission. https://ec.europa.eu/newsroom/article29/items/612053</w:t>
      </w:r>
    </w:p>
    <w:p>
      <w:pPr>
        <w:pStyle w:val="BodyText"/>
        <w:keepLines/>
        <w:widowControl/>
        <w:spacing w:after="120"/>
        <w:ind w:left="288" w:hanging="288"/>
      </w:pPr>
      <w:r>
        <w:rPr>
          <w:rFonts w:ascii="Times New Roman" w:hAnsi="Times New Roman" w:eastAsia="Times New Roman" w:cs="Times New Roman"/>
          <w:color w:val="000000"/>
          <w:sz w:val="20"/>
        </w:rPr>
        <w:t xml:space="preserve">Bartling B, Fischbacher U (2012) Shifting the blame: on delegation and responsibility. The Review of Economic Studies 79:67–87. https://doi.org/10.1093/restud/rdr023</w:t>
      </w:r>
    </w:p>
    <w:p>
      <w:pPr>
        <w:pStyle w:val="BodyText"/>
        <w:keepLines/>
        <w:widowControl/>
        <w:spacing w:after="120"/>
        <w:ind w:left="288" w:hanging="288"/>
      </w:pPr>
      <w:r>
        <w:rPr>
          <w:rFonts w:ascii="Times New Roman" w:hAnsi="Times New Roman" w:eastAsia="Times New Roman" w:cs="Times New Roman"/>
          <w:color w:val="000000"/>
          <w:sz w:val="20"/>
        </w:rPr>
        <w:t xml:space="preserve">Berns GS, Chappelow J, Cekic M, Zink CF, Pagnoni G, Martin-Skurski ME (2006) Neurobiological substrates of dread. Science 312:754–758. https://doi.org/10.1126/science.1123721</w:t>
      </w:r>
    </w:p>
    <w:p>
      <w:pPr>
        <w:pStyle w:val="BodyText"/>
        <w:keepLines/>
        <w:widowControl/>
        <w:spacing w:after="120"/>
        <w:ind w:left="288" w:hanging="288"/>
      </w:pPr>
      <w:r>
        <w:rPr>
          <w:rFonts w:ascii="Times New Roman" w:hAnsi="Times New Roman" w:eastAsia="Times New Roman" w:cs="Times New Roman"/>
          <w:color w:val="000000"/>
          <w:sz w:val="20"/>
        </w:rPr>
        <w:t xml:space="preserve">Boie SD, Reis F, Frey N, Grünewald E, Balzer F (2026) Calibration of self-reported confidence and accuracy of large language models in medical question answering. Journal of Medical Systems 50:103. https://doi.org/10.1007/s10916-026-02430-0</w:t>
      </w:r>
    </w:p>
    <w:p>
      <w:pPr>
        <w:pStyle w:val="BodyText"/>
        <w:keepLines/>
        <w:widowControl/>
        <w:spacing w:after="120"/>
        <w:ind w:left="288" w:hanging="288"/>
      </w:pPr>
      <w:r>
        <w:rPr>
          <w:rFonts w:ascii="Times New Roman" w:hAnsi="Times New Roman" w:eastAsia="Times New Roman" w:cs="Times New Roman"/>
          <w:color w:val="000000"/>
          <w:sz w:val="20"/>
        </w:rPr>
        <w:t xml:space="preserve">Cheung SL, Tymula A, Wang X (2026) A meta-analysis of quasi-hyperbolic discounting. Management Science, published online 8 April 2026. https://doi.org/10.1287/mnsc.2023.04003</w:t>
      </w:r>
    </w:p>
    <w:p>
      <w:pPr>
        <w:pStyle w:val="BodyText"/>
        <w:keepLines/>
        <w:widowControl/>
        <w:spacing w:after="120"/>
        <w:ind w:left="288" w:hanging="288"/>
      </w:pPr>
      <w:r>
        <w:rPr>
          <w:rFonts w:ascii="Times New Roman" w:hAnsi="Times New Roman" w:eastAsia="Times New Roman" w:cs="Times New Roman"/>
          <w:color w:val="000000"/>
          <w:sz w:val="20"/>
        </w:rPr>
        <w:t xml:space="preserve">Dekker SWA (2009) Just culture: who gets to draw the line? Cognition, Technology &amp; Work 11:177–185. https://doi.org/10.1007/s10111-008-0110-7</w:t>
      </w:r>
    </w:p>
    <w:p>
      <w:pPr>
        <w:pStyle w:val="BodyText"/>
        <w:keepLines/>
        <w:widowControl/>
        <w:spacing w:after="120"/>
        <w:ind w:left="288" w:hanging="288"/>
      </w:pPr>
      <w:r>
        <w:rPr>
          <w:rFonts w:ascii="Times New Roman" w:hAnsi="Times New Roman" w:eastAsia="Times New Roman" w:cs="Times New Roman"/>
          <w:color w:val="000000"/>
          <w:sz w:val="20"/>
        </w:rPr>
        <w:t xml:space="preserve">Dekker SWA (2016) Just culture: restoring trust and accountability in your organization, 3rd edn. CRC Press, Boca Raton. https://doi.org/10.1201/9781315590813</w:t>
      </w:r>
    </w:p>
    <w:p>
      <w:pPr>
        <w:pStyle w:val="BodyText"/>
        <w:keepLines/>
        <w:widowControl/>
        <w:spacing w:after="120"/>
        <w:ind w:left="288" w:hanging="288"/>
      </w:pPr>
      <w:r>
        <w:rPr>
          <w:rFonts w:ascii="Times New Roman" w:hAnsi="Times New Roman" w:eastAsia="Times New Roman" w:cs="Times New Roman"/>
          <w:color w:val="000000"/>
          <w:sz w:val="20"/>
        </w:rPr>
        <w:t xml:space="preserve">Delaware General Assembly (n.d.) Delaware Code, title 8, Corporations, chapter 1, General Corporation Law, § 141(e). State of Delaware. https://delcode.delaware.gov/title8/c001/sc04/index.html. Accessed 10 Sep 2026</w:t>
      </w:r>
    </w:p>
    <w:p>
      <w:pPr>
        <w:pStyle w:val="BodyText"/>
        <w:keepLines/>
        <w:widowControl/>
        <w:spacing w:after="120"/>
        <w:ind w:left="288" w:hanging="288"/>
      </w:pPr>
      <w:r>
        <w:rPr>
          <w:rFonts w:ascii="Times New Roman" w:hAnsi="Times New Roman" w:eastAsia="Times New Roman" w:cs="Times New Roman"/>
          <w:color w:val="000000"/>
          <w:sz w:val="20"/>
        </w:rPr>
        <w:t xml:space="preserve">European Parliament and Council of the European Union (2014) Regulation (EU) No 376/2014 of 3 April 2014 on the reporting, analysis and follow-up of occurrences in civil aviation, amending Regulation (EU) No 996/2010 of the European Parliament and of the Council and repealing Directive 2003/42/EC of the European Parliament and of the Council and Commission Regulations (EC) No 1321/2007 and (EC) No 1330/2007. Official Journal of the European Union L 122:18–43. https://eur-lex.europa.eu/eli/reg/2014/376/oj/eng</w:t>
      </w:r>
    </w:p>
    <w:p>
      <w:pPr>
        <w:pStyle w:val="BodyText"/>
        <w:keepLines/>
        <w:widowControl/>
        <w:spacing w:after="120"/>
        <w:ind w:left="288" w:hanging="288"/>
      </w:pPr>
      <w:r>
        <w:rPr>
          <w:rFonts w:ascii="Times New Roman" w:hAnsi="Times New Roman" w:eastAsia="Times New Roman" w:cs="Times New Roman"/>
          <w:color w:val="000000"/>
          <w:sz w:val="20"/>
        </w:rPr>
        <w:t xml:space="preserve">European Parliament and Council of the European Union (2015) Directive (EU) 2015/2366 of 25 November 2015 on payment services in the internal market, amending Directives 2002/65/EC, 2009/110/EC and 2013/36/EU and Regulation (EU) No 1093/2010, and repealing Directive 2007/64/EC. Official Journal of the European Union L 337:35–127. https://eur-lex.europa.eu/eli/dir/2015/2366/oj/eng</w:t>
      </w:r>
    </w:p>
    <w:p>
      <w:pPr>
        <w:pStyle w:val="BodyText"/>
        <w:keepLines/>
        <w:widowControl/>
        <w:spacing w:after="120"/>
        <w:ind w:left="288" w:hanging="288"/>
      </w:pPr>
      <w:r>
        <w:rPr>
          <w:rFonts w:ascii="Times New Roman" w:hAnsi="Times New Roman" w:eastAsia="Times New Roman" w:cs="Times New Roman"/>
          <w:color w:val="000000"/>
          <w:sz w:val="20"/>
        </w:rPr>
        <w:t xml:space="preserve">European Parliament and Council of the European Union (2016) Regulation (EU) 2016/679 of 27 April 2016 on the protection of natural persons with regard to the processing of personal data and on the free movement of such data, and repealing Directive 95/46/EC (General Data Protection Regulation). Official Journal of the European Union L 119:1–88. https://eur-lex.europa.eu/eli/reg/2016/679/oj/eng</w:t>
      </w:r>
    </w:p>
    <w:p>
      <w:pPr>
        <w:pStyle w:val="BodyText"/>
        <w:keepLines/>
        <w:widowControl/>
        <w:spacing w:after="120"/>
        <w:ind w:left="288" w:hanging="288"/>
      </w:pPr>
      <w:r>
        <w:rPr>
          <w:rFonts w:ascii="Times New Roman" w:hAnsi="Times New Roman" w:eastAsia="Times New Roman" w:cs="Times New Roman"/>
          <w:color w:val="000000"/>
          <w:sz w:val="20"/>
        </w:rPr>
        <w:t xml:space="preserve">European Parliament and Council of the European Union (2024a) Directive (EU) 2024/2853 of 23 October 2024 on liability for defective products and repealing Council Directive 85/374/EEC. Official Journal of the European Union L, 2024/2853. https://eur-lex.europa.eu/eli/dir/2024/2853/oj/eng</w:t>
      </w:r>
    </w:p>
    <w:p>
      <w:pPr>
        <w:pStyle w:val="BodyText"/>
        <w:keepLines/>
        <w:widowControl/>
        <w:spacing w:after="120"/>
        <w:ind w:left="288" w:hanging="288"/>
      </w:pPr>
      <w:r>
        <w:rPr>
          <w:rFonts w:ascii="Times New Roman" w:hAnsi="Times New Roman" w:eastAsia="Times New Roman" w:cs="Times New Roman"/>
          <w:color w:val="000000"/>
          <w:sz w:val="20"/>
        </w:rPr>
        <w:t xml:space="preserve">European Parliament and Council of the European Union (2024b) Regulation (EU) 2024/1689 of 13 June 2024 laying down harmonised rules on artificial intelligence and amending Regulations (EC) No 300/2008, (EU) No 167/2013, (EU) No 168/2013, (EU) 2018/858, (EU) 2018/1139 and (EU) 2019/2144 and Directives 2014/90/EU, (EU) 2016/797 and (EU) 2020/1828 (Artificial Intelligence Act). Official Journal of the European Union L, 2024/1689. https://eur-lex.europa.eu/eli/reg/2024/1689/oj/eng</w:t>
      </w:r>
    </w:p>
    <w:p>
      <w:pPr>
        <w:pStyle w:val="BodyText"/>
        <w:keepLines/>
        <w:widowControl/>
        <w:spacing w:after="120"/>
        <w:ind w:left="288" w:hanging="288"/>
      </w:pPr>
      <w:r>
        <w:rPr>
          <w:rFonts w:ascii="Times New Roman" w:hAnsi="Times New Roman" w:eastAsia="Times New Roman" w:cs="Times New Roman"/>
          <w:color w:val="000000"/>
          <w:sz w:val="20"/>
        </w:rPr>
        <w:t xml:space="preserve">European Parliament and Council of the European Union (2026) Regulation (EU) 2026/1744 of 8 July 2026 amending Regulations (EU) 2024/1689, (EU) 2018/1139 and (EU) 2023/1230 as regards the simplification of the implementation of harmonised rules on artificial intelligence (Digital Omnibus on AI). Official Journal of the European Union L, 2026/1744. https://eur-lex.europa.eu/eli/reg/2026/1744/oj/eng</w:t>
      </w:r>
    </w:p>
    <w:p>
      <w:pPr>
        <w:pStyle w:val="BodyText"/>
        <w:keepLines/>
        <w:widowControl/>
        <w:spacing w:after="120"/>
        <w:ind w:left="288" w:hanging="288"/>
      </w:pPr>
      <w:r>
        <w:rPr>
          <w:rFonts w:ascii="Times New Roman" w:hAnsi="Times New Roman" w:eastAsia="Times New Roman" w:cs="Times New Roman"/>
          <w:color w:val="000000"/>
          <w:sz w:val="20"/>
        </w:rPr>
        <w:t xml:space="preserve">Falk A, Szech N (2013) Morals and markets. Science 340:707–711. https://doi.org/10.1126/science.1231566</w:t>
      </w:r>
    </w:p>
    <w:p>
      <w:pPr>
        <w:pStyle w:val="BodyText"/>
        <w:keepLines/>
        <w:widowControl/>
        <w:spacing w:after="120"/>
        <w:ind w:left="288" w:hanging="288"/>
      </w:pPr>
      <w:r>
        <w:rPr>
          <w:rFonts w:ascii="Times New Roman" w:hAnsi="Times New Roman" w:eastAsia="Times New Roman" w:cs="Times New Roman"/>
          <w:color w:val="000000"/>
          <w:sz w:val="20"/>
        </w:rPr>
        <w:t xml:space="preserve">Federal Aviation Administration (2021) Aviation safety reporting program. Advisory Circular 00-46F, 2 April 2021. US Department of Transportation. https://www.faa.gov/documentLibrary/media/Advisory_Circular/AC_00-46F.pdf</w:t>
      </w:r>
    </w:p>
    <w:p>
      <w:pPr>
        <w:pStyle w:val="BodyText"/>
        <w:keepLines/>
        <w:widowControl/>
        <w:spacing w:after="120"/>
        <w:ind w:left="288" w:hanging="288"/>
      </w:pPr>
      <w:r>
        <w:rPr>
          <w:rFonts w:ascii="Times New Roman" w:hAnsi="Times New Roman" w:eastAsia="Times New Roman" w:cs="Times New Roman"/>
          <w:color w:val="000000"/>
          <w:sz w:val="20"/>
        </w:rPr>
        <w:t xml:space="preserve">Federal Aviation Administration (n.d.) Aviation Safety Reporting Program: prohibition against use of reports for enforcement purposes. 14 CFR § 91.25. Electronic Code of Federal Regulations. https://www.ecfr.gov/current/title-14/chapter-I/subchapter-F/part-91/subpart-A/section-91.25. Accessed 10 Sep 2026</w:t>
      </w:r>
    </w:p>
    <w:p>
      <w:pPr>
        <w:pStyle w:val="BodyText"/>
        <w:keepLines/>
        <w:widowControl/>
        <w:spacing w:after="120"/>
        <w:ind w:left="288" w:hanging="288"/>
      </w:pPr>
      <w:r>
        <w:rPr>
          <w:rFonts w:ascii="Times New Roman" w:hAnsi="Times New Roman" w:eastAsia="Times New Roman" w:cs="Times New Roman"/>
          <w:color w:val="000000"/>
          <w:sz w:val="20"/>
        </w:rPr>
        <w:t xml:space="preserve">Feier T, Gogoll J, Uhl M (2022) Hiding behind machines: artificial agents may help to evade punishment. Science and Engineering Ethics 28:19. https://doi.org/10.1007/s11948-022-00372-7</w:t>
      </w:r>
    </w:p>
    <w:p>
      <w:pPr>
        <w:pStyle w:val="BodyText"/>
        <w:keepLines/>
        <w:widowControl/>
        <w:spacing w:after="120"/>
        <w:ind w:left="288" w:hanging="288"/>
      </w:pPr>
      <w:r>
        <w:rPr>
          <w:rFonts w:ascii="Times New Roman" w:hAnsi="Times New Roman" w:eastAsia="Times New Roman" w:cs="Times New Roman"/>
          <w:color w:val="000000"/>
          <w:sz w:val="20"/>
        </w:rPr>
        <w:t xml:space="preserve">Fernandes D, Villa S, Nicholls S, Haavisto O, Buschek D, Schmidt A, Kosch T, Shen C, Welsch R (2026) AI makes you smarter but none the wiser: the disconnect between performance and metacognition. Computers in Human Behavior 175:108779. https://doi.org/10.1016/j.chb.2025.108779</w:t>
      </w:r>
    </w:p>
    <w:p>
      <w:pPr>
        <w:pStyle w:val="BodyText"/>
        <w:keepLines/>
        <w:widowControl/>
        <w:spacing w:after="120"/>
        <w:ind w:left="288" w:hanging="288"/>
      </w:pPr>
      <w:r>
        <w:rPr>
          <w:rFonts w:ascii="Times New Roman" w:hAnsi="Times New Roman" w:eastAsia="Times New Roman" w:cs="Times New Roman"/>
          <w:color w:val="000000"/>
          <w:sz w:val="20"/>
        </w:rPr>
        <w:t xml:space="preserve">Health Resources and Services Administration (2026) Frequently asked questions. National Vaccine Injury Compensation Program. Reviewed August 2026. US Department of Health and Human Services. https://www.hrsa.gov/vaccine-compensation/faq. Accessed 10 Sep 2026</w:t>
      </w:r>
    </w:p>
    <w:p>
      <w:pPr>
        <w:pStyle w:val="BodyText"/>
        <w:keepLines/>
        <w:widowControl/>
        <w:spacing w:after="120"/>
        <w:ind w:left="288" w:hanging="288"/>
      </w:pPr>
      <w:r>
        <w:rPr>
          <w:rFonts w:ascii="Times New Roman" w:hAnsi="Times New Roman" w:eastAsia="Times New Roman" w:cs="Times New Roman"/>
          <w:color w:val="000000"/>
          <w:sz w:val="20"/>
        </w:rPr>
        <w:t xml:space="preserve">HM Treasury (2024) The Payment Services (Amendment) Regulations 2024. SI 2024/1013. https://www.legislation.gov.uk/id/uksi/2024/1013</w:t>
      </w:r>
    </w:p>
    <w:p>
      <w:pPr>
        <w:pStyle w:val="BodyText"/>
        <w:keepLines/>
        <w:widowControl/>
        <w:spacing w:after="120"/>
        <w:ind w:left="288" w:hanging="288"/>
      </w:pPr>
      <w:r>
        <w:rPr>
          <w:rFonts w:ascii="Times New Roman" w:hAnsi="Times New Roman" w:eastAsia="Times New Roman" w:cs="Times New Roman"/>
          <w:color w:val="000000"/>
          <w:sz w:val="20"/>
        </w:rPr>
        <w:t xml:space="preserve">Hughes J (2026) How we built Claude Code auto mode: a safer way to skip permissions. Anthropic, 25 Mar 2026. https://anthropic.com/engineering/claude-code-auto-mode. Accessed 7 Sep 2026</w:t>
      </w:r>
    </w:p>
    <w:p>
      <w:pPr>
        <w:pStyle w:val="BodyText"/>
        <w:keepLines/>
        <w:widowControl/>
        <w:spacing w:after="120"/>
        <w:ind w:left="288" w:hanging="288"/>
      </w:pPr>
      <w:r>
        <w:rPr>
          <w:rFonts w:ascii="Times New Roman" w:hAnsi="Times New Roman" w:eastAsia="Times New Roman" w:cs="Times New Roman"/>
          <w:color w:val="000000"/>
          <w:sz w:val="20"/>
        </w:rPr>
        <w:t xml:space="preserve">International Civil Aviation Organization (1999) Convention for the Unification of Certain Rules for International Carriage by Air (Montreal Convention). Done at Montreal, 28 May 1999. Doc 9740; United Nations Treaty Series 2242:309. https://eur-lex.europa.eu/legal-content/EN/TXT/?uri=CELEX:22001A0718(01)</w:t>
      </w:r>
    </w:p>
    <w:p>
      <w:pPr>
        <w:pStyle w:val="BodyText"/>
        <w:keepLines/>
        <w:widowControl/>
        <w:spacing w:after="120"/>
        <w:ind w:left="288" w:hanging="288"/>
      </w:pPr>
      <w:r>
        <w:rPr>
          <w:rFonts w:ascii="Times New Roman" w:hAnsi="Times New Roman" w:eastAsia="Times New Roman" w:cs="Times New Roman"/>
          <w:color w:val="000000"/>
          <w:sz w:val="20"/>
        </w:rPr>
        <w:t xml:space="preserve">Lichtenstein S, Fischhoff B, Phillips LD (1982) Calibration of probabilities: the state of the art to 1980. In: Kahneman D, Slovic P, Tversky A (eds) Judgment under uncertainty: heuristics and biases. Cambridge University Press, Cambridge, p 306–334. https://doi.org/10.1017/CBO9780511809477.023</w:t>
      </w:r>
    </w:p>
    <w:p>
      <w:pPr>
        <w:pStyle w:val="BodyText"/>
        <w:keepLines/>
        <w:widowControl/>
        <w:spacing w:after="120"/>
        <w:ind w:left="288" w:hanging="288"/>
      </w:pPr>
      <w:r>
        <w:rPr>
          <w:rFonts w:ascii="Times New Roman" w:hAnsi="Times New Roman" w:eastAsia="Times New Roman" w:cs="Times New Roman"/>
          <w:color w:val="000000"/>
          <w:sz w:val="20"/>
        </w:rPr>
        <w:t xml:space="preserve">Loewenstein G (1987) Anticipation and the valuation of delayed consumption. Economic Journal 97:666–684. https://doi.org/10.2307/2232929</w:t>
      </w:r>
    </w:p>
    <w:p>
      <w:pPr>
        <w:pStyle w:val="BodyText"/>
        <w:keepLines/>
        <w:widowControl/>
        <w:spacing w:after="120"/>
        <w:ind w:left="288" w:hanging="288"/>
      </w:pPr>
      <w:r>
        <w:rPr>
          <w:rFonts w:ascii="Times New Roman" w:hAnsi="Times New Roman" w:eastAsia="Times New Roman" w:cs="Times New Roman"/>
          <w:color w:val="000000"/>
          <w:sz w:val="20"/>
        </w:rPr>
        <w:t xml:space="preserve">Nagel T (1979) Moral luck. In: Mortal questions. Cambridge University Press, Cambridge, p 24–38</w:t>
      </w:r>
    </w:p>
    <w:p>
      <w:pPr>
        <w:pStyle w:val="BodyText"/>
        <w:keepLines/>
        <w:widowControl/>
        <w:spacing w:after="120"/>
        <w:ind w:left="288" w:hanging="288"/>
      </w:pPr>
      <w:r>
        <w:rPr>
          <w:rFonts w:ascii="Times New Roman" w:hAnsi="Times New Roman" w:eastAsia="Times New Roman" w:cs="Times New Roman"/>
          <w:color w:val="000000"/>
          <w:sz w:val="20"/>
        </w:rPr>
        <w:t xml:space="preserve">OpenAI (2025b) ChatGPT agent system card. OpenAI, San Francisco, 17 Jul 2025. https://cdn.openai.com/pdf/839e66fc-602c-48bf-81d3-b21eacc3459d/chatgpt_agent_system_card.pdf. Accessed 7 Sep 2026</w:t>
      </w:r>
    </w:p>
    <w:p>
      <w:pPr>
        <w:pStyle w:val="BodyText"/>
        <w:keepLines/>
        <w:widowControl/>
        <w:spacing w:after="120"/>
        <w:ind w:left="288" w:hanging="288"/>
      </w:pPr>
      <w:r>
        <w:rPr>
          <w:rFonts w:ascii="Times New Roman" w:hAnsi="Times New Roman" w:eastAsia="Times New Roman" w:cs="Times New Roman"/>
          <w:color w:val="000000"/>
          <w:sz w:val="20"/>
        </w:rPr>
        <w:t xml:space="preserve">Payment Systems Regulator (2023) Fighting authorised push payment fraud: a new reimbursement requirement—Response to September 2022 consultation (CP22/4). Policy statement PS23/3, June 2023. https://www.psr.org.uk/media/iolpbw0u/ps23-3-app-fraud-reimbursement-policy-statement-final-june-2023.pdf</w:t>
      </w:r>
    </w:p>
    <w:p>
      <w:pPr>
        <w:pStyle w:val="BodyText"/>
        <w:keepLines/>
        <w:widowControl/>
        <w:spacing w:after="120"/>
        <w:ind w:left="288" w:hanging="288"/>
      </w:pPr>
      <w:r>
        <w:rPr>
          <w:rFonts w:ascii="Times New Roman" w:hAnsi="Times New Roman" w:eastAsia="Times New Roman" w:cs="Times New Roman"/>
          <w:color w:val="000000"/>
          <w:sz w:val="20"/>
        </w:rPr>
        <w:t xml:space="preserve">Payment Systems Regulator (2024) Faster Payments APP scams reimbursement requirement: confirming the maximum level of reimbursement. Policy statement PS24/7, October 2024. https://www.psr.org.uk/media/e30pwlly/ps24-7-app-scams-maximum-level-of-reimbursement-policy-statement-oct-2024.pdf</w:t>
      </w:r>
    </w:p>
    <w:p>
      <w:pPr>
        <w:pStyle w:val="BodyText"/>
        <w:keepLines/>
        <w:widowControl/>
        <w:spacing w:after="120"/>
        <w:ind w:left="288" w:hanging="288"/>
      </w:pPr>
      <w:r>
        <w:rPr>
          <w:rFonts w:ascii="Times New Roman" w:hAnsi="Times New Roman" w:eastAsia="Times New Roman" w:cs="Times New Roman"/>
          <w:color w:val="000000"/>
          <w:sz w:val="20"/>
        </w:rPr>
        <w:t xml:space="preserve">Payment Systems Regulator (n.d.) APP fraud reimbursement protections. https://www.psr.org.uk/information-for-consumers/app-fraud-reimbursement-protections/. Accessed 10 Sep 2026</w:t>
      </w:r>
    </w:p>
    <w:p>
      <w:pPr>
        <w:pStyle w:val="BodyText"/>
        <w:keepLines/>
        <w:widowControl/>
        <w:spacing w:after="120"/>
        <w:ind w:left="288" w:hanging="288"/>
      </w:pPr>
      <w:r>
        <w:rPr>
          <w:rFonts w:ascii="Times New Roman" w:hAnsi="Times New Roman" w:eastAsia="Times New Roman" w:cs="Times New Roman"/>
          <w:color w:val="000000"/>
          <w:sz w:val="20"/>
        </w:rPr>
        <w:t xml:space="preserve">Phillippi C (2026) Auto mode is now the default in Claude Code for Pro, Max, and Team plans. Anthropic, 7 Aug 2026. https://claude.com/blog/auto-mode-default-in-claude-code. Accessed 10 Sep 2026</w:t>
      </w:r>
    </w:p>
    <w:p>
      <w:pPr>
        <w:pStyle w:val="BodyText"/>
        <w:keepLines/>
        <w:widowControl/>
        <w:spacing w:after="120"/>
        <w:ind w:left="288" w:hanging="288"/>
      </w:pPr>
      <w:r>
        <w:rPr>
          <w:rFonts w:ascii="Times New Roman" w:hAnsi="Times New Roman" w:eastAsia="Times New Roman" w:cs="Times New Roman"/>
          <w:color w:val="000000"/>
          <w:sz w:val="20"/>
        </w:rPr>
        <w:t xml:space="preserve">Price WN, Gerke S, Cohen IG (2019) Potential liability for physicians using artificial intelligence. JAMA 322:1765–1766. https://doi.org/10.1001/jama.2019.15064</w:t>
      </w:r>
    </w:p>
    <w:p>
      <w:pPr>
        <w:pStyle w:val="BodyText"/>
        <w:keepLines/>
        <w:widowControl/>
        <w:spacing w:after="120"/>
        <w:ind w:left="288" w:hanging="288"/>
      </w:pPr>
      <w:r>
        <w:rPr>
          <w:rFonts w:ascii="Times New Roman" w:hAnsi="Times New Roman" w:eastAsia="Times New Roman" w:cs="Times New Roman"/>
          <w:color w:val="000000"/>
          <w:sz w:val="20"/>
        </w:rPr>
        <w:t xml:space="preserve">Ritov I, Baron J (1990) Reluctance to vaccinate: omission bias and ambiguity. Journal of Behavioral Decision Making 3:263–277. https://doi.org/10.1002/bdm.3960030404</w:t>
      </w:r>
    </w:p>
    <w:p>
      <w:pPr>
        <w:pStyle w:val="BodyText"/>
        <w:keepLines/>
        <w:widowControl/>
        <w:spacing w:after="120"/>
        <w:ind w:left="288" w:hanging="288"/>
      </w:pPr>
      <w:r>
        <w:rPr>
          <w:rFonts w:ascii="Times New Roman" w:hAnsi="Times New Roman" w:eastAsia="Times New Roman" w:cs="Times New Roman"/>
          <w:color w:val="000000"/>
          <w:sz w:val="20"/>
        </w:rPr>
        <w:t xml:space="preserve">Russo JE, Schoemaker PJH (1992) Managing overconfidence. Sloan Management Review 33(2):7–17</w:t>
      </w:r>
    </w:p>
    <w:p>
      <w:pPr>
        <w:pStyle w:val="BodyText"/>
        <w:keepLines/>
        <w:widowControl/>
        <w:spacing w:after="120"/>
        <w:ind w:left="288" w:hanging="288"/>
      </w:pPr>
      <w:r>
        <w:rPr>
          <w:rFonts w:ascii="Times New Roman" w:hAnsi="Times New Roman" w:eastAsia="Times New Roman" w:cs="Times New Roman"/>
          <w:color w:val="000000"/>
          <w:sz w:val="20"/>
        </w:rPr>
        <w:t xml:space="preserve">Story GW, Vlaev I, Seymour B, Winston JS, Darzi A, Dolan RJ (2013) Dread and the disvalue of future pain. PLoS Computational Biology 9:e1003335. https://doi.org/10.1371/journal.pcbi.1003335</w:t>
      </w:r>
    </w:p>
    <w:p>
      <w:pPr>
        <w:pStyle w:val="BodyText"/>
        <w:keepLines/>
        <w:widowControl/>
        <w:spacing w:after="120"/>
        <w:ind w:left="288" w:hanging="288"/>
      </w:pPr>
      <w:r>
        <w:rPr>
          <w:rFonts w:ascii="Times New Roman" w:hAnsi="Times New Roman" w:eastAsia="Times New Roman" w:cs="Times New Roman"/>
          <w:color w:val="000000"/>
          <w:sz w:val="20"/>
        </w:rPr>
        <w:t xml:space="preserve">Supreme Court of Delaware (1985) Smith v. Van Gorkom. 488 A.2d 858, decided 29 January 1985.</w:t>
      </w:r>
    </w:p>
    <w:p>
      <w:pPr>
        <w:pStyle w:val="BodyText"/>
        <w:keepLines/>
        <w:widowControl/>
        <w:spacing w:after="120"/>
        <w:ind w:left="288" w:hanging="288"/>
      </w:pPr>
      <w:r>
        <w:t xml:space="preserve">Wilhelm R, Baynes CF (trans) (1967) The I Ching or Book of Changes, 3rd edn. Princeton University Press, Princeton</w:t>
      </w:r>
    </w:p>
    <w:p>
      <w:pPr>
        <w:pStyle w:val="BodyText"/>
        <w:keepLines/>
        <w:widowControl/>
        <w:spacing w:after="120"/>
        <w:ind w:left="288" w:hanging="288"/>
      </w:pPr>
      <w:r>
        <w:rPr>
          <w:rFonts w:ascii="Times New Roman" w:hAnsi="Times New Roman" w:eastAsia="Times New Roman" w:cs="Times New Roman"/>
          <w:color w:val="000000"/>
          <w:sz w:val="20"/>
        </w:rPr>
        <w:t xml:space="preserve">Williams B (1981) Moral luck. In: Moral luck: philosophical papers 1973–1980. Cambridge University Press, Cambridge, p 20–39. https://doi.org/10.1017/CBO9781139165860.003</w:t>
      </w:r>
    </w:p>
    <w:p>
      <w:pPr>
        <w:pStyle w:val="BodyText"/>
        <w:keepLines/>
        <w:widowControl/>
        <w:spacing w:after="120"/>
        <w:ind w:left="288" w:hanging="288"/>
      </w:pPr>
      <w:r>
        <w:rPr>
          <w:rFonts w:ascii="Times New Roman" w:hAnsi="Times New Roman" w:eastAsia="Times New Roman" w:cs="Times New Roman"/>
          <w:color w:val="000000"/>
          <w:sz w:val="20"/>
        </w:rPr>
        <w:t xml:space="preserve">Xiong M, Hu Z, Lu X, Li Y, Fu J, He J, Hooi B (2024) Can LLMs express their uncertainty? An empirical evaluation of confidence elicitation in LLMs. In: Proceedings of the Twelfth International Conference on Learning Representations (ICLR 2024). https://iclr.cc/virtual/2024/poster/18135</w:t>
      </w:r>
    </w:p>
    <w:bookmarkEnd w:id="59"/>
    <w:bookmarkEnd w:id="60"/>
    <w:sectPr>
      <w:type w:val="nextPage"/>
      <w:pgSz w:w="12240" w:h="15840"/>
      <w:pgMar w:top="1080" w:right="1080" w:bottom="1080" w:left="1080" w:header="360" w:footer="360" w:gutter="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32">
    <w:nsid w:val="A9973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num w:numId="1000">
    <w:abstractNumId w:val="990"/>
  </w:num>
  <w:num w:numId="1001">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2">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259" w:lineRule="auto"/>
    </w:pPr>
    <w:rPr>
      <w:rFonts w:ascii="Times New Roman" w:hAnsi="Times New Roman" w:cs="Times New Roman" w:eastAsia="Times New Roman"/>
      <w:color w:val="000000"/>
      <w:sz w:val="22"/>
      <w:szCs w:val="22"/>
    </w:rPr>
  </w:style>
  <w:style w:styleId="BodyText" w:type="paragraph">
    <w:name w:val="Body Text"/>
    <w:basedOn w:val="Normal"/>
    <w:link w:val="BodyTextChar"/>
    <w:pPr>
      <w:spacing w:after="120" w:before="180" w:line="259" w:lineRule="auto"/>
    </w:pPr>
    <w:qFormat/>
    <w:rPr>
      <w:rFonts w:ascii="Times New Roman" w:hAnsi="Times New Roman" w:eastAsia="Times New Roman" w:cs="Times New Roman"/>
      <w:color w:val="000000"/>
      <w:sz w:val="22"/>
    </w:rPr>
  </w:style>
  <w:style w:customStyle="1" w:styleId="FirstParagraph" w:type="paragraph">
    <w:name w:val="First Paragraph"/>
    <w:basedOn w:val="BodyText"/>
    <w:next w:val="BodyText"/>
    <w:qFormat/>
    <w:pPr>
      <w:spacing w:after="120" w:line="259" w:lineRule="auto"/>
    </w:pPr>
    <w:rPr>
      <w:rFonts w:ascii="Times New Roman" w:hAnsi="Times New Roman" w:eastAsia="Times New Roman" w:cs="Times New Roman"/>
      <w:color w:val="000000"/>
      <w:sz w:val="22"/>
    </w:rPr>
  </w:style>
  <w:style w:customStyle="1" w:styleId="Compact" w:type="paragraph">
    <w:name w:val="Compact"/>
    <w:basedOn w:val="BodyText"/>
    <w:qFormat/>
    <w:pPr>
      <w:spacing w:after="120" w:before="20" w:line="259" w:lineRule="auto"/>
    </w:pPr>
    <w:rPr>
      <w:rFonts w:ascii="Times New Roman" w:hAnsi="Times New Roman" w:eastAsia="Times New Roman" w:cs="Times New Roman"/>
      <w:color w:val="000000"/>
      <w:sz w:val="16"/>
      <w:szCs w:val="16"/>
    </w:rPr>
  </w:style>
  <w:style w:styleId="Title" w:type="paragraph">
    <w:name w:val="Title"/>
    <w:basedOn w:val="Normal"/>
    <w:next w:val="BodyText"/>
    <w:qFormat/>
    <w:pPr>
      <w:keepNext/>
      <w:keepLines/>
      <w:spacing w:after="120" w:before="480" w:line="259" w:lineRule="auto"/>
      <w:jc w:val="center"/>
    </w:pPr>
    <w:rPr>
      <w:rFonts w:ascii="Times New Roman" w:hAnsi="Times New Roman" w:cs="Times New Roman" w:eastAsia="Times New Roman"/>
      <w:b/>
      <w:bCs/>
      <w:color w:val="000000"/>
      <w:sz w:val="32"/>
      <w:szCs w:val="36"/>
    </w:rPr>
  </w:style>
  <w:style w:styleId="Subtitle" w:type="paragraph">
    <w:name w:val="Subtitle"/>
    <w:basedOn w:val="Title"/>
    <w:next w:val="BodyText"/>
    <w:qFormat/>
    <w:pPr>
      <w:keepNext/>
      <w:keepLines/>
      <w:spacing w:after="120" w:before="240" w:line="259" w:lineRule="auto"/>
      <w:jc w:val="center"/>
    </w:pPr>
    <w:rPr>
      <w:rFonts w:ascii="Times New Roman" w:hAnsi="Times New Roman" w:eastAsia="Times New Roman" w:cs="Times New Roman"/>
      <w:color w:val="000000"/>
      <w:sz w:val="30"/>
      <w:szCs w:val="30"/>
    </w:rPr>
  </w:style>
  <w:style w:customStyle="1" w:styleId="Author" w:type="paragraph">
    <w:name w:val="Author"/>
    <w:next w:val="BodyText"/>
    <w:qFormat/>
    <w:pPr>
      <w:keepNext/>
      <w:keepLines/>
      <w:spacing w:after="120" w:line="259" w:lineRule="auto"/>
      <w:jc w:val="center"/>
    </w:pPr>
    <w:rPr>
      <w:rFonts w:ascii="Times New Roman" w:hAnsi="Times New Roman" w:eastAsia="Times New Roman" w:cs="Times New Roman"/>
      <w:color w:val="000000"/>
    </w:rPr>
  </w:style>
  <w:style w:styleId="Date" w:type="paragraph">
    <w:name w:val="Date"/>
    <w:next w:val="BodyText"/>
    <w:qFormat/>
    <w:pPr>
      <w:keepNext/>
      <w:keepLines/>
      <w:spacing w:after="120" w:line="259" w:lineRule="auto"/>
      <w:jc w:val="center"/>
    </w:pPr>
    <w:rPr>
      <w:rFonts w:ascii="Times New Roman" w:hAnsi="Times New Roman" w:eastAsia="Times New Roman" w:cs="Times New Roman"/>
      <w:color w:val="000000"/>
    </w:rPr>
  </w:style>
  <w:style w:customStyle="1" w:styleId="AbstractTitle" w:type="paragraph">
    <w:name w:val="Abstract Title"/>
    <w:basedOn w:val="Normal"/>
    <w:next w:val="Abstract"/>
    <w:qFormat/>
    <w:pPr>
      <w:keepNext/>
      <w:keepLines/>
      <w:jc w:val="center"/>
      <w:spacing w:after="120" w:before="300" w:line="259" w:lineRule="auto"/>
    </w:pPr>
    <w:rPr>
      <w:color w:val="000000"/>
      <w:sz w:val="20"/>
      <w:szCs w:val="20"/>
      <w:rFonts w:ascii="Times New Roman" w:hAnsi="Times New Roman" w:eastAsia="Times New Roman" w:cs="Times New Roman"/>
      <w:b/>
    </w:rPr>
  </w:style>
  <w:style w:customStyle="1" w:styleId="Abstract" w:type="paragraph">
    <w:name w:val="Abstract"/>
    <w:basedOn w:val="Normal"/>
    <w:next w:val="BodyText"/>
    <w:qFormat/>
    <w:pPr>
      <w:keepNext/>
      <w:keepLines/>
      <w:spacing w:after="120" w:before="100" w:line="259" w:lineRule="auto"/>
    </w:pPr>
    <w:rPr>
      <w:rFonts w:ascii="Times New Roman" w:hAnsi="Times New Roman" w:eastAsia="Times New Roman" w:cs="Times New Roman"/>
      <w:color w:val="000000"/>
      <w:sz w:val="20"/>
      <w:szCs w:val="20"/>
    </w:rPr>
  </w:style>
  <w:style w:styleId="Bibliography" w:type="paragraph">
    <w:name w:val="Bibliography"/>
    <w:basedOn w:val="Normal"/>
    <w:next w:val="Bibliography"/>
    <w:qFormat/>
    <w:pPr>
      <w:spacing w:after="120" w:line="259" w:lineRule="auto"/>
    </w:pPr>
    <w:rPr>
      <w:rFonts w:ascii="Times New Roman" w:hAnsi="Times New Roman" w:eastAsia="Times New Roman" w:cs="Times New Roman"/>
      <w:color w:val="000000"/>
    </w:rPr>
  </w:style>
  <w:style w:styleId="Heading1" w:type="paragraph">
    <w:name w:val="Heading 1"/>
    <w:basedOn w:val="Normal"/>
    <w:next w:val="BodyText"/>
    <w:uiPriority w:val="9"/>
    <w:qFormat/>
    <w:pPr>
      <w:keepNext/>
      <w:keepLines/>
      <w:spacing w:after="120" w:before="200" w:line="259" w:lineRule="auto"/>
      <w:outlineLvl w:val="0"/>
    </w:pPr>
    <w:rPr>
      <w:rFonts w:ascii="Times New Roman" w:hAnsi="Times New Roman" w:cs="Times New Roman" w:eastAsia="Times New Roman"/>
      <w:b/>
      <w:bCs/>
      <w:color w:val="000000"/>
      <w:sz w:val="24"/>
      <w:szCs w:val="30"/>
    </w:rPr>
  </w:style>
  <w:style w:styleId="Heading2" w:type="paragraph">
    <w:name w:val="Heading 2"/>
    <w:basedOn w:val="Normal"/>
    <w:next w:val="BodyText"/>
    <w:uiPriority w:val="9"/>
    <w:unhideWhenUsed/>
    <w:qFormat/>
    <w:pPr>
      <w:keepNext/>
      <w:keepLines/>
      <w:spacing w:after="120" w:before="200" w:line="259" w:lineRule="auto"/>
      <w:outlineLvl w:val="1"/>
    </w:pPr>
    <w:rPr>
      <w:rFonts w:ascii="Times New Roman" w:hAnsi="Times New Roman" w:cs="Times New Roman" w:eastAsia="Times New Roman"/>
      <w:b/>
      <w:bCs/>
      <w:color w:val="000000"/>
      <w:sz w:val="24"/>
      <w:szCs w:val="26"/>
    </w:rPr>
  </w:style>
  <w:style w:styleId="Heading3" w:type="paragraph">
    <w:name w:val="Heading 3"/>
    <w:basedOn w:val="Normal"/>
    <w:next w:val="BodyText"/>
    <w:uiPriority w:val="9"/>
    <w:unhideWhenUsed/>
    <w:qFormat/>
    <w:pPr>
      <w:keepNext/>
      <w:keepLines/>
      <w:spacing w:after="120" w:before="200" w:line="259" w:lineRule="auto"/>
      <w:outlineLvl w:val="2"/>
    </w:pPr>
    <w:rPr>
      <w:rFonts w:ascii="Times New Roman" w:hAnsi="Times New Roman" w:cs="Times New Roman" w:eastAsia="Times New Roman"/>
      <w:b/>
      <w:bCs/>
      <w:color w:val="000000"/>
      <w:sz w:val="24"/>
      <w:szCs w:val="24"/>
    </w:rPr>
  </w:style>
  <w:style w:styleId="Heading4" w:type="paragraph">
    <w:name w:val="Heading 4"/>
    <w:basedOn w:val="Normal"/>
    <w:next w:val="BodyText"/>
    <w:uiPriority w:val="9"/>
    <w:unhideWhenUsed/>
    <w:qFormat/>
    <w:pPr>
      <w:keepNext/>
      <w:keepLines/>
      <w:spacing w:after="120" w:before="200" w:line="259" w:lineRule="auto"/>
      <w:outlineLvl w:val="3"/>
    </w:pPr>
    <w:rPr>
      <w:rFonts w:ascii="Times New Roman" w:hAnsi="Times New Roman" w:cs="Times New Roman" w:eastAsia="Times New Roman"/>
      <w:i/>
      <w:bCs/>
      <w:color w:val="000000"/>
      <w:sz w:val="24"/>
      <w:szCs w:val="24"/>
    </w:rPr>
  </w:style>
  <w:style w:styleId="Heading5" w:type="paragraph">
    <w:name w:val="Heading 5"/>
    <w:basedOn w:val="Normal"/>
    <w:next w:val="BodyText"/>
    <w:uiPriority w:val="9"/>
    <w:unhideWhenUsed/>
    <w:qFormat/>
    <w:pPr>
      <w:keepNext/>
      <w:keepLines/>
      <w:spacing w:after="120" w:before="200" w:line="259" w:lineRule="auto"/>
      <w:outlineLvl w:val="4"/>
    </w:pPr>
    <w:rPr>
      <w:rFonts w:ascii="Times New Roman" w:hAnsi="Times New Roman" w:cs="Times New Roman" w:eastAsia="Times New Roman"/>
      <w:iCs/>
      <w:color w:val="000000"/>
      <w:sz w:val="24"/>
      <w:szCs w:val="24"/>
    </w:rPr>
  </w:style>
  <w:style w:styleId="Heading6" w:type="paragraph">
    <w:name w:val="Heading 6"/>
    <w:basedOn w:val="Normal"/>
    <w:next w:val="BodyText"/>
    <w:uiPriority w:val="9"/>
    <w:unhideWhenUsed/>
    <w:qFormat/>
    <w:pPr>
      <w:keepNext/>
      <w:keepLines/>
      <w:spacing w:after="120" w:before="200" w:line="259" w:lineRule="auto"/>
      <w:outlineLvl w:val="5"/>
    </w:pPr>
    <w:rPr>
      <w:rFonts w:ascii="Times New Roman" w:hAnsi="Times New Roman" w:cs="Times New Roman" w:eastAsia="Times New Roman"/>
      <w:color w:val="000000"/>
      <w:sz w:val="24"/>
      <w:szCs w:val="24"/>
    </w:rPr>
  </w:style>
  <w:style w:styleId="Heading7" w:type="paragraph">
    <w:name w:val="Heading 7"/>
    <w:basedOn w:val="Normal"/>
    <w:next w:val="BodyText"/>
    <w:uiPriority w:val="9"/>
    <w:unhideWhenUsed/>
    <w:qFormat/>
    <w:pPr>
      <w:keepNext/>
      <w:keepLines/>
      <w:spacing w:after="120" w:before="200" w:line="259" w:lineRule="auto"/>
      <w:outlineLvl w:val="6"/>
    </w:pPr>
    <w:rPr>
      <w:rFonts w:ascii="Times New Roman" w:hAnsi="Times New Roman" w:cs="Times New Roman" w:eastAsia="Times New Roman"/>
      <w:color w:val="000000"/>
      <w:sz w:val="24"/>
      <w:szCs w:val="24"/>
    </w:rPr>
  </w:style>
  <w:style w:styleId="Heading8" w:type="paragraph">
    <w:name w:val="Heading 8"/>
    <w:basedOn w:val="Normal"/>
    <w:next w:val="BodyText"/>
    <w:uiPriority w:val="9"/>
    <w:unhideWhenUsed/>
    <w:qFormat/>
    <w:pPr>
      <w:keepNext/>
      <w:keepLines/>
      <w:spacing w:after="120" w:before="200" w:line="259" w:lineRule="auto"/>
      <w:outlineLvl w:val="7"/>
    </w:pPr>
    <w:rPr>
      <w:rFonts w:ascii="Times New Roman" w:hAnsi="Times New Roman" w:cs="Times New Roman" w:eastAsia="Times New Roman"/>
      <w:color w:val="000000"/>
      <w:sz w:val="24"/>
      <w:szCs w:val="24"/>
    </w:rPr>
  </w:style>
  <w:style w:styleId="Heading9" w:type="paragraph">
    <w:name w:val="Heading 9"/>
    <w:basedOn w:val="Normal"/>
    <w:next w:val="BodyText"/>
    <w:uiPriority w:val="9"/>
    <w:unhideWhenUsed/>
    <w:qFormat/>
    <w:pPr>
      <w:keepNext/>
      <w:keepLines/>
      <w:spacing w:after="120" w:before="200" w:line="259" w:lineRule="auto"/>
      <w:outlineLvl w:val="8"/>
    </w:pPr>
    <w:rPr>
      <w:rFonts w:ascii="Times New Roman" w:hAnsi="Times New Roman" w:cs="Times New Roman" w:eastAsia="Times New Roman"/>
      <w:color w:val="000000"/>
      <w:sz w:val="24"/>
      <w:szCs w:val="24"/>
    </w:rPr>
  </w:style>
  <w:style w:styleId="BlockText" w:type="paragraph">
    <w:name w:val="Block Text"/>
    <w:basedOn w:val="BodyText"/>
    <w:next w:val="BodyText"/>
    <w:uiPriority w:val="9"/>
    <w:unhideWhenUsed/>
    <w:qFormat/>
    <w:pPr>
      <w:spacing w:after="120" w:before="100" w:line="259" w:lineRule="auto"/>
      <w:ind w:firstLine="0" w:left="480" w:right="480"/>
    </w:pPr>
    <w:rPr>
      <w:rFonts w:ascii="Times New Roman" w:hAnsi="Times New Roman" w:eastAsia="Times New Roman" w:cs="Times New Roman"/>
      <w:color w:val="000000"/>
    </w:rPr>
  </w:style>
  <w:style w:styleId="FootnoteText" w:type="paragraph">
    <w:name w:val="Footnote Text"/>
    <w:basedOn w:val="Normal"/>
    <w:next w:val="FootnoteText"/>
    <w:uiPriority w:val="9"/>
    <w:unhideWhenUsed/>
    <w:qFormat/>
    <w:pPr>
      <w:spacing w:after="120" w:line="259" w:lineRule="auto"/>
    </w:pPr>
    <w:rPr>
      <w:rFonts w:ascii="Times New Roman" w:hAnsi="Times New Roman" w:eastAsia="Times New Roman" w:cs="Times New Roman"/>
      <w:color w:val="000000"/>
    </w:rPr>
  </w:style>
  <w:style w:default="1" w:styleId="DefaultParagraphFont" w:type="character">
    <w:name w:val="Default Paragraph Font"/>
    <w:semiHidden/>
    <w:unhideWhenUsed/>
    <w:rPr>
      <w:rFonts w:ascii="Times New Roman" w:hAnsi="Times New Roman" w:eastAsia="Times New Roman" w:cs="Times New Roman"/>
      <w:color w:val="000000"/>
    </w:rPr>
  </w:style>
  <w:style w:default="1" w:styleId="Table" w:type="table">
    <w:name w:val="Table"/>
    <w:basedOn w:val="TableNormal"/>
    <w:semiHidden/>
    <w:unhideWhenUsed/>
    <w:qFormat/>
    <w:tblPr>
      <w:tblInd w:type="dxa" w:w="0"/>
      <w:tblBorders>
        <w:top w:val="single" w:sz="6" w:color="000000"/>
        <w:bottom w:val="single" w:sz="6" w:color="000000"/>
      </w:tblBorders>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120" w:line="259" w:lineRule="auto"/>
    </w:pPr>
    <w:rPr>
      <w:rFonts w:ascii="Times New Roman" w:hAnsi="Times New Roman" w:eastAsia="Times New Roman" w:cs="Times New Roman"/>
      <w:b/>
      <w:color w:val="000000"/>
    </w:rPr>
  </w:style>
  <w:style w:customStyle="1" w:styleId="Definition" w:type="paragraph">
    <w:name w:val="Definition"/>
    <w:basedOn w:val="Normal"/>
    <w:pPr>
      <w:spacing w:after="120" w:line="259" w:lineRule="auto"/>
    </w:pPr>
    <w:rPr>
      <w:rFonts w:ascii="Times New Roman" w:hAnsi="Times New Roman" w:eastAsia="Times New Roman" w:cs="Times New Roman"/>
      <w:color w:val="000000"/>
    </w:rPr>
  </w:style>
  <w:style w:styleId="Caption" w:type="paragraph">
    <w:name w:val="Caption"/>
    <w:basedOn w:val="Normal"/>
    <w:link w:val="BodyTextChar"/>
    <w:pPr>
      <w:spacing w:after="120" w:before="0" w:line="259" w:lineRule="auto"/>
    </w:pPr>
    <w:rPr>
      <w:rFonts w:ascii="Times New Roman" w:hAnsi="Times New Roman" w:eastAsia="Times New Roman" w:cs="Times New Roman"/>
      <w:i/>
      <w:color w:val="000000"/>
    </w:rPr>
  </w:style>
  <w:style w:customStyle="1" w:styleId="TableCaption" w:type="paragraph">
    <w:name w:val="Table Caption"/>
    <w:basedOn w:val="Caption"/>
    <w:pPr>
      <w:keepNext/>
      <w:spacing w:after="120" w:line="259" w:lineRule="auto"/>
    </w:pPr>
    <w:rPr>
      <w:rFonts w:ascii="Times New Roman" w:hAnsi="Times New Roman" w:eastAsia="Times New Roman" w:cs="Times New Roman"/>
      <w:color w:val="000000"/>
    </w:rPr>
  </w:style>
  <w:style w:customStyle="1" w:styleId="ImageCaption" w:type="paragraph">
    <w:name w:val="Image Caption"/>
    <w:basedOn w:val="Caption"/>
    <w:pPr>
      <w:spacing w:after="120" w:line="259" w:lineRule="auto"/>
    </w:pPr>
    <w:rPr>
      <w:rFonts w:ascii="Times New Roman" w:hAnsi="Times New Roman" w:eastAsia="Times New Roman" w:cs="Times New Roman"/>
      <w:color w:val="000000"/>
    </w:rPr>
  </w:style>
  <w:style w:customStyle="1" w:styleId="Figure" w:type="paragraph">
    <w:name w:val="Figure"/>
    <w:basedOn w:val="Normal"/>
    <w:pPr>
      <w:spacing w:after="120" w:line="259" w:lineRule="auto"/>
    </w:pPr>
    <w:rPr>
      <w:rFonts w:ascii="Times New Roman" w:hAnsi="Times New Roman" w:eastAsia="Times New Roman" w:cs="Times New Roman"/>
      <w:color w:val="000000"/>
    </w:rPr>
  </w:style>
  <w:style w:customStyle="1" w:styleId="CaptionedFigure" w:type="paragraph">
    <w:name w:val="Captioned Figure"/>
    <w:basedOn w:val="Figure"/>
    <w:pPr>
      <w:keepNext/>
      <w:spacing w:after="120" w:line="259" w:lineRule="auto"/>
    </w:pPr>
    <w:rPr>
      <w:rFonts w:ascii="Times New Roman" w:hAnsi="Times New Roman" w:eastAsia="Times New Roman" w:cs="Times New Roman"/>
      <w:color w:val="000000"/>
    </w:rPr>
  </w:style>
  <w:style w:customStyle="1" w:styleId="BodyTextChar" w:type="character">
    <w:name w:val="Body Text Char"/>
    <w:basedOn w:val="DefaultParagraphFont"/>
    <w:link w:val="BodyText"/>
    <w:rPr>
      <w:rFonts w:ascii="Times New Roman" w:hAnsi="Times New Roman" w:eastAsia="Times New Roman" w:cs="Times New Roman"/>
      <w:color w:val="000000"/>
    </w:rPr>
  </w:style>
  <w:style w:customStyle="1" w:styleId="VerbatimChar" w:type="character">
    <w:name w:val="Verbatim Char"/>
    <w:basedOn w:val="BodyTextChar"/>
    <w:rPr>
      <w:rFonts w:ascii="Times New Roman" w:hAnsi="Times New Roman" w:eastAsia="Times New Roman" w:cs="Times New Roman"/>
      <w:color w:val="000000"/>
      <w:sz w:val="22"/>
    </w:rPr>
  </w:style>
  <w:style w:customStyle="1" w:styleId="SectionNumber" w:type="character">
    <w:name w:val="Section Number"/>
    <w:basedOn w:val="BodyTextChar"/>
    <w:rPr>
      <w:rFonts w:ascii="Times New Roman" w:hAnsi="Times New Roman" w:eastAsia="Times New Roman" w:cs="Times New Roman"/>
      <w:color w:val="000000"/>
    </w:rPr>
  </w:style>
  <w:style w:styleId="FootnoteReference" w:type="character">
    <w:name w:val="Footnote Reference"/>
    <w:basedOn w:val="BodyTextChar"/>
    <w:rPr>
      <w:rFonts w:ascii="Times New Roman" w:hAnsi="Times New Roman" w:eastAsia="Times New Roman" w:cs="Times New Roman"/>
      <w:color w:val="000000"/>
      <w:vertAlign w:val="superscript"/>
    </w:rPr>
  </w:style>
  <w:style w:styleId="Hyperlink" w:type="character">
    <w:name w:val="Hyperlink"/>
    <w:basedOn w:val="BodyTextChar"/>
    <w:rPr>
      <w:rFonts w:ascii="Times New Roman" w:hAnsi="Times New Roman" w:eastAsia="Times New Roman" w:cs="Times New Roman"/>
      <w:color w:val="000000"/>
    </w:rPr>
  </w:style>
  <w:style w:styleId="TOCHeading" w:type="paragraph">
    <w:name w:val="TOC Heading"/>
    <w:basedOn w:val="Heading1"/>
    <w:next w:val="BodyText"/>
    <w:uiPriority w:val="39"/>
    <w:unhideWhenUsed/>
    <w:qFormat/>
    <w:pPr>
      <w:spacing w:before="240" w:line="259" w:lineRule="auto" w:after="120"/>
      <w:outlineLvl w:val="9"/>
    </w:pPr>
    <w:rPr>
      <w:rFonts w:ascii="Times New Roman" w:hAnsi="Times New Roman" w:cs="Times New Roman" w:eastAsia="Times New Roman"/>
      <w:b w:val="0"/>
      <w:bCs w:val="0"/>
      <w:color w:val="000000"/>
    </w:rPr>
  </w:style>
  <w:style w:type="paragraph" w:customStyle="1" w:styleId="SourceCode">
    <w:name w:val="Source Code"/>
    <w:basedOn w:val="Normal"/>
    <w:link w:val="VerbatimChar"/>
    <w:pPr>
      <w:wordWrap w:val="off"/>
      <w:spacing w:after="120" w:line="259" w:lineRule="auto"/>
    </w:pPr>
    <w:rPr>
      <w:rFonts w:ascii="Times New Roman" w:hAnsi="Times New Roman" w:eastAsia="Times New Roman" w:cs="Times New Roman"/>
      <w:color w:val="000000"/>
    </w:rPr>
  </w:style>
  <w:style w:type="character" w:customStyle="1" w:styleId="KeywordTok">
    <w:name w:val="KeywordTok"/>
    <w:basedOn w:val="VerbatimChar"/>
    <w:rPr>
      <w:rFonts w:ascii="Times New Roman" w:hAnsi="Times New Roman" w:eastAsia="Times New Roman" w:cs="Times New Roman"/>
      <w:b/>
      <w:color w:val="000000"/>
    </w:rPr>
  </w:style>
  <w:style w:type="character" w:customStyle="1" w:styleId="DataTypeTok">
    <w:name w:val="DataTypeTok"/>
    <w:basedOn w:val="VerbatimChar"/>
    <w:rPr>
      <w:rFonts w:ascii="Times New Roman" w:hAnsi="Times New Roman" w:eastAsia="Times New Roman" w:cs="Times New Roman"/>
      <w:color w:val="000000"/>
    </w:rPr>
  </w:style>
  <w:style w:type="character" w:customStyle="1" w:styleId="DecValTok">
    <w:name w:val="DecValTok"/>
    <w:basedOn w:val="VerbatimChar"/>
    <w:rPr>
      <w:rFonts w:ascii="Times New Roman" w:hAnsi="Times New Roman" w:eastAsia="Times New Roman" w:cs="Times New Roman"/>
      <w:color w:val="000000"/>
    </w:rPr>
  </w:style>
  <w:style w:type="character" w:customStyle="1" w:styleId="BaseNTok">
    <w:name w:val="BaseNTok"/>
    <w:basedOn w:val="VerbatimChar"/>
    <w:rPr>
      <w:rFonts w:ascii="Times New Roman" w:hAnsi="Times New Roman" w:eastAsia="Times New Roman" w:cs="Times New Roman"/>
      <w:color w:val="000000"/>
    </w:rPr>
  </w:style>
  <w:style w:type="character" w:customStyle="1" w:styleId="FloatTok">
    <w:name w:val="FloatTok"/>
    <w:basedOn w:val="VerbatimChar"/>
    <w:rPr>
      <w:rFonts w:ascii="Times New Roman" w:hAnsi="Times New Roman" w:eastAsia="Times New Roman" w:cs="Times New Roman"/>
      <w:color w:val="000000"/>
    </w:rPr>
  </w:style>
  <w:style w:type="character" w:customStyle="1" w:styleId="ConstantTok">
    <w:name w:val="ConstantTok"/>
    <w:basedOn w:val="VerbatimChar"/>
    <w:rPr>
      <w:rFonts w:ascii="Times New Roman" w:hAnsi="Times New Roman" w:eastAsia="Times New Roman" w:cs="Times New Roman"/>
      <w:color w:val="000000"/>
    </w:rPr>
  </w:style>
  <w:style w:type="character" w:customStyle="1" w:styleId="CharTok">
    <w:name w:val="CharTok"/>
    <w:basedOn w:val="VerbatimChar"/>
    <w:rPr>
      <w:rFonts w:ascii="Times New Roman" w:hAnsi="Times New Roman" w:eastAsia="Times New Roman" w:cs="Times New Roman"/>
      <w:color w:val="000000"/>
    </w:rPr>
  </w:style>
  <w:style w:type="character" w:customStyle="1" w:styleId="SpecialCharTok">
    <w:name w:val="SpecialCharTok"/>
    <w:basedOn w:val="VerbatimChar"/>
    <w:rPr>
      <w:rFonts w:ascii="Times New Roman" w:hAnsi="Times New Roman" w:eastAsia="Times New Roman" w:cs="Times New Roman"/>
      <w:color w:val="000000"/>
    </w:rPr>
  </w:style>
  <w:style w:type="character" w:customStyle="1" w:styleId="StringTok">
    <w:name w:val="StringTok"/>
    <w:basedOn w:val="VerbatimChar"/>
    <w:rPr>
      <w:rFonts w:ascii="Times New Roman" w:hAnsi="Times New Roman" w:eastAsia="Times New Roman" w:cs="Times New Roman"/>
      <w:color w:val="000000"/>
    </w:rPr>
  </w:style>
  <w:style w:type="character" w:customStyle="1" w:styleId="VerbatimStringTok">
    <w:name w:val="VerbatimStringTok"/>
    <w:basedOn w:val="VerbatimChar"/>
    <w:rPr>
      <w:rFonts w:ascii="Times New Roman" w:hAnsi="Times New Roman" w:eastAsia="Times New Roman" w:cs="Times New Roman"/>
      <w:color w:val="000000"/>
    </w:rPr>
  </w:style>
  <w:style w:type="character" w:customStyle="1" w:styleId="SpecialStringTok">
    <w:name w:val="SpecialStringTok"/>
    <w:basedOn w:val="VerbatimChar"/>
    <w:rPr>
      <w:rFonts w:ascii="Times New Roman" w:hAnsi="Times New Roman" w:eastAsia="Times New Roman" w:cs="Times New Roman"/>
      <w:color w:val="000000"/>
    </w:rPr>
  </w:style>
  <w:style w:type="character" w:customStyle="1" w:styleId="ImportTok">
    <w:name w:val="ImportTok"/>
    <w:basedOn w:val="VerbatimChar"/>
    <w:rPr>
      <w:rFonts w:ascii="Times New Roman" w:hAnsi="Times New Roman" w:eastAsia="Times New Roman" w:cs="Times New Roman"/>
      <w:b/>
      <w:color w:val="000000"/>
    </w:rPr>
  </w:style>
  <w:style w:type="character" w:customStyle="1" w:styleId="CommentTok">
    <w:name w:val="CommentTok"/>
    <w:basedOn w:val="VerbatimChar"/>
    <w:rPr>
      <w:rFonts w:ascii="Times New Roman" w:hAnsi="Times New Roman" w:eastAsia="Times New Roman" w:cs="Times New Roman"/>
      <w:i/>
      <w:color w:val="000000"/>
    </w:rPr>
  </w:style>
  <w:style w:type="character" w:customStyle="1" w:styleId="DocumentationTok">
    <w:name w:val="DocumentationTok"/>
    <w:basedOn w:val="VerbatimChar"/>
    <w:rPr>
      <w:rFonts w:ascii="Times New Roman" w:hAnsi="Times New Roman" w:eastAsia="Times New Roman" w:cs="Times New Roman"/>
      <w:i/>
      <w:color w:val="000000"/>
    </w:rPr>
  </w:style>
  <w:style w:type="character" w:customStyle="1" w:styleId="AnnotationTok">
    <w:name w:val="AnnotationTok"/>
    <w:basedOn w:val="VerbatimChar"/>
    <w:rPr>
      <w:rFonts w:ascii="Times New Roman" w:hAnsi="Times New Roman" w:eastAsia="Times New Roman" w:cs="Times New Roman"/>
      <w:b/>
      <w:i/>
      <w:color w:val="000000"/>
    </w:rPr>
  </w:style>
  <w:style w:type="character" w:customStyle="1" w:styleId="CommentVarTok">
    <w:name w:val="CommentVarTok"/>
    <w:basedOn w:val="VerbatimChar"/>
    <w:rPr>
      <w:rFonts w:ascii="Times New Roman" w:hAnsi="Times New Roman" w:eastAsia="Times New Roman" w:cs="Times New Roman"/>
      <w:b/>
      <w:i/>
      <w:color w:val="000000"/>
    </w:rPr>
  </w:style>
  <w:style w:type="character" w:customStyle="1" w:styleId="OtherTok">
    <w:name w:val="OtherTok"/>
    <w:basedOn w:val="VerbatimChar"/>
    <w:rPr>
      <w:rFonts w:ascii="Times New Roman" w:hAnsi="Times New Roman" w:eastAsia="Times New Roman" w:cs="Times New Roman"/>
      <w:color w:val="000000"/>
    </w:rPr>
  </w:style>
  <w:style w:type="character" w:customStyle="1" w:styleId="FunctionTok">
    <w:name w:val="FunctionTok"/>
    <w:basedOn w:val="VerbatimChar"/>
    <w:rPr>
      <w:rFonts w:ascii="Times New Roman" w:hAnsi="Times New Roman" w:eastAsia="Times New Roman" w:cs="Times New Roman"/>
      <w:color w:val="000000"/>
    </w:rPr>
  </w:style>
  <w:style w:type="character" w:customStyle="1" w:styleId="VariableTok">
    <w:name w:val="VariableTok"/>
    <w:basedOn w:val="VerbatimChar"/>
    <w:rPr>
      <w:rFonts w:ascii="Times New Roman" w:hAnsi="Times New Roman" w:eastAsia="Times New Roman" w:cs="Times New Roman"/>
      <w:color w:val="000000"/>
    </w:rPr>
  </w:style>
  <w:style w:type="character" w:customStyle="1" w:styleId="ControlFlowTok">
    <w:name w:val="ControlFlowTok"/>
    <w:basedOn w:val="VerbatimChar"/>
    <w:rPr>
      <w:rFonts w:ascii="Times New Roman" w:hAnsi="Times New Roman" w:eastAsia="Times New Roman" w:cs="Times New Roman"/>
      <w:b/>
      <w:color w:val="000000"/>
    </w:rPr>
  </w:style>
  <w:style w:type="character" w:customStyle="1" w:styleId="OperatorTok">
    <w:name w:val="OperatorTok"/>
    <w:basedOn w:val="VerbatimChar"/>
    <w:rPr>
      <w:rFonts w:ascii="Times New Roman" w:hAnsi="Times New Roman" w:eastAsia="Times New Roman" w:cs="Times New Roman"/>
      <w:color w:val="000000"/>
    </w:rPr>
  </w:style>
  <w:style w:type="character" w:customStyle="1" w:styleId="BuiltInTok">
    <w:name w:val="BuiltInTok"/>
    <w:basedOn w:val="VerbatimChar"/>
    <w:rPr>
      <w:rFonts w:ascii="Times New Roman" w:hAnsi="Times New Roman" w:eastAsia="Times New Roman" w:cs="Times New Roman"/>
      <w:color w:val="000000"/>
    </w:rPr>
  </w:style>
  <w:style w:type="character" w:customStyle="1" w:styleId="ExtensionTok">
    <w:name w:val="ExtensionTok"/>
    <w:basedOn w:val="VerbatimChar"/>
    <w:rPr>
      <w:rFonts w:ascii="Times New Roman" w:hAnsi="Times New Roman" w:eastAsia="Times New Roman" w:cs="Times New Roman"/>
      <w:color w:val="000000"/>
    </w:rPr>
  </w:style>
  <w:style w:type="character" w:customStyle="1" w:styleId="PreprocessorTok">
    <w:name w:val="PreprocessorTok"/>
    <w:basedOn w:val="VerbatimChar"/>
    <w:rPr>
      <w:rFonts w:ascii="Times New Roman" w:hAnsi="Times New Roman" w:eastAsia="Times New Roman" w:cs="Times New Roman"/>
      <w:color w:val="000000"/>
    </w:rPr>
  </w:style>
  <w:style w:type="character" w:customStyle="1" w:styleId="AttributeTok">
    <w:name w:val="AttributeTok"/>
    <w:basedOn w:val="VerbatimChar"/>
    <w:rPr>
      <w:rFonts w:ascii="Times New Roman" w:hAnsi="Times New Roman" w:eastAsia="Times New Roman" w:cs="Times New Roman"/>
      <w:color w:val="000000"/>
    </w:rPr>
  </w:style>
  <w:style w:type="character" w:customStyle="1" w:styleId="RegionMarkerTok">
    <w:name w:val="RegionMarkerTok"/>
    <w:basedOn w:val="VerbatimChar"/>
    <w:rPr>
      <w:rFonts w:ascii="Times New Roman" w:hAnsi="Times New Roman" w:eastAsia="Times New Roman" w:cs="Times New Roman"/>
      <w:color w:val="000000"/>
    </w:rPr>
  </w:style>
  <w:style w:type="character" w:customStyle="1" w:styleId="InformationTok">
    <w:name w:val="InformationTok"/>
    <w:basedOn w:val="VerbatimChar"/>
    <w:rPr>
      <w:rFonts w:ascii="Times New Roman" w:hAnsi="Times New Roman" w:eastAsia="Times New Roman" w:cs="Times New Roman"/>
      <w:b/>
      <w:i/>
      <w:color w:val="000000"/>
    </w:rPr>
  </w:style>
  <w:style w:type="character" w:customStyle="1" w:styleId="WarningTok">
    <w:name w:val="WarningTok"/>
    <w:basedOn w:val="VerbatimChar"/>
    <w:rPr>
      <w:rFonts w:ascii="Times New Roman" w:hAnsi="Times New Roman" w:eastAsia="Times New Roman" w:cs="Times New Roman"/>
      <w:b/>
      <w:i/>
      <w:color w:val="000000"/>
    </w:rPr>
  </w:style>
  <w:style w:type="character" w:customStyle="1" w:styleId="AlertTok">
    <w:name w:val="AlertTok"/>
    <w:basedOn w:val="VerbatimChar"/>
    <w:rPr>
      <w:rFonts w:ascii="Times New Roman" w:hAnsi="Times New Roman" w:eastAsia="Times New Roman" w:cs="Times New Roman"/>
      <w:b/>
      <w:color w:val="000000"/>
    </w:rPr>
  </w:style>
  <w:style w:type="character" w:customStyle="1" w:styleId="ErrorTok">
    <w:name w:val="ErrorTok"/>
    <w:basedOn w:val="VerbatimChar"/>
    <w:rPr>
      <w:rFonts w:ascii="Times New Roman" w:hAnsi="Times New Roman" w:eastAsia="Times New Roman" w:cs="Times New Roman"/>
      <w:b/>
      <w:color w:val="000000"/>
    </w:rPr>
  </w:style>
  <w:style w:type="character" w:customStyle="1" w:styleId="NormalTok">
    <w:name w:val="NormalTok"/>
    <w:basedOn w:val="VerbatimChar"/>
    <w:rPr>
      <w:rFonts w:ascii="Times New Roman" w:hAnsi="Times New Roman" w:eastAsia="Times New Roman" w:cs="Times New Roman"/>
      <w:color w:val="00000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42" Type="http://schemas.openxmlformats.org/officeDocument/2006/relationships/image" Target="media/rId42.png"/><Relationship Id="rId45" Type="http://schemas.openxmlformats.org/officeDocument/2006/relationships/image" Target="media/rId45.png"/><Relationship Id="rId48" Type="http://schemas.openxmlformats.org/officeDocument/2006/relationships/image" Target="media/rId48.png"/><Relationship Id="rId51" Type="http://schemas.openxmlformats.org/officeDocument/2006/relationships/image" Target="media/rId51.png"/><Relationship Id="rId54" Type="http://schemas.openxmlformats.org/officeDocument/2006/relationships/image" Target="media/rId54.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2026-09-11T17:56:28Z</dcterms:created>
  <dcterms:modified xsi:type="dcterms:W3CDTF">2026-09-11T17:56:28Z</dcterms:modified>
  <cp:version>25</cp:version>
</cp:coreProperties>
</file>

<file path=docProps/custom.xml><?xml version="1.0" encoding="utf-8"?>
<Properties xmlns="http://schemas.openxmlformats.org/officeDocument/2006/custom-properties" xmlns:vt="http://schemas.openxmlformats.org/officeDocument/2006/docPropsVTypes"/>
</file>