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3EDB7" w14:textId="77777777" w:rsidR="00004F12" w:rsidRPr="00513F1F" w:rsidRDefault="00004F12" w:rsidP="00004F12">
      <w:pPr>
        <w:rPr>
          <w:rFonts w:ascii="Times New Roman" w:eastAsia="Times New Roman" w:hAnsi="Times New Roman" w:cs="Times New Roman"/>
          <w:lang w:val="en-US"/>
        </w:rPr>
      </w:pPr>
      <w:r w:rsidRPr="00513F1F">
        <w:rPr>
          <w:rFonts w:ascii="Times New Roman" w:eastAsia="Times New Roman" w:hAnsi="Times New Roman" w:cs="Times New Roman"/>
          <w:b/>
          <w:lang w:val="en-US"/>
        </w:rPr>
        <w:t xml:space="preserve">Supplementary Figure 1. Patient Selection. </w:t>
      </w:r>
      <w:r w:rsidRPr="00513F1F">
        <w:rPr>
          <w:rFonts w:ascii="Times New Roman" w:eastAsia="Times New Roman" w:hAnsi="Times New Roman" w:cs="Times New Roman"/>
          <w:lang w:val="en-US"/>
        </w:rPr>
        <w:t>Out of the 1104 unique patients identified in the original I-SPY2 and ACRIN trials, patients were excluded for absence of a usable cropped DCE series at both timepoints (n = 312), an empty tumor segmentation (n = 36), image-processing failure (n = 2) or incomplete clinical data (n=1). The final analyzed cohort comprised 753 patients.</w:t>
      </w:r>
    </w:p>
    <w:p w14:paraId="59C35A39" w14:textId="77777777" w:rsidR="00004F12" w:rsidRPr="00513F1F" w:rsidRDefault="00004F12" w:rsidP="00004F12">
      <w:pPr>
        <w:spacing w:line="240" w:lineRule="auto"/>
        <w:rPr>
          <w:rFonts w:ascii="Times New Roman" w:eastAsia="Times New Roman" w:hAnsi="Times New Roman" w:cs="Times New Roman"/>
          <w:noProof/>
        </w:rPr>
      </w:pPr>
    </w:p>
    <w:p w14:paraId="36692742" w14:textId="77777777" w:rsidR="00004F12" w:rsidRPr="00513F1F" w:rsidRDefault="00004F12" w:rsidP="00004F12">
      <w:pPr>
        <w:spacing w:line="240" w:lineRule="auto"/>
        <w:rPr>
          <w:rFonts w:ascii="Times New Roman" w:eastAsia="Times New Roman" w:hAnsi="Times New Roman" w:cs="Times New Roman"/>
          <w:lang w:val="en-US"/>
        </w:rPr>
      </w:pPr>
      <w:r w:rsidRPr="00513F1F">
        <w:rPr>
          <w:rFonts w:ascii="Times New Roman" w:eastAsia="Times New Roman" w:hAnsi="Times New Roman" w:cs="Times New Roman"/>
          <w:noProof/>
          <w:lang w:val="en-US"/>
        </w:rPr>
        <w:drawing>
          <wp:inline distT="0" distB="0" distL="0" distR="0" wp14:anchorId="5AB0DCCE" wp14:editId="7F69316C">
            <wp:extent cx="6858000" cy="7526020"/>
            <wp:effectExtent l="0" t="0" r="0" b="0"/>
            <wp:docPr id="1145910266" name="Picture 4" descr="The image illustrates a flowchart detailing the selection process of patients from I-SPY2 DCE-MRI studies, including various exclusion criteria and final cohorts for analysi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10266" name="Picture 4" descr="The image illustrates a flowchart detailing the selection process of patients from I-SPY2 DCE-MRI studies, including various exclusion criteria and final cohorts for analysis.&#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7526020"/>
                    </a:xfrm>
                    <a:prstGeom prst="rect">
                      <a:avLst/>
                    </a:prstGeom>
                    <a:noFill/>
                    <a:ln>
                      <a:noFill/>
                    </a:ln>
                  </pic:spPr>
                </pic:pic>
              </a:graphicData>
            </a:graphic>
          </wp:inline>
        </w:drawing>
      </w:r>
    </w:p>
    <w:p w14:paraId="7B13CDB0" w14:textId="77777777" w:rsidR="00004F12" w:rsidRPr="00513F1F" w:rsidRDefault="00004F12" w:rsidP="00004F12">
      <w:pPr>
        <w:spacing w:line="240" w:lineRule="auto"/>
        <w:rPr>
          <w:rFonts w:ascii="Times New Roman" w:eastAsia="Times New Roman" w:hAnsi="Times New Roman" w:cs="Times New Roman"/>
          <w:lang w:val="en-US"/>
        </w:rPr>
      </w:pPr>
    </w:p>
    <w:p w14:paraId="41C6DA6A" w14:textId="77777777" w:rsidR="00004F12" w:rsidRPr="00513F1F" w:rsidRDefault="00004F12" w:rsidP="00004F12">
      <w:pPr>
        <w:spacing w:line="240" w:lineRule="auto"/>
        <w:rPr>
          <w:rFonts w:ascii="Times New Roman" w:eastAsia="Times New Roman" w:hAnsi="Times New Roman" w:cs="Times New Roman"/>
        </w:rPr>
      </w:pPr>
    </w:p>
    <w:p w14:paraId="04B5E98E" w14:textId="77777777" w:rsidR="00004F12" w:rsidRPr="00513F1F" w:rsidRDefault="00004F12" w:rsidP="00004F12">
      <w:pPr>
        <w:spacing w:line="240" w:lineRule="auto"/>
        <w:rPr>
          <w:rFonts w:ascii="Times New Roman" w:eastAsia="Times New Roman" w:hAnsi="Times New Roman" w:cs="Times New Roman"/>
          <w:b/>
          <w:bCs/>
        </w:rPr>
      </w:pPr>
      <w:r w:rsidRPr="00513F1F">
        <w:rPr>
          <w:rFonts w:ascii="Times New Roman" w:eastAsia="Times New Roman" w:hAnsi="Times New Roman" w:cs="Times New Roman"/>
          <w:b/>
          <w:bCs/>
          <w:lang w:val="en-US"/>
        </w:rPr>
        <w:br w:type="page"/>
      </w:r>
    </w:p>
    <w:p w14:paraId="51CDA648" w14:textId="77777777" w:rsidR="00004F12" w:rsidRPr="00513F1F" w:rsidRDefault="00004F12" w:rsidP="00004F12">
      <w:pPr>
        <w:spacing w:line="240" w:lineRule="auto"/>
        <w:rPr>
          <w:rFonts w:ascii="Times New Roman" w:eastAsia="Times New Roman" w:hAnsi="Times New Roman" w:cs="Times New Roman"/>
          <w:lang w:val="en-US"/>
        </w:rPr>
      </w:pPr>
      <w:r w:rsidRPr="00513F1F">
        <w:rPr>
          <w:rFonts w:ascii="Times New Roman" w:eastAsia="Times New Roman" w:hAnsi="Times New Roman" w:cs="Times New Roman"/>
          <w:b/>
          <w:bCs/>
          <w:lang w:val="en-US"/>
        </w:rPr>
        <w:lastRenderedPageBreak/>
        <w:t xml:space="preserve">Supplementary Figure 2. Interpretable, concept-grounded reports. </w:t>
      </w:r>
      <w:r w:rsidRPr="00513F1F">
        <w:rPr>
          <w:rFonts w:ascii="Times New Roman" w:eastAsia="Times New Roman" w:hAnsi="Times New Roman" w:cs="Times New Roman"/>
          <w:lang w:val="en-US"/>
        </w:rPr>
        <w:t xml:space="preserve">Two representative examples of the model’s correct, confident cases (a predicted responder and non-responder) are presented below, alongside the model’s analysis on variables that favor </w:t>
      </w:r>
      <w:proofErr w:type="spellStart"/>
      <w:r w:rsidRPr="00513F1F">
        <w:rPr>
          <w:rFonts w:ascii="Times New Roman" w:eastAsia="Times New Roman" w:hAnsi="Times New Roman" w:cs="Times New Roman"/>
          <w:lang w:val="en-US"/>
        </w:rPr>
        <w:t>pCR</w:t>
      </w:r>
      <w:proofErr w:type="spellEnd"/>
      <w:r w:rsidRPr="00513F1F">
        <w:rPr>
          <w:rFonts w:ascii="Times New Roman" w:eastAsia="Times New Roman" w:hAnsi="Times New Roman" w:cs="Times New Roman"/>
          <w:lang w:val="en-US"/>
        </w:rPr>
        <w:t xml:space="preserve"> versus weigh against </w:t>
      </w:r>
      <w:proofErr w:type="spellStart"/>
      <w:r w:rsidRPr="00513F1F">
        <w:rPr>
          <w:rFonts w:ascii="Times New Roman" w:eastAsia="Times New Roman" w:hAnsi="Times New Roman" w:cs="Times New Roman"/>
          <w:lang w:val="en-US"/>
        </w:rPr>
        <w:t>pCR</w:t>
      </w:r>
      <w:proofErr w:type="spellEnd"/>
      <w:r w:rsidRPr="00513F1F">
        <w:rPr>
          <w:rFonts w:ascii="Times New Roman" w:eastAsia="Times New Roman" w:hAnsi="Times New Roman" w:cs="Times New Roman"/>
          <w:lang w:val="en-US"/>
        </w:rPr>
        <w:t xml:space="preserve">. </w:t>
      </w:r>
    </w:p>
    <w:p w14:paraId="5970ECC0" w14:textId="77777777" w:rsidR="00004F12" w:rsidRPr="00513F1F" w:rsidRDefault="00004F12" w:rsidP="00004F12">
      <w:pPr>
        <w:spacing w:line="240" w:lineRule="auto"/>
        <w:rPr>
          <w:rFonts w:ascii="Times New Roman" w:eastAsia="Times New Roman" w:hAnsi="Times New Roman" w:cs="Times New Roman"/>
        </w:rPr>
      </w:pPr>
    </w:p>
    <w:p w14:paraId="5C375E5C" w14:textId="77777777" w:rsidR="00004F12" w:rsidRPr="00513F1F" w:rsidRDefault="00004F12" w:rsidP="00004F12">
      <w:pPr>
        <w:spacing w:line="240" w:lineRule="auto"/>
        <w:rPr>
          <w:rFonts w:ascii="Times New Roman" w:eastAsia="Times New Roman" w:hAnsi="Times New Roman" w:cs="Times New Roman"/>
        </w:rPr>
      </w:pPr>
      <w:r w:rsidRPr="00513F1F">
        <w:rPr>
          <w:rFonts w:ascii="Times New Roman" w:eastAsia="Times New Roman" w:hAnsi="Times New Roman" w:cs="Times New Roman"/>
          <w:noProof/>
        </w:rPr>
        <w:drawing>
          <wp:inline distT="0" distB="0" distL="0" distR="0" wp14:anchorId="63AF865C" wp14:editId="5FC2736D">
            <wp:extent cx="6858000" cy="5428615"/>
            <wp:effectExtent l="0" t="0" r="0" b="635"/>
            <wp:docPr id="1069840419" name="Picture 1" descr="The image displays a comparison of pre- and post-treatment imaging for a patient, highlighting changes in tumor volume and morphology, with additional data on HER2 status and predicted probabilities of pathological complete response (pC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40419" name="Picture 1" descr="The image displays a comparison of pre- and post-treatment imaging for a patient, highlighting changes in tumor volume and morphology, with additional data on HER2 status and predicted probabilities of pathological complete response (pCR).&#10;&#10;AI-generated content may be incorrect."/>
                    <pic:cNvPicPr/>
                  </pic:nvPicPr>
                  <pic:blipFill>
                    <a:blip r:embed="rId5"/>
                    <a:stretch>
                      <a:fillRect/>
                    </a:stretch>
                  </pic:blipFill>
                  <pic:spPr>
                    <a:xfrm>
                      <a:off x="0" y="0"/>
                      <a:ext cx="6858000" cy="5428615"/>
                    </a:xfrm>
                    <a:prstGeom prst="rect">
                      <a:avLst/>
                    </a:prstGeom>
                  </pic:spPr>
                </pic:pic>
              </a:graphicData>
            </a:graphic>
          </wp:inline>
        </w:drawing>
      </w:r>
      <w:r w:rsidRPr="00513F1F">
        <w:rPr>
          <w:rFonts w:ascii="Times New Roman" w:eastAsia="Times New Roman" w:hAnsi="Times New Roman" w:cs="Times New Roman"/>
        </w:rPr>
        <w:t xml:space="preserve"> </w:t>
      </w:r>
    </w:p>
    <w:p w14:paraId="532BDCBE" w14:textId="77777777" w:rsidR="00004F12" w:rsidRPr="00513F1F" w:rsidRDefault="00004F12" w:rsidP="00004F12">
      <w:pPr>
        <w:rPr>
          <w:rFonts w:ascii="Times New Roman" w:eastAsia="Times New Roman" w:hAnsi="Times New Roman" w:cs="Times New Roman"/>
        </w:rPr>
      </w:pPr>
    </w:p>
    <w:p w14:paraId="54C03F63" w14:textId="77777777" w:rsidR="00004F12" w:rsidRPr="00513F1F" w:rsidRDefault="00004F12" w:rsidP="00004F12">
      <w:pPr>
        <w:rPr>
          <w:rFonts w:ascii="Times New Roman" w:eastAsia="Times New Roman" w:hAnsi="Times New Roman" w:cs="Times New Roman"/>
          <w:b/>
          <w:bCs/>
        </w:rPr>
      </w:pPr>
      <w:r w:rsidRPr="00513F1F">
        <w:rPr>
          <w:rFonts w:ascii="Times New Roman" w:eastAsia="Times New Roman" w:hAnsi="Times New Roman" w:cs="Times New Roman"/>
          <w:b/>
          <w:bCs/>
        </w:rPr>
        <w:br w:type="page"/>
      </w:r>
    </w:p>
    <w:p w14:paraId="6E4C950D" w14:textId="77777777" w:rsidR="00004F12" w:rsidRPr="00513F1F" w:rsidRDefault="00004F12" w:rsidP="00004F12">
      <w:pPr>
        <w:spacing w:line="240" w:lineRule="auto"/>
        <w:rPr>
          <w:rFonts w:ascii="Times New Roman" w:eastAsia="Times New Roman" w:hAnsi="Times New Roman" w:cs="Times New Roman"/>
          <w:lang w:val="en-US"/>
        </w:rPr>
      </w:pPr>
      <w:r w:rsidRPr="00513F1F">
        <w:rPr>
          <w:rFonts w:ascii="Times New Roman" w:eastAsia="Times New Roman" w:hAnsi="Times New Roman" w:cs="Times New Roman"/>
          <w:b/>
          <w:bCs/>
        </w:rPr>
        <w:lastRenderedPageBreak/>
        <w:t xml:space="preserve">Supplementary Figure 3. </w:t>
      </w:r>
      <w:r w:rsidRPr="00513F1F">
        <w:rPr>
          <w:rFonts w:ascii="Times New Roman" w:eastAsia="Times New Roman" w:hAnsi="Times New Roman" w:cs="Times New Roman"/>
          <w:b/>
          <w:bCs/>
          <w:lang w:val="en-US"/>
        </w:rPr>
        <w:t xml:space="preserve">Model performance stratified by molecular subtype versus treatment group. </w:t>
      </w:r>
      <w:r w:rsidRPr="00513F1F">
        <w:rPr>
          <w:rFonts w:ascii="Times New Roman" w:eastAsia="Times New Roman" w:hAnsi="Times New Roman" w:cs="Times New Roman"/>
          <w:lang w:val="en-US"/>
        </w:rPr>
        <w:t>The OOF performance of model (</w:t>
      </w:r>
      <w:proofErr w:type="spellStart"/>
      <w:r w:rsidRPr="00513F1F">
        <w:rPr>
          <w:rFonts w:ascii="Times New Roman" w:eastAsia="Times New Roman" w:hAnsi="Times New Roman" w:cs="Times New Roman"/>
          <w:lang w:val="en-US"/>
        </w:rPr>
        <w:t>pCR</w:t>
      </w:r>
      <w:proofErr w:type="spellEnd"/>
      <w:r w:rsidRPr="00513F1F">
        <w:rPr>
          <w:rFonts w:ascii="Times New Roman" w:eastAsia="Times New Roman" w:hAnsi="Times New Roman" w:cs="Times New Roman"/>
          <w:lang w:val="en-US"/>
        </w:rPr>
        <w:t xml:space="preserve"> AUROC with 95% bootstrap CIs) was measured after patients were stratified by </w:t>
      </w:r>
      <w:r w:rsidRPr="00513F1F">
        <w:rPr>
          <w:rFonts w:ascii="Times New Roman" w:eastAsia="Times New Roman" w:hAnsi="Times New Roman" w:cs="Times New Roman"/>
          <w:b/>
          <w:bCs/>
          <w:lang w:val="en-US"/>
        </w:rPr>
        <w:t xml:space="preserve">(a) </w:t>
      </w:r>
      <w:r w:rsidRPr="00513F1F">
        <w:rPr>
          <w:rFonts w:ascii="Times New Roman" w:eastAsia="Times New Roman" w:hAnsi="Times New Roman" w:cs="Times New Roman"/>
          <w:lang w:val="en-US"/>
        </w:rPr>
        <w:t xml:space="preserve">molecular subtype and </w:t>
      </w:r>
      <w:r w:rsidRPr="00513F1F">
        <w:rPr>
          <w:rFonts w:ascii="Times New Roman" w:eastAsia="Times New Roman" w:hAnsi="Times New Roman" w:cs="Times New Roman"/>
          <w:b/>
          <w:bCs/>
          <w:lang w:val="en-US"/>
        </w:rPr>
        <w:t>(b)</w:t>
      </w:r>
      <w:r w:rsidRPr="00513F1F">
        <w:rPr>
          <w:rFonts w:ascii="Times New Roman" w:eastAsia="Times New Roman" w:hAnsi="Times New Roman" w:cs="Times New Roman"/>
          <w:lang w:val="en-US"/>
        </w:rPr>
        <w:t xml:space="preserve"> treatment group. Due to the small size of the patient strata, estimates were treated as exploratory only. </w:t>
      </w:r>
    </w:p>
    <w:p w14:paraId="0AFEF6A2" w14:textId="77777777" w:rsidR="00004F12" w:rsidRPr="00513F1F" w:rsidRDefault="00004F12" w:rsidP="00004F12">
      <w:pPr>
        <w:spacing w:line="240" w:lineRule="auto"/>
        <w:rPr>
          <w:rFonts w:ascii="Times New Roman" w:hAnsi="Times New Roman" w:cs="Times New Roman"/>
          <w:noProof/>
        </w:rPr>
      </w:pPr>
    </w:p>
    <w:p w14:paraId="72484F55" w14:textId="77777777" w:rsidR="00004F12" w:rsidRPr="00513F1F" w:rsidRDefault="00004F12" w:rsidP="00004F12">
      <w:pPr>
        <w:spacing w:line="240" w:lineRule="auto"/>
        <w:rPr>
          <w:rFonts w:ascii="Times New Roman" w:eastAsia="Times New Roman" w:hAnsi="Times New Roman" w:cs="Times New Roman"/>
          <w:b/>
          <w:bCs/>
          <w:lang w:val="en-US"/>
        </w:rPr>
      </w:pPr>
      <w:r w:rsidRPr="00513F1F">
        <w:rPr>
          <w:rFonts w:ascii="Times New Roman" w:eastAsia="Times New Roman" w:hAnsi="Times New Roman" w:cs="Times New Roman"/>
          <w:b/>
          <w:bCs/>
          <w:noProof/>
          <w:lang w:val="en-US"/>
        </w:rPr>
        <w:drawing>
          <wp:inline distT="0" distB="0" distL="0" distR="0" wp14:anchorId="41D30E0A" wp14:editId="58CE6F9F">
            <wp:extent cx="6858000" cy="2689860"/>
            <wp:effectExtent l="0" t="0" r="0" b="0"/>
            <wp:docPr id="1754473125" name="Picture 14" descr="The diagram depicts a comparison of treatment effectiveness by molecular subtype, showing pCR (pathological complete response) rates and their Area Under the Receiver Operating Characteristic (AUROC) values, categorized by hormone receptor status (HR+/HER2-, HR+/HER2+, HR-/HER2+, and Triple-negative) and treatment types (chemo, immuno-targeted, and targeted al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73125" name="Picture 14" descr="The diagram depicts a comparison of treatment effectiveness by molecular subtype, showing pCR (pathological complete response) rates and their Area Under the Receiver Operating Characteristic (AUROC) values, categorized by hormone receptor status (HR+/HER2-, HR+/HER2+, HR-/HER2+, and Triple-negative) and treatment types (chemo, immuno-targeted, and targeted alone).&#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58000" cy="2689860"/>
                    </a:xfrm>
                    <a:prstGeom prst="rect">
                      <a:avLst/>
                    </a:prstGeom>
                    <a:noFill/>
                    <a:ln>
                      <a:noFill/>
                    </a:ln>
                  </pic:spPr>
                </pic:pic>
              </a:graphicData>
            </a:graphic>
          </wp:inline>
        </w:drawing>
      </w:r>
    </w:p>
    <w:p w14:paraId="5B186FB5" w14:textId="77777777" w:rsidR="00004F12" w:rsidRPr="00513F1F" w:rsidRDefault="00004F12" w:rsidP="00004F12">
      <w:pPr>
        <w:spacing w:line="240" w:lineRule="auto"/>
        <w:rPr>
          <w:rFonts w:ascii="Times New Roman" w:eastAsia="Times New Roman" w:hAnsi="Times New Roman" w:cs="Times New Roman"/>
          <w:b/>
          <w:bCs/>
        </w:rPr>
      </w:pPr>
    </w:p>
    <w:p w14:paraId="53824819" w14:textId="77777777" w:rsidR="00004F12" w:rsidRPr="00513F1F" w:rsidRDefault="00004F12" w:rsidP="00004F12">
      <w:pPr>
        <w:rPr>
          <w:rFonts w:ascii="Times New Roman" w:eastAsia="Times New Roman" w:hAnsi="Times New Roman" w:cs="Times New Roman"/>
          <w:b/>
          <w:bCs/>
        </w:rPr>
      </w:pPr>
    </w:p>
    <w:p w14:paraId="4814BCA6" w14:textId="77777777" w:rsidR="00004F12" w:rsidRPr="00513F1F" w:rsidRDefault="00004F12" w:rsidP="00004F12">
      <w:pPr>
        <w:rPr>
          <w:rFonts w:ascii="Times New Roman" w:eastAsia="Times New Roman" w:hAnsi="Times New Roman" w:cs="Times New Roman"/>
          <w:b/>
          <w:bCs/>
        </w:rPr>
      </w:pPr>
    </w:p>
    <w:p w14:paraId="5E9616C7" w14:textId="77777777" w:rsidR="00004F12" w:rsidRPr="00513F1F" w:rsidRDefault="00004F12" w:rsidP="00004F12">
      <w:pPr>
        <w:rPr>
          <w:rFonts w:ascii="Times New Roman" w:eastAsia="Times New Roman" w:hAnsi="Times New Roman" w:cs="Times New Roman"/>
        </w:rPr>
      </w:pPr>
      <w:r w:rsidRPr="00513F1F">
        <w:rPr>
          <w:rFonts w:ascii="Times New Roman" w:eastAsia="Times New Roman" w:hAnsi="Times New Roman" w:cs="Times New Roman"/>
        </w:rPr>
        <w:br w:type="page"/>
      </w:r>
    </w:p>
    <w:p w14:paraId="3EF4AE67" w14:textId="77777777" w:rsidR="00004F12" w:rsidRPr="00513F1F" w:rsidRDefault="00004F12" w:rsidP="00004F12">
      <w:pPr>
        <w:spacing w:line="240" w:lineRule="auto"/>
        <w:rPr>
          <w:rFonts w:ascii="Times New Roman" w:eastAsia="Times New Roman" w:hAnsi="Times New Roman" w:cs="Times New Roman"/>
          <w:lang w:val="en-US"/>
        </w:rPr>
      </w:pPr>
      <w:r w:rsidRPr="00513F1F">
        <w:rPr>
          <w:rFonts w:ascii="Times New Roman" w:eastAsia="Times New Roman" w:hAnsi="Times New Roman" w:cs="Times New Roman"/>
          <w:b/>
          <w:lang w:val="en-US"/>
        </w:rPr>
        <w:lastRenderedPageBreak/>
        <w:t xml:space="preserve">Supplementary Table 1. </w:t>
      </w:r>
      <w:r w:rsidRPr="00513F1F">
        <w:rPr>
          <w:rFonts w:ascii="Times New Roman" w:eastAsia="Times New Roman" w:hAnsi="Times New Roman" w:cs="Times New Roman"/>
          <w:lang w:val="en-US"/>
        </w:rPr>
        <w:t xml:space="preserve">I-SPY2 longitudinal cohort (T0 + T1 complete, n = 754) by treatment-arm-diverse stratified split. Cells are n (column %); the last column is the </w:t>
      </w:r>
      <w:proofErr w:type="spellStart"/>
      <w:r w:rsidRPr="00513F1F">
        <w:rPr>
          <w:rFonts w:ascii="Times New Roman" w:eastAsia="Times New Roman" w:hAnsi="Times New Roman" w:cs="Times New Roman"/>
          <w:lang w:val="en-US"/>
        </w:rPr>
        <w:t>pCR</w:t>
      </w:r>
      <w:proofErr w:type="spellEnd"/>
      <w:r w:rsidRPr="00513F1F">
        <w:rPr>
          <w:rFonts w:ascii="Times New Roman" w:eastAsia="Times New Roman" w:hAnsi="Times New Roman" w:cs="Times New Roman"/>
          <w:lang w:val="en-US"/>
        </w:rPr>
        <w:t xml:space="preserve"> rate within each stratum. </w:t>
      </w:r>
      <w:r w:rsidRPr="00513F1F">
        <w:rPr>
          <w:rFonts w:ascii="Times New Roman" w:eastAsia="Times New Roman" w:hAnsi="Times New Roman" w:cs="Times New Roman"/>
        </w:rPr>
        <w:t>Of the 754 patients with paired baseline (T0) and early on-treatment (T1) DCE-MRI, 753 had a complete concept-and-outcome record and constituted the analytic cohort for all discrimination and calibration estimates; the single patient lacking a pathologic complete response label was retained for imaging and concept description but excluded from outcome analyses.</w:t>
      </w:r>
    </w:p>
    <w:p w14:paraId="4BD384A7" w14:textId="77777777" w:rsidR="00004F12" w:rsidRPr="00513F1F" w:rsidRDefault="00004F12" w:rsidP="00004F12">
      <w:pPr>
        <w:spacing w:line="240" w:lineRule="auto"/>
        <w:rPr>
          <w:rFonts w:ascii="Times New Roman" w:eastAsia="Times New Roman" w:hAnsi="Times New Roman" w:cs="Times New Roman"/>
          <w:b/>
          <w:bCs/>
        </w:rPr>
      </w:pPr>
    </w:p>
    <w:tbl>
      <w:tblPr>
        <w:tblStyle w:val="TableGrid"/>
        <w:tblW w:w="0" w:type="auto"/>
        <w:jc w:val="center"/>
        <w:tblLook w:val="04A0" w:firstRow="1" w:lastRow="0" w:firstColumn="1" w:lastColumn="0" w:noHBand="0" w:noVBand="1"/>
      </w:tblPr>
      <w:tblGrid>
        <w:gridCol w:w="3921"/>
        <w:gridCol w:w="1460"/>
        <w:gridCol w:w="1460"/>
        <w:gridCol w:w="1186"/>
        <w:gridCol w:w="1297"/>
        <w:gridCol w:w="1080"/>
      </w:tblGrid>
      <w:tr w:rsidR="00004F12" w:rsidRPr="00513F1F" w14:paraId="143E0854" w14:textId="77777777" w:rsidTr="00C33E90">
        <w:trPr>
          <w:trHeight w:hRule="exact" w:val="259"/>
          <w:jc w:val="center"/>
        </w:trPr>
        <w:tc>
          <w:tcPr>
            <w:tcW w:w="3921" w:type="dxa"/>
            <w:shd w:val="clear" w:color="auto" w:fill="2C7FCE" w:themeFill="text2" w:themeFillTint="99"/>
          </w:tcPr>
          <w:p w14:paraId="0C94CF57"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Characteristic</w:t>
            </w:r>
          </w:p>
        </w:tc>
        <w:tc>
          <w:tcPr>
            <w:tcW w:w="1460" w:type="dxa"/>
            <w:shd w:val="clear" w:color="auto" w:fill="2C7FCE" w:themeFill="text2" w:themeFillTint="99"/>
          </w:tcPr>
          <w:p w14:paraId="43E2F9D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Overall (754)</w:t>
            </w:r>
          </w:p>
        </w:tc>
        <w:tc>
          <w:tcPr>
            <w:tcW w:w="1460" w:type="dxa"/>
            <w:shd w:val="clear" w:color="auto" w:fill="2C7FCE" w:themeFill="text2" w:themeFillTint="99"/>
          </w:tcPr>
          <w:p w14:paraId="7596D67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Train (610)</w:t>
            </w:r>
          </w:p>
        </w:tc>
        <w:tc>
          <w:tcPr>
            <w:tcW w:w="1186" w:type="dxa"/>
            <w:shd w:val="clear" w:color="auto" w:fill="2C7FCE" w:themeFill="text2" w:themeFillTint="99"/>
          </w:tcPr>
          <w:p w14:paraId="36AF542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Val (73)</w:t>
            </w:r>
          </w:p>
        </w:tc>
        <w:tc>
          <w:tcPr>
            <w:tcW w:w="1297" w:type="dxa"/>
            <w:shd w:val="clear" w:color="auto" w:fill="2C7FCE" w:themeFill="text2" w:themeFillTint="99"/>
          </w:tcPr>
          <w:p w14:paraId="7F3C0E7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Test (71)</w:t>
            </w:r>
          </w:p>
        </w:tc>
        <w:tc>
          <w:tcPr>
            <w:tcW w:w="1080" w:type="dxa"/>
            <w:shd w:val="clear" w:color="auto" w:fill="2C7FCE" w:themeFill="text2" w:themeFillTint="99"/>
          </w:tcPr>
          <w:p w14:paraId="3E0300AF" w14:textId="77777777" w:rsidR="00004F12" w:rsidRPr="00513F1F" w:rsidRDefault="00004F12" w:rsidP="00C33E90">
            <w:pPr>
              <w:jc w:val="center"/>
              <w:rPr>
                <w:rFonts w:ascii="Times New Roman" w:hAnsi="Times New Roman" w:cs="Times New Roman"/>
                <w:sz w:val="24"/>
                <w:szCs w:val="24"/>
              </w:rPr>
            </w:pPr>
            <w:proofErr w:type="spellStart"/>
            <w:r w:rsidRPr="00513F1F">
              <w:rPr>
                <w:rFonts w:ascii="Times New Roman" w:hAnsi="Times New Roman" w:cs="Times New Roman"/>
                <w:b/>
                <w:sz w:val="24"/>
                <w:szCs w:val="24"/>
              </w:rPr>
              <w:t>pCR</w:t>
            </w:r>
            <w:proofErr w:type="spellEnd"/>
            <w:r w:rsidRPr="00513F1F">
              <w:rPr>
                <w:rFonts w:ascii="Times New Roman" w:hAnsi="Times New Roman" w:cs="Times New Roman"/>
                <w:b/>
                <w:sz w:val="24"/>
                <w:szCs w:val="24"/>
              </w:rPr>
              <w:t xml:space="preserve"> rate</w:t>
            </w:r>
          </w:p>
        </w:tc>
      </w:tr>
      <w:tr w:rsidR="00004F12" w:rsidRPr="00513F1F" w14:paraId="74F5828E" w14:textId="77777777" w:rsidTr="00C33E90">
        <w:trPr>
          <w:trHeight w:hRule="exact" w:val="259"/>
          <w:jc w:val="center"/>
        </w:trPr>
        <w:tc>
          <w:tcPr>
            <w:tcW w:w="3921" w:type="dxa"/>
            <w:shd w:val="clear" w:color="auto" w:fill="0A1D30" w:themeFill="text2" w:themeFillShade="BF"/>
          </w:tcPr>
          <w:p w14:paraId="2AD22E52"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Treatment arm</w:t>
            </w:r>
          </w:p>
        </w:tc>
        <w:tc>
          <w:tcPr>
            <w:tcW w:w="1460" w:type="dxa"/>
            <w:shd w:val="clear" w:color="auto" w:fill="0A1D30" w:themeFill="text2" w:themeFillShade="BF"/>
          </w:tcPr>
          <w:p w14:paraId="5C47D548" w14:textId="77777777" w:rsidR="00004F12" w:rsidRPr="00513F1F" w:rsidRDefault="00004F12" w:rsidP="00C33E90">
            <w:pPr>
              <w:jc w:val="center"/>
              <w:rPr>
                <w:rFonts w:ascii="Times New Roman" w:hAnsi="Times New Roman" w:cs="Times New Roman"/>
                <w:sz w:val="24"/>
                <w:szCs w:val="24"/>
              </w:rPr>
            </w:pPr>
          </w:p>
        </w:tc>
        <w:tc>
          <w:tcPr>
            <w:tcW w:w="1460" w:type="dxa"/>
            <w:shd w:val="clear" w:color="auto" w:fill="0A1D30" w:themeFill="text2" w:themeFillShade="BF"/>
          </w:tcPr>
          <w:p w14:paraId="4ACE0EA9" w14:textId="77777777" w:rsidR="00004F12" w:rsidRPr="00513F1F" w:rsidRDefault="00004F12" w:rsidP="00C33E90">
            <w:pPr>
              <w:jc w:val="center"/>
              <w:rPr>
                <w:rFonts w:ascii="Times New Roman" w:hAnsi="Times New Roman" w:cs="Times New Roman"/>
                <w:sz w:val="24"/>
                <w:szCs w:val="24"/>
              </w:rPr>
            </w:pPr>
          </w:p>
        </w:tc>
        <w:tc>
          <w:tcPr>
            <w:tcW w:w="1186" w:type="dxa"/>
            <w:shd w:val="clear" w:color="auto" w:fill="0A1D30" w:themeFill="text2" w:themeFillShade="BF"/>
          </w:tcPr>
          <w:p w14:paraId="5E154BA0" w14:textId="77777777" w:rsidR="00004F12" w:rsidRPr="00513F1F" w:rsidRDefault="00004F12" w:rsidP="00C33E90">
            <w:pPr>
              <w:jc w:val="center"/>
              <w:rPr>
                <w:rFonts w:ascii="Times New Roman" w:hAnsi="Times New Roman" w:cs="Times New Roman"/>
                <w:sz w:val="24"/>
                <w:szCs w:val="24"/>
              </w:rPr>
            </w:pPr>
          </w:p>
        </w:tc>
        <w:tc>
          <w:tcPr>
            <w:tcW w:w="1297" w:type="dxa"/>
            <w:shd w:val="clear" w:color="auto" w:fill="0A1D30" w:themeFill="text2" w:themeFillShade="BF"/>
          </w:tcPr>
          <w:p w14:paraId="720317FB" w14:textId="77777777" w:rsidR="00004F12" w:rsidRPr="00513F1F" w:rsidRDefault="00004F12" w:rsidP="00C33E90">
            <w:pPr>
              <w:jc w:val="center"/>
              <w:rPr>
                <w:rFonts w:ascii="Times New Roman" w:hAnsi="Times New Roman" w:cs="Times New Roman"/>
                <w:sz w:val="24"/>
                <w:szCs w:val="24"/>
              </w:rPr>
            </w:pPr>
          </w:p>
        </w:tc>
        <w:tc>
          <w:tcPr>
            <w:tcW w:w="1080" w:type="dxa"/>
            <w:shd w:val="clear" w:color="auto" w:fill="0A1D30" w:themeFill="text2" w:themeFillShade="BF"/>
          </w:tcPr>
          <w:p w14:paraId="7BBBF6BC" w14:textId="77777777" w:rsidR="00004F12" w:rsidRPr="00513F1F" w:rsidRDefault="00004F12" w:rsidP="00C33E90">
            <w:pPr>
              <w:jc w:val="center"/>
              <w:rPr>
                <w:rFonts w:ascii="Times New Roman" w:hAnsi="Times New Roman" w:cs="Times New Roman"/>
                <w:sz w:val="24"/>
                <w:szCs w:val="24"/>
              </w:rPr>
            </w:pPr>
          </w:p>
        </w:tc>
      </w:tr>
      <w:tr w:rsidR="00004F12" w:rsidRPr="00513F1F" w14:paraId="26CF731F" w14:textId="77777777" w:rsidTr="00C33E90">
        <w:trPr>
          <w:trHeight w:hRule="exact" w:val="259"/>
          <w:jc w:val="center"/>
        </w:trPr>
        <w:tc>
          <w:tcPr>
            <w:tcW w:w="3921" w:type="dxa"/>
            <w:shd w:val="clear" w:color="auto" w:fill="EEF2F6"/>
          </w:tcPr>
          <w:p w14:paraId="099E6FF5"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Chemotherapy alone</w:t>
            </w:r>
          </w:p>
        </w:tc>
        <w:tc>
          <w:tcPr>
            <w:tcW w:w="1460" w:type="dxa"/>
            <w:shd w:val="clear" w:color="auto" w:fill="EEF2F6"/>
          </w:tcPr>
          <w:p w14:paraId="1E39D2E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144 (19%)</w:t>
            </w:r>
          </w:p>
        </w:tc>
        <w:tc>
          <w:tcPr>
            <w:tcW w:w="1460" w:type="dxa"/>
            <w:shd w:val="clear" w:color="auto" w:fill="EEF2F6"/>
          </w:tcPr>
          <w:p w14:paraId="2B5D045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119 (20%)</w:t>
            </w:r>
          </w:p>
        </w:tc>
        <w:tc>
          <w:tcPr>
            <w:tcW w:w="1186" w:type="dxa"/>
            <w:shd w:val="clear" w:color="auto" w:fill="EEF2F6"/>
          </w:tcPr>
          <w:p w14:paraId="2A7D6E2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13 (18%)</w:t>
            </w:r>
          </w:p>
        </w:tc>
        <w:tc>
          <w:tcPr>
            <w:tcW w:w="1297" w:type="dxa"/>
            <w:shd w:val="clear" w:color="auto" w:fill="EEF2F6"/>
          </w:tcPr>
          <w:p w14:paraId="28F8A0F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12 (17%)</w:t>
            </w:r>
          </w:p>
        </w:tc>
        <w:tc>
          <w:tcPr>
            <w:tcW w:w="1080" w:type="dxa"/>
            <w:shd w:val="clear" w:color="auto" w:fill="EEF2F6"/>
          </w:tcPr>
          <w:p w14:paraId="654518A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18%</w:t>
            </w:r>
          </w:p>
        </w:tc>
      </w:tr>
      <w:tr w:rsidR="00004F12" w:rsidRPr="00513F1F" w14:paraId="6D0D7C1F" w14:textId="77777777" w:rsidTr="00C33E90">
        <w:trPr>
          <w:trHeight w:hRule="exact" w:val="259"/>
          <w:jc w:val="center"/>
        </w:trPr>
        <w:tc>
          <w:tcPr>
            <w:tcW w:w="3921" w:type="dxa"/>
          </w:tcPr>
          <w:p w14:paraId="7F80256E"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w:t>
            </w:r>
          </w:p>
        </w:tc>
        <w:tc>
          <w:tcPr>
            <w:tcW w:w="1460" w:type="dxa"/>
          </w:tcPr>
          <w:p w14:paraId="7228DD8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144 (19%)</w:t>
            </w:r>
          </w:p>
        </w:tc>
        <w:tc>
          <w:tcPr>
            <w:tcW w:w="1460" w:type="dxa"/>
          </w:tcPr>
          <w:p w14:paraId="24C6711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119 (20%)</w:t>
            </w:r>
          </w:p>
        </w:tc>
        <w:tc>
          <w:tcPr>
            <w:tcW w:w="1186" w:type="dxa"/>
          </w:tcPr>
          <w:p w14:paraId="6BEE118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13 (18%)</w:t>
            </w:r>
          </w:p>
        </w:tc>
        <w:tc>
          <w:tcPr>
            <w:tcW w:w="1297" w:type="dxa"/>
          </w:tcPr>
          <w:p w14:paraId="2722E6B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12 (17%)</w:t>
            </w:r>
          </w:p>
        </w:tc>
        <w:tc>
          <w:tcPr>
            <w:tcW w:w="1080" w:type="dxa"/>
          </w:tcPr>
          <w:p w14:paraId="00F90A5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18%</w:t>
            </w:r>
          </w:p>
        </w:tc>
      </w:tr>
      <w:tr w:rsidR="00004F12" w:rsidRPr="00513F1F" w14:paraId="5866EF8C" w14:textId="77777777" w:rsidTr="00C33E90">
        <w:trPr>
          <w:trHeight w:hRule="exact" w:val="259"/>
          <w:jc w:val="center"/>
        </w:trPr>
        <w:tc>
          <w:tcPr>
            <w:tcW w:w="3921" w:type="dxa"/>
            <w:shd w:val="clear" w:color="auto" w:fill="EEF2F6"/>
          </w:tcPr>
          <w:p w14:paraId="395FA208"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Other targeted</w:t>
            </w:r>
          </w:p>
        </w:tc>
        <w:tc>
          <w:tcPr>
            <w:tcW w:w="1460" w:type="dxa"/>
            <w:shd w:val="clear" w:color="auto" w:fill="EEF2F6"/>
          </w:tcPr>
          <w:p w14:paraId="24D7DA2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343 (45%)</w:t>
            </w:r>
          </w:p>
        </w:tc>
        <w:tc>
          <w:tcPr>
            <w:tcW w:w="1460" w:type="dxa"/>
            <w:shd w:val="clear" w:color="auto" w:fill="EEF2F6"/>
          </w:tcPr>
          <w:p w14:paraId="07D914C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277 (45%)</w:t>
            </w:r>
          </w:p>
        </w:tc>
        <w:tc>
          <w:tcPr>
            <w:tcW w:w="1186" w:type="dxa"/>
            <w:shd w:val="clear" w:color="auto" w:fill="EEF2F6"/>
          </w:tcPr>
          <w:p w14:paraId="2DFF3E3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35 (48%)</w:t>
            </w:r>
          </w:p>
        </w:tc>
        <w:tc>
          <w:tcPr>
            <w:tcW w:w="1297" w:type="dxa"/>
            <w:shd w:val="clear" w:color="auto" w:fill="EEF2F6"/>
          </w:tcPr>
          <w:p w14:paraId="3402534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31 (44%)</w:t>
            </w:r>
          </w:p>
        </w:tc>
        <w:tc>
          <w:tcPr>
            <w:tcW w:w="1080" w:type="dxa"/>
            <w:shd w:val="clear" w:color="auto" w:fill="EEF2F6"/>
          </w:tcPr>
          <w:p w14:paraId="584133A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27%</w:t>
            </w:r>
          </w:p>
        </w:tc>
      </w:tr>
      <w:tr w:rsidR="00004F12" w:rsidRPr="00513F1F" w14:paraId="082DFC7F" w14:textId="77777777" w:rsidTr="00C33E90">
        <w:trPr>
          <w:trHeight w:hRule="exact" w:val="259"/>
          <w:jc w:val="center"/>
        </w:trPr>
        <w:tc>
          <w:tcPr>
            <w:tcW w:w="3921" w:type="dxa"/>
          </w:tcPr>
          <w:p w14:paraId="0000A6F4"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AMG 386 *</w:t>
            </w:r>
          </w:p>
        </w:tc>
        <w:tc>
          <w:tcPr>
            <w:tcW w:w="1460" w:type="dxa"/>
          </w:tcPr>
          <w:p w14:paraId="341190F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88 (12%)</w:t>
            </w:r>
          </w:p>
        </w:tc>
        <w:tc>
          <w:tcPr>
            <w:tcW w:w="1460" w:type="dxa"/>
          </w:tcPr>
          <w:p w14:paraId="20F43C8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74 (12%)</w:t>
            </w:r>
          </w:p>
        </w:tc>
        <w:tc>
          <w:tcPr>
            <w:tcW w:w="1186" w:type="dxa"/>
          </w:tcPr>
          <w:p w14:paraId="54C245D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 (7%)</w:t>
            </w:r>
          </w:p>
        </w:tc>
        <w:tc>
          <w:tcPr>
            <w:tcW w:w="1297" w:type="dxa"/>
          </w:tcPr>
          <w:p w14:paraId="3BFEBB5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9 (13%)</w:t>
            </w:r>
          </w:p>
        </w:tc>
        <w:tc>
          <w:tcPr>
            <w:tcW w:w="1080" w:type="dxa"/>
          </w:tcPr>
          <w:p w14:paraId="3666288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27%</w:t>
            </w:r>
          </w:p>
        </w:tc>
      </w:tr>
      <w:tr w:rsidR="00004F12" w:rsidRPr="00513F1F" w14:paraId="4C82FD96" w14:textId="77777777" w:rsidTr="00C33E90">
        <w:trPr>
          <w:trHeight w:hRule="exact" w:val="259"/>
          <w:jc w:val="center"/>
        </w:trPr>
        <w:tc>
          <w:tcPr>
            <w:tcW w:w="3921" w:type="dxa"/>
          </w:tcPr>
          <w:p w14:paraId="673C36C0"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Ganitumab *</w:t>
            </w:r>
          </w:p>
        </w:tc>
        <w:tc>
          <w:tcPr>
            <w:tcW w:w="1460" w:type="dxa"/>
          </w:tcPr>
          <w:p w14:paraId="0C0D60C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80 (11%)</w:t>
            </w:r>
          </w:p>
        </w:tc>
        <w:tc>
          <w:tcPr>
            <w:tcW w:w="1460" w:type="dxa"/>
          </w:tcPr>
          <w:p w14:paraId="78479EB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64 (10%)</w:t>
            </w:r>
          </w:p>
        </w:tc>
        <w:tc>
          <w:tcPr>
            <w:tcW w:w="1186" w:type="dxa"/>
          </w:tcPr>
          <w:p w14:paraId="6EA1CC0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11 (15%)</w:t>
            </w:r>
          </w:p>
        </w:tc>
        <w:tc>
          <w:tcPr>
            <w:tcW w:w="1297" w:type="dxa"/>
          </w:tcPr>
          <w:p w14:paraId="501DA6E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 (7%)</w:t>
            </w:r>
          </w:p>
        </w:tc>
        <w:tc>
          <w:tcPr>
            <w:tcW w:w="1080" w:type="dxa"/>
          </w:tcPr>
          <w:p w14:paraId="1C999F5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19%</w:t>
            </w:r>
          </w:p>
        </w:tc>
      </w:tr>
      <w:tr w:rsidR="00004F12" w:rsidRPr="00513F1F" w14:paraId="6D3E7832" w14:textId="77777777" w:rsidTr="00C33E90">
        <w:trPr>
          <w:trHeight w:hRule="exact" w:val="259"/>
          <w:jc w:val="center"/>
        </w:trPr>
        <w:tc>
          <w:tcPr>
            <w:tcW w:w="3921" w:type="dxa"/>
          </w:tcPr>
          <w:p w14:paraId="58473EAE"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w:t>
            </w:r>
            <w:proofErr w:type="spellStart"/>
            <w:r w:rsidRPr="00513F1F">
              <w:rPr>
                <w:rFonts w:ascii="Times New Roman" w:hAnsi="Times New Roman" w:cs="Times New Roman"/>
                <w:sz w:val="24"/>
                <w:szCs w:val="24"/>
              </w:rPr>
              <w:t>Ganetespib</w:t>
            </w:r>
            <w:proofErr w:type="spellEnd"/>
            <w:r w:rsidRPr="00513F1F">
              <w:rPr>
                <w:rFonts w:ascii="Times New Roman" w:hAnsi="Times New Roman" w:cs="Times New Roman"/>
                <w:sz w:val="24"/>
                <w:szCs w:val="24"/>
              </w:rPr>
              <w:t xml:space="preserve"> *</w:t>
            </w:r>
          </w:p>
        </w:tc>
        <w:tc>
          <w:tcPr>
            <w:tcW w:w="1460" w:type="dxa"/>
          </w:tcPr>
          <w:p w14:paraId="403C753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78 (10%)</w:t>
            </w:r>
          </w:p>
        </w:tc>
        <w:tc>
          <w:tcPr>
            <w:tcW w:w="1460" w:type="dxa"/>
          </w:tcPr>
          <w:p w14:paraId="6A69E7A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62 (10%)</w:t>
            </w:r>
          </w:p>
        </w:tc>
        <w:tc>
          <w:tcPr>
            <w:tcW w:w="1186" w:type="dxa"/>
          </w:tcPr>
          <w:p w14:paraId="7BE879E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 (11%)</w:t>
            </w:r>
          </w:p>
        </w:tc>
        <w:tc>
          <w:tcPr>
            <w:tcW w:w="1297" w:type="dxa"/>
          </w:tcPr>
          <w:p w14:paraId="2099B8B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 (11%)</w:t>
            </w:r>
          </w:p>
        </w:tc>
        <w:tc>
          <w:tcPr>
            <w:tcW w:w="1080" w:type="dxa"/>
          </w:tcPr>
          <w:p w14:paraId="4450DD1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27%</w:t>
            </w:r>
          </w:p>
        </w:tc>
      </w:tr>
      <w:tr w:rsidR="00004F12" w:rsidRPr="00513F1F" w14:paraId="0AD0B22D" w14:textId="77777777" w:rsidTr="00C33E90">
        <w:trPr>
          <w:trHeight w:hRule="exact" w:val="259"/>
          <w:jc w:val="center"/>
        </w:trPr>
        <w:tc>
          <w:tcPr>
            <w:tcW w:w="3921" w:type="dxa"/>
          </w:tcPr>
          <w:p w14:paraId="109602E3"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ABT 888 + Carboplatin *</w:t>
            </w:r>
          </w:p>
        </w:tc>
        <w:tc>
          <w:tcPr>
            <w:tcW w:w="1460" w:type="dxa"/>
          </w:tcPr>
          <w:p w14:paraId="65F9878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54 (7%)</w:t>
            </w:r>
          </w:p>
        </w:tc>
        <w:tc>
          <w:tcPr>
            <w:tcW w:w="1460" w:type="dxa"/>
          </w:tcPr>
          <w:p w14:paraId="30D0D6F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40 (7%)</w:t>
            </w:r>
          </w:p>
        </w:tc>
        <w:tc>
          <w:tcPr>
            <w:tcW w:w="1186" w:type="dxa"/>
          </w:tcPr>
          <w:p w14:paraId="56D4109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 (10%)</w:t>
            </w:r>
          </w:p>
        </w:tc>
        <w:tc>
          <w:tcPr>
            <w:tcW w:w="1297" w:type="dxa"/>
          </w:tcPr>
          <w:p w14:paraId="208DF7B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 (10%)</w:t>
            </w:r>
          </w:p>
        </w:tc>
        <w:tc>
          <w:tcPr>
            <w:tcW w:w="1080" w:type="dxa"/>
          </w:tcPr>
          <w:p w14:paraId="016495B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31%</w:t>
            </w:r>
          </w:p>
        </w:tc>
      </w:tr>
      <w:tr w:rsidR="00004F12" w:rsidRPr="00513F1F" w14:paraId="570F44A5" w14:textId="77777777" w:rsidTr="00C33E90">
        <w:trPr>
          <w:trHeight w:hRule="exact" w:val="259"/>
          <w:jc w:val="center"/>
        </w:trPr>
        <w:tc>
          <w:tcPr>
            <w:tcW w:w="3921" w:type="dxa"/>
          </w:tcPr>
          <w:p w14:paraId="03502545"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MK-2206 *</w:t>
            </w:r>
          </w:p>
        </w:tc>
        <w:tc>
          <w:tcPr>
            <w:tcW w:w="1460" w:type="dxa"/>
          </w:tcPr>
          <w:p w14:paraId="34B27A8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43 (6%)</w:t>
            </w:r>
          </w:p>
        </w:tc>
        <w:tc>
          <w:tcPr>
            <w:tcW w:w="1460" w:type="dxa"/>
          </w:tcPr>
          <w:p w14:paraId="3E1386E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37 (6%)</w:t>
            </w:r>
          </w:p>
        </w:tc>
        <w:tc>
          <w:tcPr>
            <w:tcW w:w="1186" w:type="dxa"/>
          </w:tcPr>
          <w:p w14:paraId="0E2BAD7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 (5%)</w:t>
            </w:r>
          </w:p>
        </w:tc>
        <w:tc>
          <w:tcPr>
            <w:tcW w:w="1297" w:type="dxa"/>
          </w:tcPr>
          <w:p w14:paraId="3CAB7AE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 (3%)</w:t>
            </w:r>
          </w:p>
        </w:tc>
        <w:tc>
          <w:tcPr>
            <w:tcW w:w="1080" w:type="dxa"/>
          </w:tcPr>
          <w:p w14:paraId="1997291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33%</w:t>
            </w:r>
          </w:p>
        </w:tc>
      </w:tr>
      <w:tr w:rsidR="00004F12" w:rsidRPr="00513F1F" w14:paraId="70232644" w14:textId="77777777" w:rsidTr="00C33E90">
        <w:trPr>
          <w:trHeight w:hRule="exact" w:val="259"/>
          <w:jc w:val="center"/>
        </w:trPr>
        <w:tc>
          <w:tcPr>
            <w:tcW w:w="3921" w:type="dxa"/>
            <w:shd w:val="clear" w:color="auto" w:fill="EEF2F6"/>
          </w:tcPr>
          <w:p w14:paraId="7FC9551D"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HER2-targeted</w:t>
            </w:r>
          </w:p>
        </w:tc>
        <w:tc>
          <w:tcPr>
            <w:tcW w:w="1460" w:type="dxa"/>
            <w:shd w:val="clear" w:color="auto" w:fill="EEF2F6"/>
          </w:tcPr>
          <w:p w14:paraId="69D33E4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207 (27%)</w:t>
            </w:r>
          </w:p>
        </w:tc>
        <w:tc>
          <w:tcPr>
            <w:tcW w:w="1460" w:type="dxa"/>
            <w:shd w:val="clear" w:color="auto" w:fill="EEF2F6"/>
          </w:tcPr>
          <w:p w14:paraId="680A317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166 (27%)</w:t>
            </w:r>
          </w:p>
        </w:tc>
        <w:tc>
          <w:tcPr>
            <w:tcW w:w="1186" w:type="dxa"/>
            <w:shd w:val="clear" w:color="auto" w:fill="EEF2F6"/>
          </w:tcPr>
          <w:p w14:paraId="6A17A69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19 (26%)</w:t>
            </w:r>
          </w:p>
        </w:tc>
        <w:tc>
          <w:tcPr>
            <w:tcW w:w="1297" w:type="dxa"/>
            <w:shd w:val="clear" w:color="auto" w:fill="EEF2F6"/>
          </w:tcPr>
          <w:p w14:paraId="285F20A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22 (31%)</w:t>
            </w:r>
          </w:p>
        </w:tc>
        <w:tc>
          <w:tcPr>
            <w:tcW w:w="1080" w:type="dxa"/>
            <w:shd w:val="clear" w:color="auto" w:fill="EEF2F6"/>
          </w:tcPr>
          <w:p w14:paraId="6474CE8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40%</w:t>
            </w:r>
          </w:p>
        </w:tc>
      </w:tr>
      <w:tr w:rsidR="00004F12" w:rsidRPr="00513F1F" w14:paraId="63C4A96C" w14:textId="77777777" w:rsidTr="00C33E90">
        <w:trPr>
          <w:trHeight w:hRule="exact" w:val="259"/>
          <w:jc w:val="center"/>
        </w:trPr>
        <w:tc>
          <w:tcPr>
            <w:tcW w:w="3921" w:type="dxa"/>
          </w:tcPr>
          <w:p w14:paraId="0F800521"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Neratinib *</w:t>
            </w:r>
          </w:p>
        </w:tc>
        <w:tc>
          <w:tcPr>
            <w:tcW w:w="1460" w:type="dxa"/>
          </w:tcPr>
          <w:p w14:paraId="3D51715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77 (10%)</w:t>
            </w:r>
          </w:p>
        </w:tc>
        <w:tc>
          <w:tcPr>
            <w:tcW w:w="1460" w:type="dxa"/>
          </w:tcPr>
          <w:p w14:paraId="78770DB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62 (10%)</w:t>
            </w:r>
          </w:p>
        </w:tc>
        <w:tc>
          <w:tcPr>
            <w:tcW w:w="1186" w:type="dxa"/>
          </w:tcPr>
          <w:p w14:paraId="0A554AB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 (8%)</w:t>
            </w:r>
          </w:p>
        </w:tc>
        <w:tc>
          <w:tcPr>
            <w:tcW w:w="1297" w:type="dxa"/>
          </w:tcPr>
          <w:p w14:paraId="0521363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9 (13%)</w:t>
            </w:r>
          </w:p>
        </w:tc>
        <w:tc>
          <w:tcPr>
            <w:tcW w:w="1080" w:type="dxa"/>
          </w:tcPr>
          <w:p w14:paraId="662991A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23%</w:t>
            </w:r>
          </w:p>
        </w:tc>
      </w:tr>
      <w:tr w:rsidR="00004F12" w:rsidRPr="00513F1F" w14:paraId="0C6BBD26" w14:textId="77777777" w:rsidTr="00C33E90">
        <w:trPr>
          <w:trHeight w:hRule="exact" w:val="259"/>
          <w:jc w:val="center"/>
        </w:trPr>
        <w:tc>
          <w:tcPr>
            <w:tcW w:w="3921" w:type="dxa"/>
          </w:tcPr>
          <w:p w14:paraId="0AA48F92"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T-DM1 + Pertuzumab *</w:t>
            </w:r>
          </w:p>
        </w:tc>
        <w:tc>
          <w:tcPr>
            <w:tcW w:w="1460" w:type="dxa"/>
          </w:tcPr>
          <w:p w14:paraId="662486C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41 (5%)</w:t>
            </w:r>
          </w:p>
        </w:tc>
        <w:tc>
          <w:tcPr>
            <w:tcW w:w="1460" w:type="dxa"/>
          </w:tcPr>
          <w:p w14:paraId="2252E5E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31 (5%)</w:t>
            </w:r>
          </w:p>
        </w:tc>
        <w:tc>
          <w:tcPr>
            <w:tcW w:w="1186" w:type="dxa"/>
          </w:tcPr>
          <w:p w14:paraId="614B449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 (8%)</w:t>
            </w:r>
          </w:p>
        </w:tc>
        <w:tc>
          <w:tcPr>
            <w:tcW w:w="1297" w:type="dxa"/>
          </w:tcPr>
          <w:p w14:paraId="1F93DF2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 (6%)</w:t>
            </w:r>
          </w:p>
        </w:tc>
        <w:tc>
          <w:tcPr>
            <w:tcW w:w="1080" w:type="dxa"/>
          </w:tcPr>
          <w:p w14:paraId="06E4A3C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59%</w:t>
            </w:r>
          </w:p>
        </w:tc>
      </w:tr>
      <w:tr w:rsidR="00004F12" w:rsidRPr="00513F1F" w14:paraId="08222563" w14:textId="77777777" w:rsidTr="00C33E90">
        <w:trPr>
          <w:trHeight w:hRule="exact" w:val="259"/>
          <w:jc w:val="center"/>
        </w:trPr>
        <w:tc>
          <w:tcPr>
            <w:tcW w:w="3921" w:type="dxa"/>
          </w:tcPr>
          <w:p w14:paraId="1C440298"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Pertuzumab + Trastuzumab *</w:t>
            </w:r>
          </w:p>
        </w:tc>
        <w:tc>
          <w:tcPr>
            <w:tcW w:w="1460" w:type="dxa"/>
          </w:tcPr>
          <w:p w14:paraId="7824460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31 (4%)</w:t>
            </w:r>
          </w:p>
        </w:tc>
        <w:tc>
          <w:tcPr>
            <w:tcW w:w="1460" w:type="dxa"/>
          </w:tcPr>
          <w:p w14:paraId="229E647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24 (4%)</w:t>
            </w:r>
          </w:p>
        </w:tc>
        <w:tc>
          <w:tcPr>
            <w:tcW w:w="1186" w:type="dxa"/>
          </w:tcPr>
          <w:p w14:paraId="3180E37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 (5%)</w:t>
            </w:r>
          </w:p>
        </w:tc>
        <w:tc>
          <w:tcPr>
            <w:tcW w:w="1297" w:type="dxa"/>
          </w:tcPr>
          <w:p w14:paraId="38A291C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 (4%)</w:t>
            </w:r>
          </w:p>
        </w:tc>
        <w:tc>
          <w:tcPr>
            <w:tcW w:w="1080" w:type="dxa"/>
          </w:tcPr>
          <w:p w14:paraId="4FBFB22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65%</w:t>
            </w:r>
          </w:p>
        </w:tc>
      </w:tr>
      <w:tr w:rsidR="00004F12" w:rsidRPr="00513F1F" w14:paraId="3282EAA1" w14:textId="77777777" w:rsidTr="00C33E90">
        <w:trPr>
          <w:trHeight w:hRule="exact" w:val="259"/>
          <w:jc w:val="center"/>
        </w:trPr>
        <w:tc>
          <w:tcPr>
            <w:tcW w:w="3921" w:type="dxa"/>
          </w:tcPr>
          <w:p w14:paraId="210108AE"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Trastuzumab</w:t>
            </w:r>
          </w:p>
        </w:tc>
        <w:tc>
          <w:tcPr>
            <w:tcW w:w="1460" w:type="dxa"/>
          </w:tcPr>
          <w:p w14:paraId="3FB6BA2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22 (3%)</w:t>
            </w:r>
          </w:p>
        </w:tc>
        <w:tc>
          <w:tcPr>
            <w:tcW w:w="1460" w:type="dxa"/>
          </w:tcPr>
          <w:p w14:paraId="601033D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18 (3%)</w:t>
            </w:r>
          </w:p>
        </w:tc>
        <w:tc>
          <w:tcPr>
            <w:tcW w:w="1186" w:type="dxa"/>
          </w:tcPr>
          <w:p w14:paraId="68A0EE5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297" w:type="dxa"/>
          </w:tcPr>
          <w:p w14:paraId="00E4141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 (6%)</w:t>
            </w:r>
          </w:p>
        </w:tc>
        <w:tc>
          <w:tcPr>
            <w:tcW w:w="1080" w:type="dxa"/>
          </w:tcPr>
          <w:p w14:paraId="48E273D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23%</w:t>
            </w:r>
          </w:p>
        </w:tc>
      </w:tr>
      <w:tr w:rsidR="00004F12" w:rsidRPr="00513F1F" w14:paraId="5C78E8BE" w14:textId="77777777" w:rsidTr="00C33E90">
        <w:trPr>
          <w:trHeight w:hRule="exact" w:val="259"/>
          <w:jc w:val="center"/>
        </w:trPr>
        <w:tc>
          <w:tcPr>
            <w:tcW w:w="3921" w:type="dxa"/>
          </w:tcPr>
          <w:p w14:paraId="636FFA87"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MK-2206 + Trastuzumab</w:t>
            </w:r>
          </w:p>
        </w:tc>
        <w:tc>
          <w:tcPr>
            <w:tcW w:w="1460" w:type="dxa"/>
          </w:tcPr>
          <w:p w14:paraId="59EAF74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21 (3%)</w:t>
            </w:r>
          </w:p>
        </w:tc>
        <w:tc>
          <w:tcPr>
            <w:tcW w:w="1460" w:type="dxa"/>
          </w:tcPr>
          <w:p w14:paraId="261DC17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18 (3%)</w:t>
            </w:r>
          </w:p>
        </w:tc>
        <w:tc>
          <w:tcPr>
            <w:tcW w:w="1186" w:type="dxa"/>
          </w:tcPr>
          <w:p w14:paraId="5E93445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 (1%)</w:t>
            </w:r>
          </w:p>
        </w:tc>
        <w:tc>
          <w:tcPr>
            <w:tcW w:w="1297" w:type="dxa"/>
          </w:tcPr>
          <w:p w14:paraId="52B2EA6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 (3%)</w:t>
            </w:r>
          </w:p>
        </w:tc>
        <w:tc>
          <w:tcPr>
            <w:tcW w:w="1080" w:type="dxa"/>
          </w:tcPr>
          <w:p w14:paraId="34D7F90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48%</w:t>
            </w:r>
          </w:p>
        </w:tc>
      </w:tr>
      <w:tr w:rsidR="00004F12" w:rsidRPr="00513F1F" w14:paraId="2A686E19" w14:textId="77777777" w:rsidTr="00C33E90">
        <w:trPr>
          <w:trHeight w:hRule="exact" w:val="259"/>
          <w:jc w:val="center"/>
        </w:trPr>
        <w:tc>
          <w:tcPr>
            <w:tcW w:w="3921" w:type="dxa"/>
          </w:tcPr>
          <w:p w14:paraId="25859625"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AMG 386 + Trastuzumab</w:t>
            </w:r>
          </w:p>
        </w:tc>
        <w:tc>
          <w:tcPr>
            <w:tcW w:w="1460" w:type="dxa"/>
          </w:tcPr>
          <w:p w14:paraId="10DDCA1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15 (2%)</w:t>
            </w:r>
          </w:p>
        </w:tc>
        <w:tc>
          <w:tcPr>
            <w:tcW w:w="1460" w:type="dxa"/>
          </w:tcPr>
          <w:p w14:paraId="279F3E4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13 (2%)</w:t>
            </w:r>
          </w:p>
        </w:tc>
        <w:tc>
          <w:tcPr>
            <w:tcW w:w="1186" w:type="dxa"/>
          </w:tcPr>
          <w:p w14:paraId="23252D2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 (3%)</w:t>
            </w:r>
          </w:p>
        </w:tc>
        <w:tc>
          <w:tcPr>
            <w:tcW w:w="1297" w:type="dxa"/>
          </w:tcPr>
          <w:p w14:paraId="6441A7E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080" w:type="dxa"/>
          </w:tcPr>
          <w:p w14:paraId="45D2287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33%</w:t>
            </w:r>
          </w:p>
        </w:tc>
      </w:tr>
      <w:tr w:rsidR="00004F12" w:rsidRPr="00513F1F" w14:paraId="291759EF" w14:textId="77777777" w:rsidTr="00C33E90">
        <w:trPr>
          <w:trHeight w:hRule="exact" w:val="259"/>
          <w:jc w:val="center"/>
        </w:trPr>
        <w:tc>
          <w:tcPr>
            <w:tcW w:w="3921" w:type="dxa"/>
            <w:shd w:val="clear" w:color="auto" w:fill="EEF2F6"/>
          </w:tcPr>
          <w:p w14:paraId="03548662"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Immunotherapy</w:t>
            </w:r>
          </w:p>
        </w:tc>
        <w:tc>
          <w:tcPr>
            <w:tcW w:w="1460" w:type="dxa"/>
            <w:shd w:val="clear" w:color="auto" w:fill="EEF2F6"/>
          </w:tcPr>
          <w:p w14:paraId="5CB4142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59 (8%)</w:t>
            </w:r>
          </w:p>
        </w:tc>
        <w:tc>
          <w:tcPr>
            <w:tcW w:w="1460" w:type="dxa"/>
            <w:shd w:val="clear" w:color="auto" w:fill="EEF2F6"/>
          </w:tcPr>
          <w:p w14:paraId="0375D8A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47 (8%)</w:t>
            </w:r>
          </w:p>
        </w:tc>
        <w:tc>
          <w:tcPr>
            <w:tcW w:w="1186" w:type="dxa"/>
            <w:shd w:val="clear" w:color="auto" w:fill="EEF2F6"/>
          </w:tcPr>
          <w:p w14:paraId="5B04C61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6 (8%)</w:t>
            </w:r>
          </w:p>
        </w:tc>
        <w:tc>
          <w:tcPr>
            <w:tcW w:w="1297" w:type="dxa"/>
            <w:shd w:val="clear" w:color="auto" w:fill="EEF2F6"/>
          </w:tcPr>
          <w:p w14:paraId="6130819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6 (8%)</w:t>
            </w:r>
          </w:p>
        </w:tc>
        <w:tc>
          <w:tcPr>
            <w:tcW w:w="1080" w:type="dxa"/>
            <w:shd w:val="clear" w:color="auto" w:fill="EEF2F6"/>
          </w:tcPr>
          <w:p w14:paraId="1CE8C69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b/>
                <w:sz w:val="24"/>
                <w:szCs w:val="24"/>
              </w:rPr>
              <w:t>49%</w:t>
            </w:r>
          </w:p>
        </w:tc>
      </w:tr>
      <w:tr w:rsidR="00004F12" w:rsidRPr="00513F1F" w14:paraId="0A1AA029" w14:textId="77777777" w:rsidTr="00C33E90">
        <w:trPr>
          <w:trHeight w:hRule="exact" w:val="259"/>
          <w:jc w:val="center"/>
        </w:trPr>
        <w:tc>
          <w:tcPr>
            <w:tcW w:w="3921" w:type="dxa"/>
          </w:tcPr>
          <w:p w14:paraId="7FE1FFCF"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Paclitaxel + Pembrolizumab *</w:t>
            </w:r>
          </w:p>
        </w:tc>
        <w:tc>
          <w:tcPr>
            <w:tcW w:w="1460" w:type="dxa"/>
          </w:tcPr>
          <w:p w14:paraId="1C1FAE2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59 (8%)</w:t>
            </w:r>
          </w:p>
        </w:tc>
        <w:tc>
          <w:tcPr>
            <w:tcW w:w="1460" w:type="dxa"/>
          </w:tcPr>
          <w:p w14:paraId="06699F2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47 (8%)</w:t>
            </w:r>
          </w:p>
        </w:tc>
        <w:tc>
          <w:tcPr>
            <w:tcW w:w="1186" w:type="dxa"/>
          </w:tcPr>
          <w:p w14:paraId="1D0AAA5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 (8%)</w:t>
            </w:r>
          </w:p>
        </w:tc>
        <w:tc>
          <w:tcPr>
            <w:tcW w:w="1297" w:type="dxa"/>
          </w:tcPr>
          <w:p w14:paraId="3D351D3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 (8%)</w:t>
            </w:r>
          </w:p>
        </w:tc>
        <w:tc>
          <w:tcPr>
            <w:tcW w:w="1080" w:type="dxa"/>
          </w:tcPr>
          <w:p w14:paraId="39AF033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49%</w:t>
            </w:r>
          </w:p>
        </w:tc>
      </w:tr>
      <w:tr w:rsidR="00004F12" w:rsidRPr="00513F1F" w14:paraId="580D74C9" w14:textId="77777777" w:rsidTr="00C33E90">
        <w:trPr>
          <w:trHeight w:hRule="exact" w:val="259"/>
          <w:jc w:val="center"/>
        </w:trPr>
        <w:tc>
          <w:tcPr>
            <w:tcW w:w="3921" w:type="dxa"/>
            <w:shd w:val="clear" w:color="auto" w:fill="0A1D30" w:themeFill="text2" w:themeFillShade="BF"/>
          </w:tcPr>
          <w:p w14:paraId="3A7EF633"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Race</w:t>
            </w:r>
          </w:p>
        </w:tc>
        <w:tc>
          <w:tcPr>
            <w:tcW w:w="1460" w:type="dxa"/>
            <w:shd w:val="clear" w:color="auto" w:fill="0A1D30" w:themeFill="text2" w:themeFillShade="BF"/>
          </w:tcPr>
          <w:p w14:paraId="33B7C9EF" w14:textId="77777777" w:rsidR="00004F12" w:rsidRPr="00513F1F" w:rsidRDefault="00004F12" w:rsidP="00C33E90">
            <w:pPr>
              <w:jc w:val="center"/>
              <w:rPr>
                <w:rFonts w:ascii="Times New Roman" w:hAnsi="Times New Roman" w:cs="Times New Roman"/>
                <w:sz w:val="24"/>
                <w:szCs w:val="24"/>
              </w:rPr>
            </w:pPr>
          </w:p>
        </w:tc>
        <w:tc>
          <w:tcPr>
            <w:tcW w:w="1460" w:type="dxa"/>
            <w:shd w:val="clear" w:color="auto" w:fill="0A1D30" w:themeFill="text2" w:themeFillShade="BF"/>
          </w:tcPr>
          <w:p w14:paraId="2CCAB3A3" w14:textId="77777777" w:rsidR="00004F12" w:rsidRPr="00513F1F" w:rsidRDefault="00004F12" w:rsidP="00C33E90">
            <w:pPr>
              <w:jc w:val="center"/>
              <w:rPr>
                <w:rFonts w:ascii="Times New Roman" w:hAnsi="Times New Roman" w:cs="Times New Roman"/>
                <w:sz w:val="24"/>
                <w:szCs w:val="24"/>
              </w:rPr>
            </w:pPr>
          </w:p>
        </w:tc>
        <w:tc>
          <w:tcPr>
            <w:tcW w:w="1186" w:type="dxa"/>
            <w:shd w:val="clear" w:color="auto" w:fill="0A1D30" w:themeFill="text2" w:themeFillShade="BF"/>
          </w:tcPr>
          <w:p w14:paraId="775A3793" w14:textId="77777777" w:rsidR="00004F12" w:rsidRPr="00513F1F" w:rsidRDefault="00004F12" w:rsidP="00C33E90">
            <w:pPr>
              <w:jc w:val="center"/>
              <w:rPr>
                <w:rFonts w:ascii="Times New Roman" w:hAnsi="Times New Roman" w:cs="Times New Roman"/>
                <w:sz w:val="24"/>
                <w:szCs w:val="24"/>
              </w:rPr>
            </w:pPr>
          </w:p>
        </w:tc>
        <w:tc>
          <w:tcPr>
            <w:tcW w:w="1297" w:type="dxa"/>
            <w:shd w:val="clear" w:color="auto" w:fill="0A1D30" w:themeFill="text2" w:themeFillShade="BF"/>
          </w:tcPr>
          <w:p w14:paraId="5B12E78E" w14:textId="77777777" w:rsidR="00004F12" w:rsidRPr="00513F1F" w:rsidRDefault="00004F12" w:rsidP="00C33E90">
            <w:pPr>
              <w:jc w:val="center"/>
              <w:rPr>
                <w:rFonts w:ascii="Times New Roman" w:hAnsi="Times New Roman" w:cs="Times New Roman"/>
                <w:sz w:val="24"/>
                <w:szCs w:val="24"/>
              </w:rPr>
            </w:pPr>
          </w:p>
        </w:tc>
        <w:tc>
          <w:tcPr>
            <w:tcW w:w="1080" w:type="dxa"/>
            <w:shd w:val="clear" w:color="auto" w:fill="0A1D30" w:themeFill="text2" w:themeFillShade="BF"/>
          </w:tcPr>
          <w:p w14:paraId="7F4A14D0" w14:textId="77777777" w:rsidR="00004F12" w:rsidRPr="00513F1F" w:rsidRDefault="00004F12" w:rsidP="00C33E90">
            <w:pPr>
              <w:jc w:val="center"/>
              <w:rPr>
                <w:rFonts w:ascii="Times New Roman" w:hAnsi="Times New Roman" w:cs="Times New Roman"/>
                <w:sz w:val="24"/>
                <w:szCs w:val="24"/>
              </w:rPr>
            </w:pPr>
          </w:p>
        </w:tc>
      </w:tr>
      <w:tr w:rsidR="00004F12" w:rsidRPr="00513F1F" w14:paraId="1D17E6EC" w14:textId="77777777" w:rsidTr="00C33E90">
        <w:trPr>
          <w:trHeight w:hRule="exact" w:val="259"/>
          <w:jc w:val="center"/>
        </w:trPr>
        <w:tc>
          <w:tcPr>
            <w:tcW w:w="3921" w:type="dxa"/>
          </w:tcPr>
          <w:p w14:paraId="17461B5D"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White</w:t>
            </w:r>
          </w:p>
        </w:tc>
        <w:tc>
          <w:tcPr>
            <w:tcW w:w="1460" w:type="dxa"/>
          </w:tcPr>
          <w:p w14:paraId="7794782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589 (78%)</w:t>
            </w:r>
          </w:p>
        </w:tc>
        <w:tc>
          <w:tcPr>
            <w:tcW w:w="1460" w:type="dxa"/>
          </w:tcPr>
          <w:p w14:paraId="15D35BC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472 (77%)</w:t>
            </w:r>
          </w:p>
        </w:tc>
        <w:tc>
          <w:tcPr>
            <w:tcW w:w="1186" w:type="dxa"/>
          </w:tcPr>
          <w:p w14:paraId="687567E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59 (81%)</w:t>
            </w:r>
          </w:p>
        </w:tc>
        <w:tc>
          <w:tcPr>
            <w:tcW w:w="1297" w:type="dxa"/>
          </w:tcPr>
          <w:p w14:paraId="7B206EC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58 (82%)</w:t>
            </w:r>
          </w:p>
        </w:tc>
        <w:tc>
          <w:tcPr>
            <w:tcW w:w="1080" w:type="dxa"/>
          </w:tcPr>
          <w:p w14:paraId="26476C7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30%</w:t>
            </w:r>
          </w:p>
        </w:tc>
      </w:tr>
      <w:tr w:rsidR="00004F12" w:rsidRPr="00513F1F" w14:paraId="53ECBEDE" w14:textId="77777777" w:rsidTr="00C33E90">
        <w:trPr>
          <w:trHeight w:hRule="exact" w:val="259"/>
          <w:jc w:val="center"/>
        </w:trPr>
        <w:tc>
          <w:tcPr>
            <w:tcW w:w="3921" w:type="dxa"/>
          </w:tcPr>
          <w:p w14:paraId="3902A43B"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Black or African American</w:t>
            </w:r>
          </w:p>
        </w:tc>
        <w:tc>
          <w:tcPr>
            <w:tcW w:w="1460" w:type="dxa"/>
          </w:tcPr>
          <w:p w14:paraId="356343A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97 (13%)</w:t>
            </w:r>
          </w:p>
        </w:tc>
        <w:tc>
          <w:tcPr>
            <w:tcW w:w="1460" w:type="dxa"/>
          </w:tcPr>
          <w:p w14:paraId="3C2622F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83 (14%)</w:t>
            </w:r>
          </w:p>
        </w:tc>
        <w:tc>
          <w:tcPr>
            <w:tcW w:w="1186" w:type="dxa"/>
          </w:tcPr>
          <w:p w14:paraId="1E17853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 (8%)</w:t>
            </w:r>
          </w:p>
        </w:tc>
        <w:tc>
          <w:tcPr>
            <w:tcW w:w="1297" w:type="dxa"/>
          </w:tcPr>
          <w:p w14:paraId="075F618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 (11%)</w:t>
            </w:r>
          </w:p>
        </w:tc>
        <w:tc>
          <w:tcPr>
            <w:tcW w:w="1080" w:type="dxa"/>
          </w:tcPr>
          <w:p w14:paraId="712C84B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28%</w:t>
            </w:r>
          </w:p>
        </w:tc>
      </w:tr>
      <w:tr w:rsidR="00004F12" w:rsidRPr="00513F1F" w14:paraId="1CA2311B" w14:textId="77777777" w:rsidTr="00C33E90">
        <w:trPr>
          <w:trHeight w:hRule="exact" w:val="259"/>
          <w:jc w:val="center"/>
        </w:trPr>
        <w:tc>
          <w:tcPr>
            <w:tcW w:w="3921" w:type="dxa"/>
          </w:tcPr>
          <w:p w14:paraId="3C6328AF"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Asian</w:t>
            </w:r>
          </w:p>
        </w:tc>
        <w:tc>
          <w:tcPr>
            <w:tcW w:w="1460" w:type="dxa"/>
          </w:tcPr>
          <w:p w14:paraId="431C99D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51 (7%)</w:t>
            </w:r>
          </w:p>
        </w:tc>
        <w:tc>
          <w:tcPr>
            <w:tcW w:w="1460" w:type="dxa"/>
          </w:tcPr>
          <w:p w14:paraId="3B46A5E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39 (6%)</w:t>
            </w:r>
          </w:p>
        </w:tc>
        <w:tc>
          <w:tcPr>
            <w:tcW w:w="1186" w:type="dxa"/>
          </w:tcPr>
          <w:p w14:paraId="2057256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 (10%)</w:t>
            </w:r>
          </w:p>
        </w:tc>
        <w:tc>
          <w:tcPr>
            <w:tcW w:w="1297" w:type="dxa"/>
          </w:tcPr>
          <w:p w14:paraId="4A42806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 (7%)</w:t>
            </w:r>
          </w:p>
        </w:tc>
        <w:tc>
          <w:tcPr>
            <w:tcW w:w="1080" w:type="dxa"/>
          </w:tcPr>
          <w:p w14:paraId="74452B7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31%</w:t>
            </w:r>
          </w:p>
        </w:tc>
      </w:tr>
      <w:tr w:rsidR="00004F12" w:rsidRPr="00513F1F" w14:paraId="4BE0980A" w14:textId="77777777" w:rsidTr="00C33E90">
        <w:trPr>
          <w:trHeight w:hRule="exact" w:val="259"/>
          <w:jc w:val="center"/>
        </w:trPr>
        <w:tc>
          <w:tcPr>
            <w:tcW w:w="3921" w:type="dxa"/>
          </w:tcPr>
          <w:p w14:paraId="1542926E"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Other / multiracial</w:t>
            </w:r>
          </w:p>
        </w:tc>
        <w:tc>
          <w:tcPr>
            <w:tcW w:w="1460" w:type="dxa"/>
          </w:tcPr>
          <w:p w14:paraId="35F8539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14 (2%)</w:t>
            </w:r>
          </w:p>
        </w:tc>
        <w:tc>
          <w:tcPr>
            <w:tcW w:w="1460" w:type="dxa"/>
          </w:tcPr>
          <w:p w14:paraId="12AB823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13 (2%)</w:t>
            </w:r>
          </w:p>
        </w:tc>
        <w:tc>
          <w:tcPr>
            <w:tcW w:w="1186" w:type="dxa"/>
          </w:tcPr>
          <w:p w14:paraId="58AFB1A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 (1%)</w:t>
            </w:r>
          </w:p>
        </w:tc>
        <w:tc>
          <w:tcPr>
            <w:tcW w:w="1297" w:type="dxa"/>
          </w:tcPr>
          <w:p w14:paraId="673F318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080" w:type="dxa"/>
          </w:tcPr>
          <w:p w14:paraId="7E5CDEE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43%</w:t>
            </w:r>
          </w:p>
        </w:tc>
      </w:tr>
      <w:tr w:rsidR="00004F12" w:rsidRPr="00513F1F" w14:paraId="114F371F" w14:textId="77777777" w:rsidTr="00C33E90">
        <w:trPr>
          <w:trHeight w:hRule="exact" w:val="259"/>
          <w:jc w:val="center"/>
        </w:trPr>
        <w:tc>
          <w:tcPr>
            <w:tcW w:w="3921" w:type="dxa"/>
          </w:tcPr>
          <w:p w14:paraId="02359A2B"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Unknown</w:t>
            </w:r>
          </w:p>
        </w:tc>
        <w:tc>
          <w:tcPr>
            <w:tcW w:w="1460" w:type="dxa"/>
          </w:tcPr>
          <w:p w14:paraId="5D6811A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 (0%)</w:t>
            </w:r>
          </w:p>
        </w:tc>
        <w:tc>
          <w:tcPr>
            <w:tcW w:w="1460" w:type="dxa"/>
          </w:tcPr>
          <w:p w14:paraId="7C79153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 (0%)</w:t>
            </w:r>
          </w:p>
        </w:tc>
        <w:tc>
          <w:tcPr>
            <w:tcW w:w="1186" w:type="dxa"/>
          </w:tcPr>
          <w:p w14:paraId="4C2F097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297" w:type="dxa"/>
          </w:tcPr>
          <w:p w14:paraId="438BD0A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080" w:type="dxa"/>
          </w:tcPr>
          <w:p w14:paraId="65D0AB7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w:t>
            </w:r>
          </w:p>
        </w:tc>
      </w:tr>
      <w:tr w:rsidR="00004F12" w:rsidRPr="00513F1F" w14:paraId="041E12F8" w14:textId="77777777" w:rsidTr="00C33E90">
        <w:trPr>
          <w:trHeight w:hRule="exact" w:val="259"/>
          <w:jc w:val="center"/>
        </w:trPr>
        <w:tc>
          <w:tcPr>
            <w:tcW w:w="3921" w:type="dxa"/>
            <w:shd w:val="clear" w:color="auto" w:fill="0A1D30" w:themeFill="text2" w:themeFillShade="BF"/>
          </w:tcPr>
          <w:p w14:paraId="270264E6"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Menopausal status</w:t>
            </w:r>
          </w:p>
        </w:tc>
        <w:tc>
          <w:tcPr>
            <w:tcW w:w="1460" w:type="dxa"/>
            <w:shd w:val="clear" w:color="auto" w:fill="0A1D30" w:themeFill="text2" w:themeFillShade="BF"/>
          </w:tcPr>
          <w:p w14:paraId="21E58DB8" w14:textId="77777777" w:rsidR="00004F12" w:rsidRPr="00513F1F" w:rsidRDefault="00004F12" w:rsidP="00C33E90">
            <w:pPr>
              <w:jc w:val="center"/>
              <w:rPr>
                <w:rFonts w:ascii="Times New Roman" w:hAnsi="Times New Roman" w:cs="Times New Roman"/>
                <w:sz w:val="24"/>
                <w:szCs w:val="24"/>
              </w:rPr>
            </w:pPr>
          </w:p>
        </w:tc>
        <w:tc>
          <w:tcPr>
            <w:tcW w:w="1460" w:type="dxa"/>
            <w:shd w:val="clear" w:color="auto" w:fill="0A1D30" w:themeFill="text2" w:themeFillShade="BF"/>
          </w:tcPr>
          <w:p w14:paraId="7E7A8E3A" w14:textId="77777777" w:rsidR="00004F12" w:rsidRPr="00513F1F" w:rsidRDefault="00004F12" w:rsidP="00C33E90">
            <w:pPr>
              <w:jc w:val="center"/>
              <w:rPr>
                <w:rFonts w:ascii="Times New Roman" w:hAnsi="Times New Roman" w:cs="Times New Roman"/>
                <w:sz w:val="24"/>
                <w:szCs w:val="24"/>
              </w:rPr>
            </w:pPr>
          </w:p>
        </w:tc>
        <w:tc>
          <w:tcPr>
            <w:tcW w:w="1186" w:type="dxa"/>
            <w:shd w:val="clear" w:color="auto" w:fill="0A1D30" w:themeFill="text2" w:themeFillShade="BF"/>
          </w:tcPr>
          <w:p w14:paraId="3EAF44BA" w14:textId="77777777" w:rsidR="00004F12" w:rsidRPr="00513F1F" w:rsidRDefault="00004F12" w:rsidP="00C33E90">
            <w:pPr>
              <w:jc w:val="center"/>
              <w:rPr>
                <w:rFonts w:ascii="Times New Roman" w:hAnsi="Times New Roman" w:cs="Times New Roman"/>
                <w:sz w:val="24"/>
                <w:szCs w:val="24"/>
              </w:rPr>
            </w:pPr>
          </w:p>
        </w:tc>
        <w:tc>
          <w:tcPr>
            <w:tcW w:w="1297" w:type="dxa"/>
            <w:shd w:val="clear" w:color="auto" w:fill="0A1D30" w:themeFill="text2" w:themeFillShade="BF"/>
          </w:tcPr>
          <w:p w14:paraId="64EC5E92" w14:textId="77777777" w:rsidR="00004F12" w:rsidRPr="00513F1F" w:rsidRDefault="00004F12" w:rsidP="00C33E90">
            <w:pPr>
              <w:jc w:val="center"/>
              <w:rPr>
                <w:rFonts w:ascii="Times New Roman" w:hAnsi="Times New Roman" w:cs="Times New Roman"/>
                <w:sz w:val="24"/>
                <w:szCs w:val="24"/>
              </w:rPr>
            </w:pPr>
          </w:p>
        </w:tc>
        <w:tc>
          <w:tcPr>
            <w:tcW w:w="1080" w:type="dxa"/>
            <w:shd w:val="clear" w:color="auto" w:fill="0A1D30" w:themeFill="text2" w:themeFillShade="BF"/>
          </w:tcPr>
          <w:p w14:paraId="5AF5006C" w14:textId="77777777" w:rsidR="00004F12" w:rsidRPr="00513F1F" w:rsidRDefault="00004F12" w:rsidP="00C33E90">
            <w:pPr>
              <w:jc w:val="center"/>
              <w:rPr>
                <w:rFonts w:ascii="Times New Roman" w:hAnsi="Times New Roman" w:cs="Times New Roman"/>
                <w:sz w:val="24"/>
                <w:szCs w:val="24"/>
              </w:rPr>
            </w:pPr>
          </w:p>
        </w:tc>
      </w:tr>
      <w:tr w:rsidR="00004F12" w:rsidRPr="00513F1F" w14:paraId="2C123C94" w14:textId="77777777" w:rsidTr="00C33E90">
        <w:trPr>
          <w:trHeight w:hRule="exact" w:val="259"/>
          <w:jc w:val="center"/>
        </w:trPr>
        <w:tc>
          <w:tcPr>
            <w:tcW w:w="3921" w:type="dxa"/>
          </w:tcPr>
          <w:p w14:paraId="10CA5E82"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Premenopausal</w:t>
            </w:r>
          </w:p>
        </w:tc>
        <w:tc>
          <w:tcPr>
            <w:tcW w:w="1460" w:type="dxa"/>
          </w:tcPr>
          <w:p w14:paraId="3E984D5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358 (47%)</w:t>
            </w:r>
          </w:p>
        </w:tc>
        <w:tc>
          <w:tcPr>
            <w:tcW w:w="1460" w:type="dxa"/>
          </w:tcPr>
          <w:p w14:paraId="73DC9BB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291 (48%)</w:t>
            </w:r>
          </w:p>
        </w:tc>
        <w:tc>
          <w:tcPr>
            <w:tcW w:w="1186" w:type="dxa"/>
          </w:tcPr>
          <w:p w14:paraId="714F68E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38 (52%)</w:t>
            </w:r>
          </w:p>
        </w:tc>
        <w:tc>
          <w:tcPr>
            <w:tcW w:w="1297" w:type="dxa"/>
          </w:tcPr>
          <w:p w14:paraId="0E78CF5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29 (41%)</w:t>
            </w:r>
          </w:p>
        </w:tc>
        <w:tc>
          <w:tcPr>
            <w:tcW w:w="1080" w:type="dxa"/>
          </w:tcPr>
          <w:p w14:paraId="4BB64F6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29%</w:t>
            </w:r>
          </w:p>
        </w:tc>
      </w:tr>
      <w:tr w:rsidR="00004F12" w:rsidRPr="00513F1F" w14:paraId="6243FB07" w14:textId="77777777" w:rsidTr="00C33E90">
        <w:trPr>
          <w:trHeight w:hRule="exact" w:val="259"/>
          <w:jc w:val="center"/>
        </w:trPr>
        <w:tc>
          <w:tcPr>
            <w:tcW w:w="3921" w:type="dxa"/>
          </w:tcPr>
          <w:p w14:paraId="52AAB8C8"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Postmenopausal</w:t>
            </w:r>
          </w:p>
        </w:tc>
        <w:tc>
          <w:tcPr>
            <w:tcW w:w="1460" w:type="dxa"/>
          </w:tcPr>
          <w:p w14:paraId="7A7FA14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232 (31%)</w:t>
            </w:r>
          </w:p>
        </w:tc>
        <w:tc>
          <w:tcPr>
            <w:tcW w:w="1460" w:type="dxa"/>
          </w:tcPr>
          <w:p w14:paraId="0D5B0BB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189 (31%)</w:t>
            </w:r>
          </w:p>
        </w:tc>
        <w:tc>
          <w:tcPr>
            <w:tcW w:w="1186" w:type="dxa"/>
          </w:tcPr>
          <w:p w14:paraId="78DD4D1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21 (29%)</w:t>
            </w:r>
          </w:p>
        </w:tc>
        <w:tc>
          <w:tcPr>
            <w:tcW w:w="1297" w:type="dxa"/>
          </w:tcPr>
          <w:p w14:paraId="5CE41F0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22 (31%)</w:t>
            </w:r>
          </w:p>
        </w:tc>
        <w:tc>
          <w:tcPr>
            <w:tcW w:w="1080" w:type="dxa"/>
          </w:tcPr>
          <w:p w14:paraId="3686890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32%</w:t>
            </w:r>
          </w:p>
        </w:tc>
      </w:tr>
      <w:tr w:rsidR="00004F12" w:rsidRPr="00513F1F" w14:paraId="5C7783B4" w14:textId="77777777" w:rsidTr="00C33E90">
        <w:trPr>
          <w:trHeight w:hRule="exact" w:val="259"/>
          <w:jc w:val="center"/>
        </w:trPr>
        <w:tc>
          <w:tcPr>
            <w:tcW w:w="3921" w:type="dxa"/>
          </w:tcPr>
          <w:p w14:paraId="650236CC"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Perimenopausal</w:t>
            </w:r>
          </w:p>
        </w:tc>
        <w:tc>
          <w:tcPr>
            <w:tcW w:w="1460" w:type="dxa"/>
          </w:tcPr>
          <w:p w14:paraId="20FD289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26 (3%)</w:t>
            </w:r>
          </w:p>
        </w:tc>
        <w:tc>
          <w:tcPr>
            <w:tcW w:w="1460" w:type="dxa"/>
          </w:tcPr>
          <w:p w14:paraId="2B0B2C0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22 (4%)</w:t>
            </w:r>
          </w:p>
        </w:tc>
        <w:tc>
          <w:tcPr>
            <w:tcW w:w="1186" w:type="dxa"/>
          </w:tcPr>
          <w:p w14:paraId="66A5F0F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 (3%)</w:t>
            </w:r>
          </w:p>
        </w:tc>
        <w:tc>
          <w:tcPr>
            <w:tcW w:w="1297" w:type="dxa"/>
          </w:tcPr>
          <w:p w14:paraId="0719684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 (3%)</w:t>
            </w:r>
          </w:p>
        </w:tc>
        <w:tc>
          <w:tcPr>
            <w:tcW w:w="1080" w:type="dxa"/>
          </w:tcPr>
          <w:p w14:paraId="74C2490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38%</w:t>
            </w:r>
          </w:p>
        </w:tc>
      </w:tr>
      <w:tr w:rsidR="00004F12" w:rsidRPr="00513F1F" w14:paraId="6E42634D" w14:textId="77777777" w:rsidTr="00C33E90">
        <w:trPr>
          <w:trHeight w:hRule="exact" w:val="259"/>
          <w:jc w:val="center"/>
        </w:trPr>
        <w:tc>
          <w:tcPr>
            <w:tcW w:w="3921" w:type="dxa"/>
          </w:tcPr>
          <w:p w14:paraId="70047039"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Indeterminate / not applicable</w:t>
            </w:r>
          </w:p>
        </w:tc>
        <w:tc>
          <w:tcPr>
            <w:tcW w:w="1460" w:type="dxa"/>
          </w:tcPr>
          <w:p w14:paraId="755220C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106 (14%)</w:t>
            </w:r>
          </w:p>
        </w:tc>
        <w:tc>
          <w:tcPr>
            <w:tcW w:w="1460" w:type="dxa"/>
          </w:tcPr>
          <w:p w14:paraId="6ABF9B9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83 (14%)</w:t>
            </w:r>
          </w:p>
        </w:tc>
        <w:tc>
          <w:tcPr>
            <w:tcW w:w="1186" w:type="dxa"/>
          </w:tcPr>
          <w:p w14:paraId="53C136C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8 (11%)</w:t>
            </w:r>
          </w:p>
        </w:tc>
        <w:tc>
          <w:tcPr>
            <w:tcW w:w="1297" w:type="dxa"/>
          </w:tcPr>
          <w:p w14:paraId="365FC70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15 (21%)</w:t>
            </w:r>
          </w:p>
        </w:tc>
        <w:tc>
          <w:tcPr>
            <w:tcW w:w="1080" w:type="dxa"/>
          </w:tcPr>
          <w:p w14:paraId="1363947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31%</w:t>
            </w:r>
          </w:p>
        </w:tc>
      </w:tr>
      <w:tr w:rsidR="00004F12" w:rsidRPr="00513F1F" w14:paraId="724A76B1" w14:textId="77777777" w:rsidTr="00C33E90">
        <w:trPr>
          <w:trHeight w:hRule="exact" w:val="259"/>
          <w:jc w:val="center"/>
        </w:trPr>
        <w:tc>
          <w:tcPr>
            <w:tcW w:w="3921" w:type="dxa"/>
          </w:tcPr>
          <w:p w14:paraId="03E88048"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Unknown</w:t>
            </w:r>
          </w:p>
        </w:tc>
        <w:tc>
          <w:tcPr>
            <w:tcW w:w="1460" w:type="dxa"/>
          </w:tcPr>
          <w:p w14:paraId="098DEEA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32 (4%)</w:t>
            </w:r>
          </w:p>
        </w:tc>
        <w:tc>
          <w:tcPr>
            <w:tcW w:w="1460" w:type="dxa"/>
          </w:tcPr>
          <w:p w14:paraId="25091B6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25 (4%)</w:t>
            </w:r>
          </w:p>
        </w:tc>
        <w:tc>
          <w:tcPr>
            <w:tcW w:w="1186" w:type="dxa"/>
          </w:tcPr>
          <w:p w14:paraId="696C90E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 (5%)</w:t>
            </w:r>
          </w:p>
        </w:tc>
        <w:tc>
          <w:tcPr>
            <w:tcW w:w="1297" w:type="dxa"/>
          </w:tcPr>
          <w:p w14:paraId="0501173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 (4%)</w:t>
            </w:r>
          </w:p>
        </w:tc>
        <w:tc>
          <w:tcPr>
            <w:tcW w:w="1080" w:type="dxa"/>
          </w:tcPr>
          <w:p w14:paraId="15E44C2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26%</w:t>
            </w:r>
          </w:p>
        </w:tc>
      </w:tr>
      <w:tr w:rsidR="00004F12" w:rsidRPr="00513F1F" w14:paraId="7B7909EE" w14:textId="77777777" w:rsidTr="00C33E90">
        <w:trPr>
          <w:trHeight w:hRule="exact" w:val="259"/>
          <w:jc w:val="center"/>
        </w:trPr>
        <w:tc>
          <w:tcPr>
            <w:tcW w:w="3921" w:type="dxa"/>
            <w:shd w:val="clear" w:color="auto" w:fill="0A1D30" w:themeFill="text2" w:themeFillShade="BF"/>
          </w:tcPr>
          <w:p w14:paraId="2DB84E2D"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Ethnicity</w:t>
            </w:r>
          </w:p>
        </w:tc>
        <w:tc>
          <w:tcPr>
            <w:tcW w:w="1460" w:type="dxa"/>
            <w:shd w:val="clear" w:color="auto" w:fill="0A1D30" w:themeFill="text2" w:themeFillShade="BF"/>
          </w:tcPr>
          <w:p w14:paraId="129BE127" w14:textId="77777777" w:rsidR="00004F12" w:rsidRPr="00513F1F" w:rsidRDefault="00004F12" w:rsidP="00C33E90">
            <w:pPr>
              <w:jc w:val="center"/>
              <w:rPr>
                <w:rFonts w:ascii="Times New Roman" w:hAnsi="Times New Roman" w:cs="Times New Roman"/>
                <w:sz w:val="24"/>
                <w:szCs w:val="24"/>
              </w:rPr>
            </w:pPr>
          </w:p>
        </w:tc>
        <w:tc>
          <w:tcPr>
            <w:tcW w:w="1460" w:type="dxa"/>
            <w:shd w:val="clear" w:color="auto" w:fill="0A1D30" w:themeFill="text2" w:themeFillShade="BF"/>
          </w:tcPr>
          <w:p w14:paraId="01194F9E" w14:textId="77777777" w:rsidR="00004F12" w:rsidRPr="00513F1F" w:rsidRDefault="00004F12" w:rsidP="00C33E90">
            <w:pPr>
              <w:jc w:val="center"/>
              <w:rPr>
                <w:rFonts w:ascii="Times New Roman" w:hAnsi="Times New Roman" w:cs="Times New Roman"/>
                <w:sz w:val="24"/>
                <w:szCs w:val="24"/>
              </w:rPr>
            </w:pPr>
          </w:p>
        </w:tc>
        <w:tc>
          <w:tcPr>
            <w:tcW w:w="1186" w:type="dxa"/>
            <w:shd w:val="clear" w:color="auto" w:fill="0A1D30" w:themeFill="text2" w:themeFillShade="BF"/>
          </w:tcPr>
          <w:p w14:paraId="43100796" w14:textId="77777777" w:rsidR="00004F12" w:rsidRPr="00513F1F" w:rsidRDefault="00004F12" w:rsidP="00C33E90">
            <w:pPr>
              <w:jc w:val="center"/>
              <w:rPr>
                <w:rFonts w:ascii="Times New Roman" w:hAnsi="Times New Roman" w:cs="Times New Roman"/>
                <w:sz w:val="24"/>
                <w:szCs w:val="24"/>
              </w:rPr>
            </w:pPr>
          </w:p>
        </w:tc>
        <w:tc>
          <w:tcPr>
            <w:tcW w:w="1297" w:type="dxa"/>
            <w:shd w:val="clear" w:color="auto" w:fill="0A1D30" w:themeFill="text2" w:themeFillShade="BF"/>
          </w:tcPr>
          <w:p w14:paraId="58FFDF42" w14:textId="77777777" w:rsidR="00004F12" w:rsidRPr="00513F1F" w:rsidRDefault="00004F12" w:rsidP="00C33E90">
            <w:pPr>
              <w:jc w:val="center"/>
              <w:rPr>
                <w:rFonts w:ascii="Times New Roman" w:hAnsi="Times New Roman" w:cs="Times New Roman"/>
                <w:sz w:val="24"/>
                <w:szCs w:val="24"/>
              </w:rPr>
            </w:pPr>
          </w:p>
        </w:tc>
        <w:tc>
          <w:tcPr>
            <w:tcW w:w="1080" w:type="dxa"/>
            <w:shd w:val="clear" w:color="auto" w:fill="0A1D30" w:themeFill="text2" w:themeFillShade="BF"/>
          </w:tcPr>
          <w:p w14:paraId="6B24BD24" w14:textId="77777777" w:rsidR="00004F12" w:rsidRPr="00513F1F" w:rsidRDefault="00004F12" w:rsidP="00C33E90">
            <w:pPr>
              <w:jc w:val="center"/>
              <w:rPr>
                <w:rFonts w:ascii="Times New Roman" w:hAnsi="Times New Roman" w:cs="Times New Roman"/>
                <w:sz w:val="24"/>
                <w:szCs w:val="24"/>
              </w:rPr>
            </w:pPr>
          </w:p>
        </w:tc>
      </w:tr>
      <w:tr w:rsidR="00004F12" w:rsidRPr="00513F1F" w14:paraId="4AD53E34" w14:textId="77777777" w:rsidTr="00C33E90">
        <w:trPr>
          <w:trHeight w:hRule="exact" w:val="259"/>
          <w:jc w:val="center"/>
        </w:trPr>
        <w:tc>
          <w:tcPr>
            <w:tcW w:w="3921" w:type="dxa"/>
          </w:tcPr>
          <w:p w14:paraId="6D7EF967"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Not Hispanic or Latino</w:t>
            </w:r>
          </w:p>
        </w:tc>
        <w:tc>
          <w:tcPr>
            <w:tcW w:w="1460" w:type="dxa"/>
          </w:tcPr>
          <w:p w14:paraId="3B32CDB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660 (88%)</w:t>
            </w:r>
          </w:p>
        </w:tc>
        <w:tc>
          <w:tcPr>
            <w:tcW w:w="1460" w:type="dxa"/>
          </w:tcPr>
          <w:p w14:paraId="2709E11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534 (88%)</w:t>
            </w:r>
          </w:p>
        </w:tc>
        <w:tc>
          <w:tcPr>
            <w:tcW w:w="1186" w:type="dxa"/>
          </w:tcPr>
          <w:p w14:paraId="410CBE0B"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61 (84%)</w:t>
            </w:r>
          </w:p>
        </w:tc>
        <w:tc>
          <w:tcPr>
            <w:tcW w:w="1297" w:type="dxa"/>
          </w:tcPr>
          <w:p w14:paraId="20E3768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65 (92%)</w:t>
            </w:r>
          </w:p>
        </w:tc>
        <w:tc>
          <w:tcPr>
            <w:tcW w:w="1080" w:type="dxa"/>
          </w:tcPr>
          <w:p w14:paraId="5147CEC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28%</w:t>
            </w:r>
          </w:p>
        </w:tc>
      </w:tr>
      <w:tr w:rsidR="00004F12" w:rsidRPr="00513F1F" w14:paraId="15986D0E" w14:textId="77777777" w:rsidTr="00C33E90">
        <w:trPr>
          <w:trHeight w:hRule="exact" w:val="259"/>
          <w:jc w:val="center"/>
        </w:trPr>
        <w:tc>
          <w:tcPr>
            <w:tcW w:w="3921" w:type="dxa"/>
          </w:tcPr>
          <w:p w14:paraId="71C01F6A"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Hispanic or Latino</w:t>
            </w:r>
          </w:p>
        </w:tc>
        <w:tc>
          <w:tcPr>
            <w:tcW w:w="1460" w:type="dxa"/>
          </w:tcPr>
          <w:p w14:paraId="72820D2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93 (12%)</w:t>
            </w:r>
          </w:p>
        </w:tc>
        <w:tc>
          <w:tcPr>
            <w:tcW w:w="1460" w:type="dxa"/>
          </w:tcPr>
          <w:p w14:paraId="023EB34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75 (12%)</w:t>
            </w:r>
          </w:p>
        </w:tc>
        <w:tc>
          <w:tcPr>
            <w:tcW w:w="1186" w:type="dxa"/>
          </w:tcPr>
          <w:p w14:paraId="3A70BA95"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12 (16%)</w:t>
            </w:r>
          </w:p>
        </w:tc>
        <w:tc>
          <w:tcPr>
            <w:tcW w:w="1297" w:type="dxa"/>
          </w:tcPr>
          <w:p w14:paraId="11B2AF6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6 (8%)</w:t>
            </w:r>
          </w:p>
        </w:tc>
        <w:tc>
          <w:tcPr>
            <w:tcW w:w="1080" w:type="dxa"/>
          </w:tcPr>
          <w:p w14:paraId="0F00325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43%</w:t>
            </w:r>
          </w:p>
        </w:tc>
      </w:tr>
      <w:tr w:rsidR="00004F12" w:rsidRPr="00513F1F" w14:paraId="28B15FB7" w14:textId="77777777" w:rsidTr="00C33E90">
        <w:trPr>
          <w:trHeight w:hRule="exact" w:val="259"/>
          <w:jc w:val="center"/>
        </w:trPr>
        <w:tc>
          <w:tcPr>
            <w:tcW w:w="3921" w:type="dxa"/>
          </w:tcPr>
          <w:p w14:paraId="139C7B12"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Unknown</w:t>
            </w:r>
          </w:p>
        </w:tc>
        <w:tc>
          <w:tcPr>
            <w:tcW w:w="1460" w:type="dxa"/>
          </w:tcPr>
          <w:p w14:paraId="752A11D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 (0%)</w:t>
            </w:r>
          </w:p>
        </w:tc>
        <w:tc>
          <w:tcPr>
            <w:tcW w:w="1460" w:type="dxa"/>
          </w:tcPr>
          <w:p w14:paraId="69FC518E"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 (0%)</w:t>
            </w:r>
          </w:p>
        </w:tc>
        <w:tc>
          <w:tcPr>
            <w:tcW w:w="1186" w:type="dxa"/>
          </w:tcPr>
          <w:p w14:paraId="0FD1A19C"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297" w:type="dxa"/>
          </w:tcPr>
          <w:p w14:paraId="78319C2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080" w:type="dxa"/>
          </w:tcPr>
          <w:p w14:paraId="2240BD7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w:t>
            </w:r>
          </w:p>
        </w:tc>
      </w:tr>
      <w:tr w:rsidR="00004F12" w:rsidRPr="00513F1F" w14:paraId="2C2F44EE" w14:textId="77777777" w:rsidTr="00C33E90">
        <w:trPr>
          <w:trHeight w:hRule="exact" w:val="259"/>
          <w:jc w:val="center"/>
        </w:trPr>
        <w:tc>
          <w:tcPr>
            <w:tcW w:w="3921" w:type="dxa"/>
            <w:shd w:val="clear" w:color="auto" w:fill="0A1D30" w:themeFill="text2" w:themeFillShade="BF"/>
          </w:tcPr>
          <w:p w14:paraId="37B1AF05"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b/>
                <w:sz w:val="24"/>
                <w:szCs w:val="24"/>
              </w:rPr>
              <w:t>MammaPrint (70-gene, descriptive only)</w:t>
            </w:r>
          </w:p>
        </w:tc>
        <w:tc>
          <w:tcPr>
            <w:tcW w:w="1460" w:type="dxa"/>
            <w:shd w:val="clear" w:color="auto" w:fill="0A1D30" w:themeFill="text2" w:themeFillShade="BF"/>
          </w:tcPr>
          <w:p w14:paraId="36942DDB" w14:textId="77777777" w:rsidR="00004F12" w:rsidRPr="00513F1F" w:rsidRDefault="00004F12" w:rsidP="00C33E90">
            <w:pPr>
              <w:jc w:val="center"/>
              <w:rPr>
                <w:rFonts w:ascii="Times New Roman" w:hAnsi="Times New Roman" w:cs="Times New Roman"/>
                <w:sz w:val="24"/>
                <w:szCs w:val="24"/>
              </w:rPr>
            </w:pPr>
          </w:p>
        </w:tc>
        <w:tc>
          <w:tcPr>
            <w:tcW w:w="1460" w:type="dxa"/>
            <w:shd w:val="clear" w:color="auto" w:fill="0A1D30" w:themeFill="text2" w:themeFillShade="BF"/>
          </w:tcPr>
          <w:p w14:paraId="6DAFF8A2" w14:textId="77777777" w:rsidR="00004F12" w:rsidRPr="00513F1F" w:rsidRDefault="00004F12" w:rsidP="00C33E90">
            <w:pPr>
              <w:jc w:val="center"/>
              <w:rPr>
                <w:rFonts w:ascii="Times New Roman" w:hAnsi="Times New Roman" w:cs="Times New Roman"/>
                <w:sz w:val="24"/>
                <w:szCs w:val="24"/>
              </w:rPr>
            </w:pPr>
          </w:p>
        </w:tc>
        <w:tc>
          <w:tcPr>
            <w:tcW w:w="1186" w:type="dxa"/>
            <w:shd w:val="clear" w:color="auto" w:fill="0A1D30" w:themeFill="text2" w:themeFillShade="BF"/>
          </w:tcPr>
          <w:p w14:paraId="12E24309" w14:textId="77777777" w:rsidR="00004F12" w:rsidRPr="00513F1F" w:rsidRDefault="00004F12" w:rsidP="00C33E90">
            <w:pPr>
              <w:jc w:val="center"/>
              <w:rPr>
                <w:rFonts w:ascii="Times New Roman" w:hAnsi="Times New Roman" w:cs="Times New Roman"/>
                <w:sz w:val="24"/>
                <w:szCs w:val="24"/>
              </w:rPr>
            </w:pPr>
          </w:p>
        </w:tc>
        <w:tc>
          <w:tcPr>
            <w:tcW w:w="1297" w:type="dxa"/>
            <w:shd w:val="clear" w:color="auto" w:fill="0A1D30" w:themeFill="text2" w:themeFillShade="BF"/>
          </w:tcPr>
          <w:p w14:paraId="0D325E34" w14:textId="77777777" w:rsidR="00004F12" w:rsidRPr="00513F1F" w:rsidRDefault="00004F12" w:rsidP="00C33E90">
            <w:pPr>
              <w:jc w:val="center"/>
              <w:rPr>
                <w:rFonts w:ascii="Times New Roman" w:hAnsi="Times New Roman" w:cs="Times New Roman"/>
                <w:sz w:val="24"/>
                <w:szCs w:val="24"/>
              </w:rPr>
            </w:pPr>
          </w:p>
        </w:tc>
        <w:tc>
          <w:tcPr>
            <w:tcW w:w="1080" w:type="dxa"/>
            <w:shd w:val="clear" w:color="auto" w:fill="0A1D30" w:themeFill="text2" w:themeFillShade="BF"/>
          </w:tcPr>
          <w:p w14:paraId="6054B1A1" w14:textId="77777777" w:rsidR="00004F12" w:rsidRPr="00513F1F" w:rsidRDefault="00004F12" w:rsidP="00C33E90">
            <w:pPr>
              <w:jc w:val="center"/>
              <w:rPr>
                <w:rFonts w:ascii="Times New Roman" w:hAnsi="Times New Roman" w:cs="Times New Roman"/>
                <w:sz w:val="24"/>
                <w:szCs w:val="24"/>
              </w:rPr>
            </w:pPr>
          </w:p>
        </w:tc>
      </w:tr>
      <w:tr w:rsidR="00004F12" w:rsidRPr="00513F1F" w14:paraId="118072D0" w14:textId="77777777" w:rsidTr="00C33E90">
        <w:trPr>
          <w:trHeight w:hRule="exact" w:val="259"/>
          <w:jc w:val="center"/>
        </w:trPr>
        <w:tc>
          <w:tcPr>
            <w:tcW w:w="3921" w:type="dxa"/>
          </w:tcPr>
          <w:p w14:paraId="2C743754"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High risk</w:t>
            </w:r>
          </w:p>
        </w:tc>
        <w:tc>
          <w:tcPr>
            <w:tcW w:w="1460" w:type="dxa"/>
          </w:tcPr>
          <w:p w14:paraId="017B555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362 (48%)</w:t>
            </w:r>
          </w:p>
        </w:tc>
        <w:tc>
          <w:tcPr>
            <w:tcW w:w="1460" w:type="dxa"/>
          </w:tcPr>
          <w:p w14:paraId="738539C0"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284 (47%)</w:t>
            </w:r>
          </w:p>
        </w:tc>
        <w:tc>
          <w:tcPr>
            <w:tcW w:w="1186" w:type="dxa"/>
          </w:tcPr>
          <w:p w14:paraId="59056A7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41 (56%)</w:t>
            </w:r>
          </w:p>
        </w:tc>
        <w:tc>
          <w:tcPr>
            <w:tcW w:w="1297" w:type="dxa"/>
          </w:tcPr>
          <w:p w14:paraId="3FD25C6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37 (52%)</w:t>
            </w:r>
          </w:p>
        </w:tc>
        <w:tc>
          <w:tcPr>
            <w:tcW w:w="1080" w:type="dxa"/>
          </w:tcPr>
          <w:p w14:paraId="042EC67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42%</w:t>
            </w:r>
          </w:p>
        </w:tc>
      </w:tr>
      <w:tr w:rsidR="00004F12" w:rsidRPr="00513F1F" w14:paraId="066CA542" w14:textId="77777777" w:rsidTr="00C33E90">
        <w:trPr>
          <w:trHeight w:hRule="exact" w:val="259"/>
          <w:jc w:val="center"/>
        </w:trPr>
        <w:tc>
          <w:tcPr>
            <w:tcW w:w="3921" w:type="dxa"/>
          </w:tcPr>
          <w:p w14:paraId="07C15628"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Low risk</w:t>
            </w:r>
          </w:p>
        </w:tc>
        <w:tc>
          <w:tcPr>
            <w:tcW w:w="1460" w:type="dxa"/>
          </w:tcPr>
          <w:p w14:paraId="1F12DFA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391 (52%)</w:t>
            </w:r>
          </w:p>
        </w:tc>
        <w:tc>
          <w:tcPr>
            <w:tcW w:w="1460" w:type="dxa"/>
          </w:tcPr>
          <w:p w14:paraId="321BAA9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325 (53%)</w:t>
            </w:r>
          </w:p>
        </w:tc>
        <w:tc>
          <w:tcPr>
            <w:tcW w:w="1186" w:type="dxa"/>
          </w:tcPr>
          <w:p w14:paraId="6A6C4C47"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32 (44%)</w:t>
            </w:r>
          </w:p>
        </w:tc>
        <w:tc>
          <w:tcPr>
            <w:tcW w:w="1297" w:type="dxa"/>
          </w:tcPr>
          <w:p w14:paraId="57B72F6F"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34 (48%)</w:t>
            </w:r>
          </w:p>
        </w:tc>
        <w:tc>
          <w:tcPr>
            <w:tcW w:w="1080" w:type="dxa"/>
          </w:tcPr>
          <w:p w14:paraId="29A3A7E4"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20%</w:t>
            </w:r>
          </w:p>
        </w:tc>
      </w:tr>
      <w:tr w:rsidR="00004F12" w:rsidRPr="00513F1F" w14:paraId="620D771F" w14:textId="77777777" w:rsidTr="00C33E90">
        <w:trPr>
          <w:trHeight w:hRule="exact" w:val="259"/>
          <w:jc w:val="center"/>
        </w:trPr>
        <w:tc>
          <w:tcPr>
            <w:tcW w:w="3921" w:type="dxa"/>
          </w:tcPr>
          <w:p w14:paraId="110C76C6"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 xml:space="preserve">  Unknown</w:t>
            </w:r>
          </w:p>
        </w:tc>
        <w:tc>
          <w:tcPr>
            <w:tcW w:w="1460" w:type="dxa"/>
          </w:tcPr>
          <w:p w14:paraId="26353A56"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 (0%)</w:t>
            </w:r>
          </w:p>
        </w:tc>
        <w:tc>
          <w:tcPr>
            <w:tcW w:w="1460" w:type="dxa"/>
          </w:tcPr>
          <w:p w14:paraId="630BB5C1"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1 (0%)</w:t>
            </w:r>
          </w:p>
        </w:tc>
        <w:tc>
          <w:tcPr>
            <w:tcW w:w="1186" w:type="dxa"/>
          </w:tcPr>
          <w:p w14:paraId="53489603"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297" w:type="dxa"/>
          </w:tcPr>
          <w:p w14:paraId="22AFD652"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0 (0%)</w:t>
            </w:r>
          </w:p>
        </w:tc>
        <w:tc>
          <w:tcPr>
            <w:tcW w:w="1080" w:type="dxa"/>
          </w:tcPr>
          <w:p w14:paraId="4EBDCA7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w:t>
            </w:r>
          </w:p>
        </w:tc>
      </w:tr>
      <w:tr w:rsidR="00004F12" w:rsidRPr="00513F1F" w14:paraId="1FF38D0B" w14:textId="77777777" w:rsidTr="00C33E90">
        <w:trPr>
          <w:trHeight w:hRule="exact" w:val="259"/>
          <w:jc w:val="center"/>
        </w:trPr>
        <w:tc>
          <w:tcPr>
            <w:tcW w:w="3921" w:type="dxa"/>
            <w:shd w:val="clear" w:color="auto" w:fill="0A1D30" w:themeFill="text2" w:themeFillShade="BF"/>
          </w:tcPr>
          <w:p w14:paraId="399FC112" w14:textId="77777777" w:rsidR="00004F12" w:rsidRPr="00513F1F" w:rsidRDefault="00004F12" w:rsidP="00C33E90">
            <w:pPr>
              <w:rPr>
                <w:rFonts w:ascii="Times New Roman" w:hAnsi="Times New Roman" w:cs="Times New Roman"/>
                <w:b/>
                <w:bCs/>
                <w:sz w:val="24"/>
                <w:szCs w:val="24"/>
              </w:rPr>
            </w:pPr>
            <w:r w:rsidRPr="00513F1F">
              <w:rPr>
                <w:rFonts w:ascii="Times New Roman" w:hAnsi="Times New Roman" w:cs="Times New Roman"/>
                <w:b/>
                <w:bCs/>
                <w:sz w:val="24"/>
                <w:szCs w:val="24"/>
              </w:rPr>
              <w:t>Age (IQR)</w:t>
            </w:r>
          </w:p>
        </w:tc>
        <w:tc>
          <w:tcPr>
            <w:tcW w:w="1460" w:type="dxa"/>
            <w:shd w:val="clear" w:color="auto" w:fill="0A1D30" w:themeFill="text2" w:themeFillShade="BF"/>
          </w:tcPr>
          <w:p w14:paraId="40BE9D17" w14:textId="77777777" w:rsidR="00004F12" w:rsidRPr="00513F1F" w:rsidRDefault="00004F12" w:rsidP="00C33E90">
            <w:pPr>
              <w:jc w:val="center"/>
              <w:rPr>
                <w:rFonts w:ascii="Times New Roman" w:hAnsi="Times New Roman" w:cs="Times New Roman"/>
                <w:b/>
                <w:bCs/>
                <w:sz w:val="24"/>
                <w:szCs w:val="24"/>
              </w:rPr>
            </w:pPr>
          </w:p>
        </w:tc>
        <w:tc>
          <w:tcPr>
            <w:tcW w:w="1460" w:type="dxa"/>
            <w:shd w:val="clear" w:color="auto" w:fill="0A1D30" w:themeFill="text2" w:themeFillShade="BF"/>
          </w:tcPr>
          <w:p w14:paraId="6B9D551E" w14:textId="77777777" w:rsidR="00004F12" w:rsidRPr="00513F1F" w:rsidRDefault="00004F12" w:rsidP="00C33E90">
            <w:pPr>
              <w:jc w:val="center"/>
              <w:rPr>
                <w:rFonts w:ascii="Times New Roman" w:hAnsi="Times New Roman" w:cs="Times New Roman"/>
                <w:b/>
                <w:bCs/>
                <w:sz w:val="24"/>
                <w:szCs w:val="24"/>
              </w:rPr>
            </w:pPr>
          </w:p>
        </w:tc>
        <w:tc>
          <w:tcPr>
            <w:tcW w:w="1186" w:type="dxa"/>
            <w:shd w:val="clear" w:color="auto" w:fill="0A1D30" w:themeFill="text2" w:themeFillShade="BF"/>
          </w:tcPr>
          <w:p w14:paraId="0DD750F8" w14:textId="77777777" w:rsidR="00004F12" w:rsidRPr="00513F1F" w:rsidRDefault="00004F12" w:rsidP="00C33E90">
            <w:pPr>
              <w:jc w:val="center"/>
              <w:rPr>
                <w:rFonts w:ascii="Times New Roman" w:hAnsi="Times New Roman" w:cs="Times New Roman"/>
                <w:b/>
                <w:bCs/>
                <w:sz w:val="24"/>
                <w:szCs w:val="24"/>
              </w:rPr>
            </w:pPr>
          </w:p>
        </w:tc>
        <w:tc>
          <w:tcPr>
            <w:tcW w:w="1297" w:type="dxa"/>
            <w:shd w:val="clear" w:color="auto" w:fill="0A1D30" w:themeFill="text2" w:themeFillShade="BF"/>
          </w:tcPr>
          <w:p w14:paraId="1849F152" w14:textId="77777777" w:rsidR="00004F12" w:rsidRPr="00513F1F" w:rsidRDefault="00004F12" w:rsidP="00C33E90">
            <w:pPr>
              <w:jc w:val="center"/>
              <w:rPr>
                <w:rFonts w:ascii="Times New Roman" w:hAnsi="Times New Roman" w:cs="Times New Roman"/>
                <w:b/>
                <w:bCs/>
                <w:sz w:val="24"/>
                <w:szCs w:val="24"/>
              </w:rPr>
            </w:pPr>
          </w:p>
        </w:tc>
        <w:tc>
          <w:tcPr>
            <w:tcW w:w="1080" w:type="dxa"/>
            <w:shd w:val="clear" w:color="auto" w:fill="0A1D30" w:themeFill="text2" w:themeFillShade="BF"/>
          </w:tcPr>
          <w:p w14:paraId="67BB853E" w14:textId="77777777" w:rsidR="00004F12" w:rsidRPr="00513F1F" w:rsidRDefault="00004F12" w:rsidP="00C33E90">
            <w:pPr>
              <w:jc w:val="center"/>
              <w:rPr>
                <w:rFonts w:ascii="Times New Roman" w:hAnsi="Times New Roman" w:cs="Times New Roman"/>
                <w:b/>
                <w:bCs/>
                <w:sz w:val="24"/>
                <w:szCs w:val="24"/>
              </w:rPr>
            </w:pPr>
          </w:p>
        </w:tc>
      </w:tr>
      <w:tr w:rsidR="00004F12" w:rsidRPr="00513F1F" w14:paraId="54FFB48D" w14:textId="77777777" w:rsidTr="00C33E90">
        <w:trPr>
          <w:trHeight w:hRule="exact" w:val="259"/>
          <w:jc w:val="center"/>
        </w:trPr>
        <w:tc>
          <w:tcPr>
            <w:tcW w:w="3921" w:type="dxa"/>
          </w:tcPr>
          <w:p w14:paraId="5D769997" w14:textId="77777777" w:rsidR="00004F12" w:rsidRPr="00513F1F" w:rsidRDefault="00004F12" w:rsidP="00C33E90">
            <w:pPr>
              <w:rPr>
                <w:rFonts w:ascii="Times New Roman" w:hAnsi="Times New Roman" w:cs="Times New Roman"/>
                <w:sz w:val="24"/>
                <w:szCs w:val="24"/>
              </w:rPr>
            </w:pPr>
            <w:r w:rsidRPr="00513F1F">
              <w:rPr>
                <w:rFonts w:ascii="Times New Roman" w:hAnsi="Times New Roman" w:cs="Times New Roman"/>
                <w:sz w:val="24"/>
                <w:szCs w:val="24"/>
              </w:rPr>
              <w:t>Median</w:t>
            </w:r>
          </w:p>
        </w:tc>
        <w:tc>
          <w:tcPr>
            <w:tcW w:w="1460" w:type="dxa"/>
          </w:tcPr>
          <w:p w14:paraId="29EF1158"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49 (42-56)</w:t>
            </w:r>
          </w:p>
        </w:tc>
        <w:tc>
          <w:tcPr>
            <w:tcW w:w="1460" w:type="dxa"/>
          </w:tcPr>
          <w:p w14:paraId="53792E7D"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49 (42-56)</w:t>
            </w:r>
          </w:p>
        </w:tc>
        <w:tc>
          <w:tcPr>
            <w:tcW w:w="1186" w:type="dxa"/>
          </w:tcPr>
          <w:p w14:paraId="6AF9633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47 (40-56)</w:t>
            </w:r>
          </w:p>
        </w:tc>
        <w:tc>
          <w:tcPr>
            <w:tcW w:w="1297" w:type="dxa"/>
          </w:tcPr>
          <w:p w14:paraId="7C607E89"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50 (41-58)</w:t>
            </w:r>
          </w:p>
        </w:tc>
        <w:tc>
          <w:tcPr>
            <w:tcW w:w="1080" w:type="dxa"/>
          </w:tcPr>
          <w:p w14:paraId="1CE33F4A" w14:textId="77777777" w:rsidR="00004F12" w:rsidRPr="00513F1F" w:rsidRDefault="00004F12" w:rsidP="00C33E90">
            <w:pPr>
              <w:jc w:val="center"/>
              <w:rPr>
                <w:rFonts w:ascii="Times New Roman" w:hAnsi="Times New Roman" w:cs="Times New Roman"/>
                <w:sz w:val="24"/>
                <w:szCs w:val="24"/>
              </w:rPr>
            </w:pPr>
            <w:r w:rsidRPr="00513F1F">
              <w:rPr>
                <w:rFonts w:ascii="Times New Roman" w:hAnsi="Times New Roman" w:cs="Times New Roman"/>
                <w:sz w:val="24"/>
                <w:szCs w:val="24"/>
              </w:rPr>
              <w:t>—</w:t>
            </w:r>
          </w:p>
        </w:tc>
      </w:tr>
    </w:tbl>
    <w:p w14:paraId="70BE67AD" w14:textId="77777777" w:rsidR="00004F12" w:rsidRPr="00513F1F" w:rsidRDefault="00004F12" w:rsidP="00004F12">
      <w:pPr>
        <w:spacing w:line="240" w:lineRule="auto"/>
        <w:rPr>
          <w:rFonts w:ascii="Times New Roman" w:eastAsia="Times New Roman" w:hAnsi="Times New Roman" w:cs="Times New Roman"/>
        </w:rPr>
      </w:pPr>
    </w:p>
    <w:p w14:paraId="539C4B9C" w14:textId="77777777" w:rsidR="00004F12" w:rsidRPr="00513F1F" w:rsidRDefault="00004F12" w:rsidP="00004F12">
      <w:pPr>
        <w:spacing w:line="240" w:lineRule="auto"/>
        <w:rPr>
          <w:rFonts w:ascii="Times New Roman" w:eastAsia="Times New Roman" w:hAnsi="Times New Roman" w:cs="Times New Roman"/>
        </w:rPr>
      </w:pPr>
    </w:p>
    <w:p w14:paraId="2E0D91F0" w14:textId="77777777" w:rsidR="00004F12" w:rsidRPr="00513F1F" w:rsidRDefault="00004F12" w:rsidP="00004F12">
      <w:pPr>
        <w:spacing w:line="240" w:lineRule="auto"/>
        <w:rPr>
          <w:rFonts w:ascii="Times New Roman" w:eastAsia="Times New Roman" w:hAnsi="Times New Roman" w:cs="Times New Roman"/>
          <w:lang w:val="en-US"/>
        </w:rPr>
      </w:pPr>
      <w:r w:rsidRPr="00513F1F">
        <w:rPr>
          <w:rFonts w:ascii="Times New Roman" w:eastAsia="Times New Roman" w:hAnsi="Times New Roman" w:cs="Times New Roman"/>
          <w:lang w:val="en-US"/>
        </w:rPr>
        <w:t xml:space="preserve">The split is stratified on regimen × subtype so the held-out test set is treatment-arm-diverse (immunochemotherapy 5/42 vs 1/42 in the inherited baseline split). Treatment arm confounds with molecular subtype by trial design (the immunochemotherapy arm is entirely HER2-negative). </w:t>
      </w:r>
    </w:p>
    <w:p w14:paraId="59A47E1A" w14:textId="77777777" w:rsidR="00004F12" w:rsidRPr="00513F1F" w:rsidRDefault="00004F12" w:rsidP="00004F12">
      <w:pPr>
        <w:spacing w:after="80" w:line="240" w:lineRule="auto"/>
        <w:rPr>
          <w:rFonts w:ascii="Times New Roman" w:hAnsi="Times New Roman" w:cs="Times New Roman"/>
        </w:rPr>
      </w:pPr>
      <w:r w:rsidRPr="00513F1F">
        <w:rPr>
          <w:rFonts w:ascii="Times New Roman" w:eastAsia="Times New Roman" w:hAnsi="Times New Roman" w:cs="Times New Roman"/>
          <w:b/>
          <w:bCs/>
        </w:rPr>
        <w:br w:type="page"/>
      </w:r>
    </w:p>
    <w:p w14:paraId="16868417" w14:textId="77777777" w:rsidR="00004F12" w:rsidRPr="00513F1F" w:rsidRDefault="00004F12" w:rsidP="00004F12">
      <w:pPr>
        <w:spacing w:after="80" w:line="240" w:lineRule="auto"/>
        <w:rPr>
          <w:rFonts w:ascii="Times New Roman" w:hAnsi="Times New Roman" w:cs="Times New Roman"/>
        </w:rPr>
      </w:pPr>
      <w:r w:rsidRPr="00513F1F">
        <w:rPr>
          <w:rFonts w:ascii="Times New Roman" w:hAnsi="Times New Roman" w:cs="Times New Roman"/>
          <w:b/>
        </w:rPr>
        <w:lastRenderedPageBreak/>
        <w:t>Supplementary Table 2. I-SPY1 / ACRIN-6657 external validation cohort characteristics.</w:t>
      </w:r>
    </w:p>
    <w:p w14:paraId="41861543" w14:textId="77777777" w:rsidR="00004F12" w:rsidRPr="00513F1F" w:rsidRDefault="00004F12" w:rsidP="00004F12">
      <w:pPr>
        <w:spacing w:after="120" w:line="240" w:lineRule="auto"/>
        <w:rPr>
          <w:rFonts w:ascii="Times New Roman" w:hAnsi="Times New Roman" w:cs="Times New Roman"/>
          <w:lang w:val="en-US"/>
        </w:rPr>
      </w:pPr>
      <w:r w:rsidRPr="00513F1F">
        <w:rPr>
          <w:rFonts w:ascii="Times New Roman" w:hAnsi="Times New Roman" w:cs="Times New Roman"/>
          <w:lang w:val="en-US"/>
        </w:rPr>
        <w:t xml:space="preserve">Characteristics of the independent external validation cohort. The model was applied unchanged after I-SPY2 development. Analytic subsets differ by the variables each analysis required. For comparison, the I-SPY2 development cohort had a 30.3% </w:t>
      </w:r>
      <w:proofErr w:type="spellStart"/>
      <w:r w:rsidRPr="00513F1F">
        <w:rPr>
          <w:rFonts w:ascii="Times New Roman" w:hAnsi="Times New Roman" w:cs="Times New Roman"/>
          <w:lang w:val="en-US"/>
        </w:rPr>
        <w:t>pCR</w:t>
      </w:r>
      <w:proofErr w:type="spellEnd"/>
      <w:r w:rsidRPr="00513F1F">
        <w:rPr>
          <w:rFonts w:ascii="Times New Roman" w:hAnsi="Times New Roman" w:cs="Times New Roman"/>
          <w:lang w:val="en-US"/>
        </w:rPr>
        <w:t xml:space="preserve"> rate (228/753) with 41% HR+/HER2−, 15% HR+/HER2+, 7% HR−/HER2+, and 36% triple-negative disease. T0, baseline; T1, early treatment; </w:t>
      </w:r>
      <w:proofErr w:type="spellStart"/>
      <w:r w:rsidRPr="00513F1F">
        <w:rPr>
          <w:rFonts w:ascii="Times New Roman" w:hAnsi="Times New Roman" w:cs="Times New Roman"/>
          <w:lang w:val="en-US"/>
        </w:rPr>
        <w:t>pCR</w:t>
      </w:r>
      <w:proofErr w:type="spellEnd"/>
      <w:r w:rsidRPr="00513F1F">
        <w:rPr>
          <w:rFonts w:ascii="Times New Roman" w:hAnsi="Times New Roman" w:cs="Times New Roman"/>
          <w:lang w:val="en-US"/>
        </w:rPr>
        <w:t>, pathologic complete response; QC, quality control.</w:t>
      </w:r>
    </w:p>
    <w:p w14:paraId="4FEA79F0" w14:textId="77777777" w:rsidR="00004F12" w:rsidRPr="00513F1F" w:rsidRDefault="00004F12" w:rsidP="00004F12">
      <w:pPr>
        <w:spacing w:after="120" w:line="240" w:lineRule="auto"/>
        <w:rPr>
          <w:rFonts w:ascii="Times New Roman" w:hAnsi="Times New Roman" w:cs="Times New Roman"/>
          <w:lang w:val="en-US"/>
        </w:rPr>
      </w:pPr>
    </w:p>
    <w:tbl>
      <w:tblPr>
        <w:tblW w:w="600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20" w:firstRow="1" w:lastRow="0" w:firstColumn="0" w:lastColumn="0" w:noHBand="0" w:noVBand="1"/>
      </w:tblPr>
      <w:tblGrid>
        <w:gridCol w:w="3400"/>
        <w:gridCol w:w="2600"/>
      </w:tblGrid>
      <w:tr w:rsidR="00004F12" w:rsidRPr="00513F1F" w14:paraId="1C00C729" w14:textId="77777777" w:rsidTr="00C33E90">
        <w:tc>
          <w:tcPr>
            <w:tcW w:w="3400" w:type="dxa"/>
            <w:shd w:val="clear" w:color="auto" w:fill="E7ECF2"/>
            <w:vAlign w:val="center"/>
          </w:tcPr>
          <w:p w14:paraId="7154DAC7"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Characteristic</w:t>
            </w:r>
          </w:p>
        </w:tc>
        <w:tc>
          <w:tcPr>
            <w:tcW w:w="2600" w:type="dxa"/>
            <w:shd w:val="clear" w:color="auto" w:fill="E7ECF2"/>
            <w:vAlign w:val="center"/>
          </w:tcPr>
          <w:p w14:paraId="5F5A0864"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I-SPY1 / ACRIN-6657 (external)</w:t>
            </w:r>
          </w:p>
        </w:tc>
      </w:tr>
      <w:tr w:rsidR="00004F12" w:rsidRPr="00513F1F" w14:paraId="43F922C6" w14:textId="77777777" w:rsidTr="00C33E90">
        <w:tc>
          <w:tcPr>
            <w:tcW w:w="3400" w:type="dxa"/>
            <w:vAlign w:val="center"/>
          </w:tcPr>
          <w:p w14:paraId="64E539C6"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Subjects, paired T0 + T1, QC-passed</w:t>
            </w:r>
          </w:p>
        </w:tc>
        <w:tc>
          <w:tcPr>
            <w:tcW w:w="2600" w:type="dxa"/>
            <w:vAlign w:val="center"/>
          </w:tcPr>
          <w:p w14:paraId="48E63E84"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115</w:t>
            </w:r>
          </w:p>
        </w:tc>
      </w:tr>
      <w:tr w:rsidR="00004F12" w:rsidRPr="00513F1F" w14:paraId="71DCF395" w14:textId="77777777" w:rsidTr="00C33E90">
        <w:tc>
          <w:tcPr>
            <w:tcW w:w="6000" w:type="dxa"/>
            <w:gridSpan w:val="2"/>
            <w:shd w:val="clear" w:color="auto" w:fill="F2F2F2" w:themeFill="background1" w:themeFillShade="F2"/>
            <w:vAlign w:val="center"/>
          </w:tcPr>
          <w:p w14:paraId="47B7D115"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Molecular subtype — no. (%)</w:t>
            </w:r>
          </w:p>
        </w:tc>
      </w:tr>
      <w:tr w:rsidR="00004F12" w:rsidRPr="00513F1F" w14:paraId="68783D13" w14:textId="77777777" w:rsidTr="00C33E90">
        <w:tc>
          <w:tcPr>
            <w:tcW w:w="3400" w:type="dxa"/>
            <w:vAlign w:val="center"/>
          </w:tcPr>
          <w:p w14:paraId="44799CFB"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HR+/HER2−</w:t>
            </w:r>
          </w:p>
        </w:tc>
        <w:tc>
          <w:tcPr>
            <w:tcW w:w="2600" w:type="dxa"/>
            <w:vAlign w:val="center"/>
          </w:tcPr>
          <w:p w14:paraId="08881AC9"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47 (41%)</w:t>
            </w:r>
          </w:p>
        </w:tc>
      </w:tr>
      <w:tr w:rsidR="00004F12" w:rsidRPr="00513F1F" w14:paraId="7833C601" w14:textId="77777777" w:rsidTr="00C33E90">
        <w:tc>
          <w:tcPr>
            <w:tcW w:w="3400" w:type="dxa"/>
            <w:vAlign w:val="center"/>
          </w:tcPr>
          <w:p w14:paraId="67CBFA9C"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HR+/HER2+</w:t>
            </w:r>
          </w:p>
        </w:tc>
        <w:tc>
          <w:tcPr>
            <w:tcW w:w="2600" w:type="dxa"/>
            <w:vAlign w:val="center"/>
          </w:tcPr>
          <w:p w14:paraId="175A246A"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15 (13%)</w:t>
            </w:r>
          </w:p>
        </w:tc>
      </w:tr>
      <w:tr w:rsidR="00004F12" w:rsidRPr="00513F1F" w14:paraId="482D996E" w14:textId="77777777" w:rsidTr="00C33E90">
        <w:tc>
          <w:tcPr>
            <w:tcW w:w="3400" w:type="dxa"/>
            <w:vAlign w:val="center"/>
          </w:tcPr>
          <w:p w14:paraId="754009D9"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HR−/HER2+</w:t>
            </w:r>
          </w:p>
        </w:tc>
        <w:tc>
          <w:tcPr>
            <w:tcW w:w="2600" w:type="dxa"/>
            <w:vAlign w:val="center"/>
          </w:tcPr>
          <w:p w14:paraId="34C6C2D8"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20 (17%)</w:t>
            </w:r>
          </w:p>
        </w:tc>
      </w:tr>
      <w:tr w:rsidR="00004F12" w:rsidRPr="00513F1F" w14:paraId="56846BD3" w14:textId="77777777" w:rsidTr="00C33E90">
        <w:tc>
          <w:tcPr>
            <w:tcW w:w="3400" w:type="dxa"/>
            <w:vAlign w:val="center"/>
          </w:tcPr>
          <w:p w14:paraId="1863FD4F"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Triple-negative</w:t>
            </w:r>
          </w:p>
        </w:tc>
        <w:tc>
          <w:tcPr>
            <w:tcW w:w="2600" w:type="dxa"/>
            <w:vAlign w:val="center"/>
          </w:tcPr>
          <w:p w14:paraId="4EF98C33"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29 (25%)</w:t>
            </w:r>
          </w:p>
        </w:tc>
      </w:tr>
      <w:tr w:rsidR="00004F12" w:rsidRPr="00513F1F" w14:paraId="514B6EAE" w14:textId="77777777" w:rsidTr="00C33E90">
        <w:tc>
          <w:tcPr>
            <w:tcW w:w="3400" w:type="dxa"/>
            <w:vAlign w:val="center"/>
          </w:tcPr>
          <w:p w14:paraId="31295BB0"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Unknown</w:t>
            </w:r>
          </w:p>
        </w:tc>
        <w:tc>
          <w:tcPr>
            <w:tcW w:w="2600" w:type="dxa"/>
            <w:vAlign w:val="center"/>
          </w:tcPr>
          <w:p w14:paraId="1AAF4735"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4 (3%)</w:t>
            </w:r>
          </w:p>
        </w:tc>
      </w:tr>
      <w:tr w:rsidR="00004F12" w:rsidRPr="00513F1F" w14:paraId="57378B3A" w14:textId="77777777" w:rsidTr="00C33E90">
        <w:tc>
          <w:tcPr>
            <w:tcW w:w="6000" w:type="dxa"/>
            <w:gridSpan w:val="2"/>
            <w:shd w:val="clear" w:color="auto" w:fill="F2F2F2" w:themeFill="background1" w:themeFillShade="F2"/>
            <w:vAlign w:val="center"/>
          </w:tcPr>
          <w:p w14:paraId="55E1EC6A"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Age group — no. (%)</w:t>
            </w:r>
          </w:p>
        </w:tc>
      </w:tr>
      <w:tr w:rsidR="00004F12" w:rsidRPr="00513F1F" w14:paraId="7CC2106F" w14:textId="77777777" w:rsidTr="00C33E90">
        <w:tc>
          <w:tcPr>
            <w:tcW w:w="3400" w:type="dxa"/>
            <w:vAlign w:val="center"/>
          </w:tcPr>
          <w:p w14:paraId="08E51F6B"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&lt; 45 y</w:t>
            </w:r>
          </w:p>
        </w:tc>
        <w:tc>
          <w:tcPr>
            <w:tcW w:w="2600" w:type="dxa"/>
            <w:vAlign w:val="center"/>
          </w:tcPr>
          <w:p w14:paraId="58F2FC33"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50 (43%)</w:t>
            </w:r>
          </w:p>
        </w:tc>
      </w:tr>
      <w:tr w:rsidR="00004F12" w:rsidRPr="00513F1F" w14:paraId="5CB31FBB" w14:textId="77777777" w:rsidTr="00C33E90">
        <w:tc>
          <w:tcPr>
            <w:tcW w:w="3400" w:type="dxa"/>
            <w:vAlign w:val="center"/>
          </w:tcPr>
          <w:p w14:paraId="3BFD5F5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45–60 y</w:t>
            </w:r>
          </w:p>
        </w:tc>
        <w:tc>
          <w:tcPr>
            <w:tcW w:w="2600" w:type="dxa"/>
            <w:vAlign w:val="center"/>
          </w:tcPr>
          <w:p w14:paraId="023F97E7"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53 (46%)</w:t>
            </w:r>
          </w:p>
        </w:tc>
      </w:tr>
      <w:tr w:rsidR="00004F12" w:rsidRPr="00513F1F" w14:paraId="49AC879A" w14:textId="77777777" w:rsidTr="00C33E90">
        <w:tc>
          <w:tcPr>
            <w:tcW w:w="3400" w:type="dxa"/>
            <w:vAlign w:val="center"/>
          </w:tcPr>
          <w:p w14:paraId="5ED5263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&gt; 60 y</w:t>
            </w:r>
          </w:p>
        </w:tc>
        <w:tc>
          <w:tcPr>
            <w:tcW w:w="2600" w:type="dxa"/>
            <w:vAlign w:val="center"/>
          </w:tcPr>
          <w:p w14:paraId="322828A8"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11 (10%)</w:t>
            </w:r>
          </w:p>
        </w:tc>
      </w:tr>
      <w:tr w:rsidR="00004F12" w:rsidRPr="00513F1F" w14:paraId="0C0CDA4A" w14:textId="77777777" w:rsidTr="00C33E90">
        <w:tc>
          <w:tcPr>
            <w:tcW w:w="3400" w:type="dxa"/>
            <w:vAlign w:val="center"/>
          </w:tcPr>
          <w:p w14:paraId="7ADAFF3A"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Unknown</w:t>
            </w:r>
          </w:p>
        </w:tc>
        <w:tc>
          <w:tcPr>
            <w:tcW w:w="2600" w:type="dxa"/>
            <w:vAlign w:val="center"/>
          </w:tcPr>
          <w:p w14:paraId="3E7E3D92"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 (1%)</w:t>
            </w:r>
          </w:p>
        </w:tc>
      </w:tr>
      <w:tr w:rsidR="00004F12" w:rsidRPr="00513F1F" w14:paraId="16DAA388" w14:textId="77777777" w:rsidTr="00C33E90">
        <w:tc>
          <w:tcPr>
            <w:tcW w:w="6000" w:type="dxa"/>
            <w:gridSpan w:val="2"/>
            <w:shd w:val="clear" w:color="auto" w:fill="F2F2F2" w:themeFill="background1" w:themeFillShade="F2"/>
            <w:vAlign w:val="center"/>
          </w:tcPr>
          <w:p w14:paraId="641F10F6"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Pathologic complete response (of 110 with outcome)</w:t>
            </w:r>
          </w:p>
        </w:tc>
      </w:tr>
      <w:tr w:rsidR="00004F12" w:rsidRPr="00513F1F" w14:paraId="4D70B448" w14:textId="77777777" w:rsidTr="00C33E90">
        <w:tc>
          <w:tcPr>
            <w:tcW w:w="3400" w:type="dxa"/>
            <w:vAlign w:val="center"/>
          </w:tcPr>
          <w:p w14:paraId="5CC05D0A"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 xml:space="preserve">  </w:t>
            </w:r>
            <w:proofErr w:type="spellStart"/>
            <w:r w:rsidRPr="00513F1F">
              <w:rPr>
                <w:rFonts w:ascii="Times New Roman" w:hAnsi="Times New Roman" w:cs="Times New Roman"/>
                <w:lang w:val="en-US"/>
              </w:rPr>
              <w:t>pCR</w:t>
            </w:r>
            <w:proofErr w:type="spellEnd"/>
            <w:r w:rsidRPr="00513F1F">
              <w:rPr>
                <w:rFonts w:ascii="Times New Roman" w:hAnsi="Times New Roman" w:cs="Times New Roman"/>
                <w:lang w:val="en-US"/>
              </w:rPr>
              <w:t xml:space="preserve"> — no. (%)</w:t>
            </w:r>
          </w:p>
        </w:tc>
        <w:tc>
          <w:tcPr>
            <w:tcW w:w="2600" w:type="dxa"/>
            <w:vAlign w:val="center"/>
          </w:tcPr>
          <w:p w14:paraId="5ABE3128"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36 (32.7%)</w:t>
            </w:r>
          </w:p>
        </w:tc>
      </w:tr>
      <w:tr w:rsidR="00004F12" w:rsidRPr="00513F1F" w14:paraId="2C3206CF" w14:textId="77777777" w:rsidTr="00C33E90">
        <w:tc>
          <w:tcPr>
            <w:tcW w:w="3400" w:type="dxa"/>
            <w:vAlign w:val="center"/>
          </w:tcPr>
          <w:p w14:paraId="77C10572"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HR+/HER2−</w:t>
            </w:r>
          </w:p>
        </w:tc>
        <w:tc>
          <w:tcPr>
            <w:tcW w:w="2600" w:type="dxa"/>
            <w:vAlign w:val="center"/>
          </w:tcPr>
          <w:p w14:paraId="42FAD7B5"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7/44 (16%)</w:t>
            </w:r>
          </w:p>
        </w:tc>
      </w:tr>
      <w:tr w:rsidR="00004F12" w:rsidRPr="00513F1F" w14:paraId="0DACBD43" w14:textId="77777777" w:rsidTr="00C33E90">
        <w:tc>
          <w:tcPr>
            <w:tcW w:w="3400" w:type="dxa"/>
            <w:vAlign w:val="center"/>
          </w:tcPr>
          <w:p w14:paraId="163BF4B0"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HR+/HER2+</w:t>
            </w:r>
          </w:p>
        </w:tc>
        <w:tc>
          <w:tcPr>
            <w:tcW w:w="2600" w:type="dxa"/>
            <w:vAlign w:val="center"/>
          </w:tcPr>
          <w:p w14:paraId="1526D457"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6/15 (40%)</w:t>
            </w:r>
          </w:p>
        </w:tc>
      </w:tr>
      <w:tr w:rsidR="00004F12" w:rsidRPr="00513F1F" w14:paraId="09806EAC" w14:textId="77777777" w:rsidTr="00C33E90">
        <w:tc>
          <w:tcPr>
            <w:tcW w:w="3400" w:type="dxa"/>
            <w:vAlign w:val="center"/>
          </w:tcPr>
          <w:p w14:paraId="36E57AE6"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HR−/HER2+</w:t>
            </w:r>
          </w:p>
        </w:tc>
        <w:tc>
          <w:tcPr>
            <w:tcW w:w="2600" w:type="dxa"/>
            <w:vAlign w:val="center"/>
          </w:tcPr>
          <w:p w14:paraId="1CA88EF1"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10/20 (50%)</w:t>
            </w:r>
          </w:p>
        </w:tc>
      </w:tr>
      <w:tr w:rsidR="00004F12" w:rsidRPr="00513F1F" w14:paraId="6559AB6B" w14:textId="77777777" w:rsidTr="00C33E90">
        <w:tc>
          <w:tcPr>
            <w:tcW w:w="3400" w:type="dxa"/>
            <w:vAlign w:val="center"/>
          </w:tcPr>
          <w:p w14:paraId="1F227C07"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Triple-negative</w:t>
            </w:r>
          </w:p>
        </w:tc>
        <w:tc>
          <w:tcPr>
            <w:tcW w:w="2600" w:type="dxa"/>
            <w:vAlign w:val="center"/>
          </w:tcPr>
          <w:p w14:paraId="08FCCD39"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11/28 (39%)</w:t>
            </w:r>
          </w:p>
        </w:tc>
      </w:tr>
      <w:tr w:rsidR="00004F12" w:rsidRPr="00513F1F" w14:paraId="1B6522F2" w14:textId="77777777" w:rsidTr="00C33E90">
        <w:tc>
          <w:tcPr>
            <w:tcW w:w="6000" w:type="dxa"/>
            <w:gridSpan w:val="2"/>
            <w:shd w:val="clear" w:color="auto" w:fill="F2F2F2" w:themeFill="background1" w:themeFillShade="F2"/>
            <w:vAlign w:val="center"/>
          </w:tcPr>
          <w:p w14:paraId="3C120C0D"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Treatment</w:t>
            </w:r>
          </w:p>
        </w:tc>
      </w:tr>
      <w:tr w:rsidR="00004F12" w:rsidRPr="00513F1F" w14:paraId="1E2C0735" w14:textId="77777777" w:rsidTr="00C33E90">
        <w:tc>
          <w:tcPr>
            <w:tcW w:w="3400" w:type="dxa"/>
            <w:vAlign w:val="center"/>
          </w:tcPr>
          <w:p w14:paraId="11FA57B0"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Regimen</w:t>
            </w:r>
          </w:p>
        </w:tc>
        <w:tc>
          <w:tcPr>
            <w:tcW w:w="2600" w:type="dxa"/>
            <w:vAlign w:val="center"/>
          </w:tcPr>
          <w:p w14:paraId="4C02B023"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single standard anthracycline–taxane (no randomized arm)</w:t>
            </w:r>
          </w:p>
        </w:tc>
      </w:tr>
      <w:tr w:rsidR="00004F12" w:rsidRPr="00513F1F" w14:paraId="6FB6A855" w14:textId="77777777" w:rsidTr="00C33E90">
        <w:tc>
          <w:tcPr>
            <w:tcW w:w="6000" w:type="dxa"/>
            <w:gridSpan w:val="2"/>
            <w:shd w:val="clear" w:color="auto" w:fill="F2F2F2" w:themeFill="background1" w:themeFillShade="F2"/>
            <w:vAlign w:val="center"/>
          </w:tcPr>
          <w:p w14:paraId="1A1D4397"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Analytic subsets</w:t>
            </w:r>
          </w:p>
        </w:tc>
      </w:tr>
      <w:tr w:rsidR="00004F12" w:rsidRPr="00513F1F" w14:paraId="69C133E4" w14:textId="77777777" w:rsidTr="00C33E90">
        <w:tc>
          <w:tcPr>
            <w:tcW w:w="3400" w:type="dxa"/>
            <w:vAlign w:val="center"/>
          </w:tcPr>
          <w:p w14:paraId="4D64B2B9"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Concept fidelity</w:t>
            </w:r>
          </w:p>
        </w:tc>
        <w:tc>
          <w:tcPr>
            <w:tcW w:w="2600" w:type="dxa"/>
            <w:vAlign w:val="center"/>
          </w:tcPr>
          <w:p w14:paraId="2B294823"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115</w:t>
            </w:r>
          </w:p>
        </w:tc>
      </w:tr>
      <w:tr w:rsidR="00004F12" w:rsidRPr="00513F1F" w14:paraId="110B7C1C" w14:textId="77777777" w:rsidTr="00C33E90">
        <w:tc>
          <w:tcPr>
            <w:tcW w:w="3400" w:type="dxa"/>
            <w:vAlign w:val="center"/>
          </w:tcPr>
          <w:p w14:paraId="33F08F1D"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7B language-readout evaluation</w:t>
            </w:r>
          </w:p>
        </w:tc>
        <w:tc>
          <w:tcPr>
            <w:tcW w:w="2600" w:type="dxa"/>
            <w:vAlign w:val="center"/>
          </w:tcPr>
          <w:p w14:paraId="2EAF2AD8"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110</w:t>
            </w:r>
          </w:p>
        </w:tc>
      </w:tr>
      <w:tr w:rsidR="00004F12" w:rsidRPr="00513F1F" w14:paraId="7538DC02" w14:textId="77777777" w:rsidTr="00C33E90">
        <w:tc>
          <w:tcPr>
            <w:tcW w:w="3400" w:type="dxa"/>
            <w:vAlign w:val="center"/>
          </w:tcPr>
          <w:p w14:paraId="00A4F745"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xml:space="preserve">  Concept-and-clinical / subtype-stratified</w:t>
            </w:r>
          </w:p>
        </w:tc>
        <w:tc>
          <w:tcPr>
            <w:tcW w:w="2600" w:type="dxa"/>
            <w:vAlign w:val="center"/>
          </w:tcPr>
          <w:p w14:paraId="53AED547"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rPr>
              <w:t>107</w:t>
            </w:r>
          </w:p>
        </w:tc>
      </w:tr>
    </w:tbl>
    <w:p w14:paraId="215D2E84" w14:textId="77777777" w:rsidR="00004F12" w:rsidRPr="00513F1F" w:rsidRDefault="00004F12" w:rsidP="00004F12">
      <w:pPr>
        <w:spacing w:line="240" w:lineRule="auto"/>
        <w:rPr>
          <w:rFonts w:ascii="Times New Roman" w:eastAsia="Times New Roman" w:hAnsi="Times New Roman" w:cs="Times New Roman"/>
          <w:b/>
          <w:bCs/>
        </w:rPr>
      </w:pPr>
    </w:p>
    <w:p w14:paraId="0ECE461D" w14:textId="77777777" w:rsidR="00004F12" w:rsidRPr="00513F1F" w:rsidRDefault="00004F12" w:rsidP="00004F12">
      <w:pPr>
        <w:spacing w:after="80" w:line="240" w:lineRule="auto"/>
        <w:rPr>
          <w:rFonts w:ascii="Times New Roman" w:hAnsi="Times New Roman" w:cs="Times New Roman"/>
          <w:b/>
        </w:rPr>
      </w:pPr>
    </w:p>
    <w:p w14:paraId="1A6476F1" w14:textId="77777777" w:rsidR="00004F12" w:rsidRPr="00513F1F" w:rsidRDefault="00004F12" w:rsidP="00004F12">
      <w:pPr>
        <w:rPr>
          <w:rFonts w:ascii="Times New Roman" w:hAnsi="Times New Roman" w:cs="Times New Roman"/>
          <w:b/>
        </w:rPr>
      </w:pPr>
      <w:r w:rsidRPr="00513F1F">
        <w:rPr>
          <w:rFonts w:ascii="Times New Roman" w:hAnsi="Times New Roman" w:cs="Times New Roman"/>
          <w:b/>
        </w:rPr>
        <w:br w:type="page"/>
      </w:r>
    </w:p>
    <w:p w14:paraId="1B33BC11" w14:textId="77777777" w:rsidR="00004F12" w:rsidRPr="00513F1F" w:rsidRDefault="00004F12" w:rsidP="00004F12">
      <w:pPr>
        <w:spacing w:after="80" w:line="240" w:lineRule="auto"/>
        <w:rPr>
          <w:rFonts w:ascii="Times New Roman" w:hAnsi="Times New Roman" w:cs="Times New Roman"/>
        </w:rPr>
      </w:pPr>
      <w:r w:rsidRPr="00513F1F">
        <w:rPr>
          <w:rFonts w:ascii="Times New Roman" w:hAnsi="Times New Roman" w:cs="Times New Roman"/>
          <w:b/>
        </w:rPr>
        <w:lastRenderedPageBreak/>
        <w:t>Supplementary Table 3. Operational definitions of the eleven imaging concepts.</w:t>
      </w:r>
    </w:p>
    <w:p w14:paraId="2AC29AB7" w14:textId="77777777" w:rsidR="00004F12" w:rsidRPr="00513F1F" w:rsidRDefault="00004F12" w:rsidP="00004F12">
      <w:pPr>
        <w:spacing w:after="120" w:line="240" w:lineRule="auto"/>
        <w:rPr>
          <w:rFonts w:ascii="Times New Roman" w:hAnsi="Times New Roman" w:cs="Times New Roman"/>
          <w:iCs/>
          <w:lang w:val="en-US"/>
        </w:rPr>
      </w:pPr>
      <w:r w:rsidRPr="00513F1F">
        <w:rPr>
          <w:rFonts w:ascii="Times New Roman" w:hAnsi="Times New Roman" w:cs="Times New Roman"/>
          <w:iCs/>
          <w:lang w:val="en-US"/>
        </w:rPr>
        <w:t xml:space="preserve">For each concept, the table lists the operational definition, the variable type, the feature or rule used to compute the reference value, and, for categorical concepts, the cut point. Categorical thresholds were calibrated on the I-SPY2 training set (derivation n = 982) and held fixed for all subsequent </w:t>
      </w:r>
      <w:proofErr w:type="gramStart"/>
      <w:r w:rsidRPr="00513F1F">
        <w:rPr>
          <w:rFonts w:ascii="Times New Roman" w:hAnsi="Times New Roman" w:cs="Times New Roman"/>
          <w:iCs/>
          <w:lang w:val="en-US"/>
        </w:rPr>
        <w:t>evaluation</w:t>
      </w:r>
      <w:proofErr w:type="gramEnd"/>
      <w:r w:rsidRPr="00513F1F">
        <w:rPr>
          <w:rFonts w:ascii="Times New Roman" w:hAnsi="Times New Roman" w:cs="Times New Roman"/>
          <w:iCs/>
          <w:lang w:val="en-US"/>
        </w:rPr>
        <w:t>, including the external cohort. FTV, functional tumor volume; IBSI, Image Biomarker Standardization Initiative; NME, non-mass enhancement; BPE, background parenchymal enhancement; SI, signal intensity; T0, baseline; T1, early treatment.</w:t>
      </w:r>
    </w:p>
    <w:p w14:paraId="06B61D59" w14:textId="77777777" w:rsidR="00004F12" w:rsidRPr="00513F1F" w:rsidRDefault="00004F12" w:rsidP="00004F12">
      <w:pPr>
        <w:spacing w:after="120" w:line="240" w:lineRule="auto"/>
        <w:rPr>
          <w:rFonts w:ascii="Times New Roman" w:hAnsi="Times New Roman" w:cs="Times New Roman"/>
          <w:lang w:val="en-US"/>
        </w:rPr>
      </w:pPr>
    </w:p>
    <w:tbl>
      <w:tblPr>
        <w:tblW w:w="1087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20" w:firstRow="1" w:lastRow="0" w:firstColumn="0" w:lastColumn="0" w:noHBand="0" w:noVBand="1"/>
      </w:tblPr>
      <w:tblGrid>
        <w:gridCol w:w="1380"/>
        <w:gridCol w:w="1393"/>
        <w:gridCol w:w="1127"/>
        <w:gridCol w:w="4455"/>
        <w:gridCol w:w="2520"/>
      </w:tblGrid>
      <w:tr w:rsidR="00004F12" w:rsidRPr="00513F1F" w14:paraId="66CFD098" w14:textId="77777777" w:rsidTr="00C33E90">
        <w:tc>
          <w:tcPr>
            <w:tcW w:w="1380" w:type="dxa"/>
            <w:shd w:val="clear" w:color="auto" w:fill="E7ECF2"/>
            <w:vAlign w:val="center"/>
          </w:tcPr>
          <w:p w14:paraId="1390A205"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Concept</w:t>
            </w:r>
          </w:p>
        </w:tc>
        <w:tc>
          <w:tcPr>
            <w:tcW w:w="1393" w:type="dxa"/>
            <w:shd w:val="clear" w:color="auto" w:fill="E7ECF2"/>
            <w:vAlign w:val="center"/>
          </w:tcPr>
          <w:p w14:paraId="2EA4669F"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Operational definition</w:t>
            </w:r>
          </w:p>
        </w:tc>
        <w:tc>
          <w:tcPr>
            <w:tcW w:w="1127" w:type="dxa"/>
            <w:shd w:val="clear" w:color="auto" w:fill="E7ECF2"/>
            <w:vAlign w:val="center"/>
          </w:tcPr>
          <w:p w14:paraId="74019C34"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Variable type</w:t>
            </w:r>
          </w:p>
        </w:tc>
        <w:tc>
          <w:tcPr>
            <w:tcW w:w="4455" w:type="dxa"/>
            <w:shd w:val="clear" w:color="auto" w:fill="E7ECF2"/>
            <w:vAlign w:val="center"/>
          </w:tcPr>
          <w:p w14:paraId="7CD26ACD"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Feature / rule for reference value</w:t>
            </w:r>
          </w:p>
        </w:tc>
        <w:tc>
          <w:tcPr>
            <w:tcW w:w="2520" w:type="dxa"/>
            <w:shd w:val="clear" w:color="auto" w:fill="E7ECF2"/>
            <w:vAlign w:val="center"/>
          </w:tcPr>
          <w:p w14:paraId="2F583AAD" w14:textId="77777777" w:rsidR="00004F12" w:rsidRPr="00513F1F" w:rsidRDefault="00004F12" w:rsidP="00C33E90">
            <w:pPr>
              <w:spacing w:after="40" w:line="240" w:lineRule="auto"/>
              <w:jc w:val="center"/>
              <w:rPr>
                <w:rFonts w:ascii="Times New Roman" w:hAnsi="Times New Roman" w:cs="Times New Roman"/>
              </w:rPr>
            </w:pPr>
            <w:r w:rsidRPr="00513F1F">
              <w:rPr>
                <w:rFonts w:ascii="Times New Roman" w:hAnsi="Times New Roman" w:cs="Times New Roman"/>
                <w:b/>
              </w:rPr>
              <w:t xml:space="preserve">Cut </w:t>
            </w:r>
            <w:proofErr w:type="gramStart"/>
            <w:r w:rsidRPr="00513F1F">
              <w:rPr>
                <w:rFonts w:ascii="Times New Roman" w:hAnsi="Times New Roman" w:cs="Times New Roman"/>
                <w:b/>
              </w:rPr>
              <w:t>point</w:t>
            </w:r>
            <w:proofErr w:type="gramEnd"/>
            <w:r w:rsidRPr="00513F1F">
              <w:rPr>
                <w:rFonts w:ascii="Times New Roman" w:hAnsi="Times New Roman" w:cs="Times New Roman"/>
                <w:b/>
              </w:rPr>
              <w:t xml:space="preserve"> (categorical only)</w:t>
            </w:r>
          </w:p>
        </w:tc>
      </w:tr>
      <w:tr w:rsidR="00004F12" w:rsidRPr="00513F1F" w14:paraId="179AF2DF" w14:textId="77777777" w:rsidTr="00C33E90">
        <w:tc>
          <w:tcPr>
            <w:tcW w:w="10875" w:type="dxa"/>
            <w:gridSpan w:val="5"/>
            <w:shd w:val="clear" w:color="auto" w:fill="F2F2F2" w:themeFill="background1" w:themeFillShade="F2"/>
            <w:vAlign w:val="center"/>
          </w:tcPr>
          <w:p w14:paraId="4D823793"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Baseline (T0) tumor morphology concepts</w:t>
            </w:r>
          </w:p>
        </w:tc>
      </w:tr>
      <w:tr w:rsidR="00004F12" w:rsidRPr="00513F1F" w14:paraId="539598F2" w14:textId="77777777" w:rsidTr="00C33E90">
        <w:tc>
          <w:tcPr>
            <w:tcW w:w="1380" w:type="dxa"/>
            <w:vAlign w:val="center"/>
          </w:tcPr>
          <w:p w14:paraId="2E642124"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Functional tumor volume (FTV)</w:t>
            </w:r>
          </w:p>
        </w:tc>
        <w:tc>
          <w:tcPr>
            <w:tcW w:w="1393" w:type="dxa"/>
            <w:vAlign w:val="center"/>
          </w:tcPr>
          <w:p w14:paraId="52582A8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Volume of enhancing tumor at baseline</w:t>
            </w:r>
          </w:p>
        </w:tc>
        <w:tc>
          <w:tcPr>
            <w:tcW w:w="1127" w:type="dxa"/>
            <w:vAlign w:val="center"/>
          </w:tcPr>
          <w:p w14:paraId="1B64960D"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Continuous (cm³)</w:t>
            </w:r>
          </w:p>
        </w:tc>
        <w:tc>
          <w:tcPr>
            <w:tcW w:w="4455" w:type="dxa"/>
            <w:vAlign w:val="center"/>
          </w:tcPr>
          <w:p w14:paraId="7CDD20C0"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 xml:space="preserve">I-SPY functional tumor volume (voxels meeting the trial's early percent-enhancement and signal-enhancement-ratio thresholds) from the vendor feature sheet where available; </w:t>
            </w:r>
            <w:proofErr w:type="gramStart"/>
            <w:r w:rsidRPr="00513F1F">
              <w:rPr>
                <w:rFonts w:ascii="Times New Roman" w:hAnsi="Times New Roman" w:cs="Times New Roman"/>
                <w:lang w:val="en-US"/>
              </w:rPr>
              <w:t>otherwise</w:t>
            </w:r>
            <w:proofErr w:type="gramEnd"/>
            <w:r w:rsidRPr="00513F1F">
              <w:rPr>
                <w:rFonts w:ascii="Times New Roman" w:hAnsi="Times New Roman" w:cs="Times New Roman"/>
                <w:lang w:val="en-US"/>
              </w:rPr>
              <w:t xml:space="preserve"> the IBSI enhancing-tumor volume from the feature engine</w:t>
            </w:r>
          </w:p>
        </w:tc>
        <w:tc>
          <w:tcPr>
            <w:tcW w:w="2520" w:type="dxa"/>
            <w:vAlign w:val="center"/>
          </w:tcPr>
          <w:p w14:paraId="4A3E5026"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w:t>
            </w:r>
          </w:p>
        </w:tc>
      </w:tr>
      <w:tr w:rsidR="00004F12" w:rsidRPr="00513F1F" w14:paraId="6DB345CC" w14:textId="77777777" w:rsidTr="00C33E90">
        <w:tc>
          <w:tcPr>
            <w:tcW w:w="1380" w:type="dxa"/>
            <w:vAlign w:val="center"/>
          </w:tcPr>
          <w:p w14:paraId="2D195F45"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Sphericity</w:t>
            </w:r>
          </w:p>
        </w:tc>
        <w:tc>
          <w:tcPr>
            <w:tcW w:w="1393" w:type="dxa"/>
            <w:vAlign w:val="center"/>
          </w:tcPr>
          <w:p w14:paraId="4168AE5C"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Degree to which the tumor approximates a sphere</w:t>
            </w:r>
          </w:p>
        </w:tc>
        <w:tc>
          <w:tcPr>
            <w:tcW w:w="1127" w:type="dxa"/>
            <w:vAlign w:val="center"/>
          </w:tcPr>
          <w:p w14:paraId="67F5E685"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Continuous (0–1)</w:t>
            </w:r>
          </w:p>
        </w:tc>
        <w:tc>
          <w:tcPr>
            <w:tcW w:w="4455" w:type="dxa"/>
            <w:vAlign w:val="center"/>
          </w:tcPr>
          <w:p w14:paraId="5F997A1F"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IBSI-compliant sphericity of the 3-D lesion (surface area of an equal-volume sphere ÷ lesion surface area); vendor sheet value where available</w:t>
            </w:r>
          </w:p>
        </w:tc>
        <w:tc>
          <w:tcPr>
            <w:tcW w:w="2520" w:type="dxa"/>
            <w:vAlign w:val="center"/>
          </w:tcPr>
          <w:p w14:paraId="1DEED021"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w:t>
            </w:r>
          </w:p>
        </w:tc>
      </w:tr>
      <w:tr w:rsidR="00004F12" w:rsidRPr="00513F1F" w14:paraId="68457268" w14:textId="77777777" w:rsidTr="00C33E90">
        <w:tc>
          <w:tcPr>
            <w:tcW w:w="1380" w:type="dxa"/>
            <w:vAlign w:val="center"/>
          </w:tcPr>
          <w:p w14:paraId="11898BB6"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Shape</w:t>
            </w:r>
          </w:p>
        </w:tc>
        <w:tc>
          <w:tcPr>
            <w:tcW w:w="1393" w:type="dxa"/>
            <w:vAlign w:val="center"/>
          </w:tcPr>
          <w:p w14:paraId="64C18E7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BI-RADS mass shape (round/oval vs irregular)</w:t>
            </w:r>
          </w:p>
        </w:tc>
        <w:tc>
          <w:tcPr>
            <w:tcW w:w="1127" w:type="dxa"/>
            <w:vAlign w:val="center"/>
          </w:tcPr>
          <w:p w14:paraId="70838B20"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Categorical (2-level)</w:t>
            </w:r>
          </w:p>
        </w:tc>
        <w:tc>
          <w:tcPr>
            <w:tcW w:w="4455" w:type="dxa"/>
            <w:vAlign w:val="center"/>
          </w:tcPr>
          <w:p w14:paraId="017D3C4C" w14:textId="77777777" w:rsidR="00004F12" w:rsidRPr="00513F1F" w:rsidRDefault="00004F12" w:rsidP="00C33E90">
            <w:pPr>
              <w:spacing w:after="40" w:line="240" w:lineRule="auto"/>
              <w:rPr>
                <w:rFonts w:ascii="Times New Roman" w:hAnsi="Times New Roman" w:cs="Times New Roman"/>
                <w:lang w:val="en-US"/>
              </w:rPr>
            </w:pPr>
            <w:proofErr w:type="spellStart"/>
            <w:r w:rsidRPr="00513F1F">
              <w:rPr>
                <w:rFonts w:ascii="Times New Roman" w:hAnsi="Times New Roman" w:cs="Times New Roman"/>
                <w:lang w:val="en-US"/>
              </w:rPr>
              <w:t>Thresholded</w:t>
            </w:r>
            <w:proofErr w:type="spellEnd"/>
            <w:r w:rsidRPr="00513F1F">
              <w:rPr>
                <w:rFonts w:ascii="Times New Roman" w:hAnsi="Times New Roman" w:cs="Times New Roman"/>
                <w:lang w:val="en-US"/>
              </w:rPr>
              <w:t xml:space="preserve"> IBSI sphericity</w:t>
            </w:r>
          </w:p>
        </w:tc>
        <w:tc>
          <w:tcPr>
            <w:tcW w:w="2520" w:type="dxa"/>
            <w:vAlign w:val="center"/>
          </w:tcPr>
          <w:p w14:paraId="3C7ED1DA"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sphericity ≥ 0.285 → round/oval; &lt; 0.285 → irregular</w:t>
            </w:r>
          </w:p>
        </w:tc>
      </w:tr>
      <w:tr w:rsidR="00004F12" w:rsidRPr="00513F1F" w14:paraId="5E754F95" w14:textId="77777777" w:rsidTr="00C33E90">
        <w:tc>
          <w:tcPr>
            <w:tcW w:w="1380" w:type="dxa"/>
            <w:vAlign w:val="center"/>
          </w:tcPr>
          <w:p w14:paraId="4B42FFC2"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Margin</w:t>
            </w:r>
          </w:p>
        </w:tc>
        <w:tc>
          <w:tcPr>
            <w:tcW w:w="1393" w:type="dxa"/>
            <w:vAlign w:val="center"/>
          </w:tcPr>
          <w:p w14:paraId="645A989B"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BI-RADS mass margin</w:t>
            </w:r>
          </w:p>
        </w:tc>
        <w:tc>
          <w:tcPr>
            <w:tcW w:w="1127" w:type="dxa"/>
            <w:vAlign w:val="center"/>
          </w:tcPr>
          <w:p w14:paraId="029D5811"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Categorical (3-level)</w:t>
            </w:r>
          </w:p>
        </w:tc>
        <w:tc>
          <w:tcPr>
            <w:tcW w:w="4455" w:type="dxa"/>
            <w:vAlign w:val="center"/>
          </w:tcPr>
          <w:p w14:paraId="69482AE9"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Spiculation index (boundary surface-roughness) from the shape engine</w:t>
            </w:r>
          </w:p>
        </w:tc>
        <w:tc>
          <w:tcPr>
            <w:tcW w:w="2520" w:type="dxa"/>
            <w:vAlign w:val="center"/>
          </w:tcPr>
          <w:p w14:paraId="10A32955"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spiculation ≤ 0.349 → circumscribed; ≥ 0.444 → spiculated; between → irregular</w:t>
            </w:r>
          </w:p>
        </w:tc>
      </w:tr>
      <w:tr w:rsidR="00004F12" w:rsidRPr="00513F1F" w14:paraId="11B141FC" w14:textId="77777777" w:rsidTr="00C33E90">
        <w:tc>
          <w:tcPr>
            <w:tcW w:w="1380" w:type="dxa"/>
            <w:vAlign w:val="center"/>
          </w:tcPr>
          <w:p w14:paraId="557AFFB0"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Mass vs non-mass enhancement (NME)</w:t>
            </w:r>
          </w:p>
        </w:tc>
        <w:tc>
          <w:tcPr>
            <w:tcW w:w="1393" w:type="dxa"/>
            <w:vAlign w:val="center"/>
          </w:tcPr>
          <w:p w14:paraId="6AAFE6BD"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Enhancement morphology per BI-RADS</w:t>
            </w:r>
          </w:p>
        </w:tc>
        <w:tc>
          <w:tcPr>
            <w:tcW w:w="1127" w:type="dxa"/>
            <w:vAlign w:val="center"/>
          </w:tcPr>
          <w:p w14:paraId="7933DEC3"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Categorical (2-level)</w:t>
            </w:r>
          </w:p>
        </w:tc>
        <w:tc>
          <w:tcPr>
            <w:tcW w:w="4455" w:type="dxa"/>
            <w:vAlign w:val="center"/>
          </w:tcPr>
          <w:p w14:paraId="55F5D394"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Lesion solidity combined with the count of significant enhancing components</w:t>
            </w:r>
          </w:p>
        </w:tc>
        <w:tc>
          <w:tcPr>
            <w:tcW w:w="2520" w:type="dxa"/>
            <w:vAlign w:val="center"/>
          </w:tcPr>
          <w:p w14:paraId="52C2AE9B"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 xml:space="preserve">NME if solidity ≤ 0.237 or ≥ 3 significant foci; </w:t>
            </w:r>
            <w:proofErr w:type="gramStart"/>
            <w:r w:rsidRPr="00513F1F">
              <w:rPr>
                <w:rFonts w:ascii="Times New Roman" w:hAnsi="Times New Roman" w:cs="Times New Roman"/>
                <w:lang w:val="en-US"/>
              </w:rPr>
              <w:t>otherwise</w:t>
            </w:r>
            <w:proofErr w:type="gramEnd"/>
            <w:r w:rsidRPr="00513F1F">
              <w:rPr>
                <w:rFonts w:ascii="Times New Roman" w:hAnsi="Times New Roman" w:cs="Times New Roman"/>
                <w:lang w:val="en-US"/>
              </w:rPr>
              <w:t xml:space="preserve"> mass</w:t>
            </w:r>
          </w:p>
        </w:tc>
      </w:tr>
      <w:tr w:rsidR="00004F12" w:rsidRPr="00513F1F" w14:paraId="584A5532" w14:textId="77777777" w:rsidTr="00C33E90">
        <w:tc>
          <w:tcPr>
            <w:tcW w:w="1380" w:type="dxa"/>
            <w:vAlign w:val="center"/>
          </w:tcPr>
          <w:p w14:paraId="583D1392"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Multifocality</w:t>
            </w:r>
          </w:p>
        </w:tc>
        <w:tc>
          <w:tcPr>
            <w:tcW w:w="1393" w:type="dxa"/>
            <w:vAlign w:val="center"/>
          </w:tcPr>
          <w:p w14:paraId="3A24BCA1"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More than one enhancing focus</w:t>
            </w:r>
          </w:p>
        </w:tc>
        <w:tc>
          <w:tcPr>
            <w:tcW w:w="1127" w:type="dxa"/>
            <w:vAlign w:val="center"/>
          </w:tcPr>
          <w:p w14:paraId="2E65383E"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Categorical (2-level)</w:t>
            </w:r>
          </w:p>
        </w:tc>
        <w:tc>
          <w:tcPr>
            <w:tcW w:w="4455" w:type="dxa"/>
            <w:vAlign w:val="center"/>
          </w:tcPr>
          <w:p w14:paraId="7C2B6E7F"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Connected-component count of the tumor mask, counting only components ≥ 10% of the largest (noise filter)</w:t>
            </w:r>
          </w:p>
        </w:tc>
        <w:tc>
          <w:tcPr>
            <w:tcW w:w="2520" w:type="dxa"/>
            <w:vAlign w:val="center"/>
          </w:tcPr>
          <w:p w14:paraId="293B0562"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2 significant components → multifocal; else unifocal</w:t>
            </w:r>
          </w:p>
        </w:tc>
      </w:tr>
      <w:tr w:rsidR="00004F12" w:rsidRPr="00513F1F" w14:paraId="159A2279" w14:textId="77777777" w:rsidTr="00C33E90">
        <w:tc>
          <w:tcPr>
            <w:tcW w:w="1380" w:type="dxa"/>
            <w:vAlign w:val="center"/>
          </w:tcPr>
          <w:p w14:paraId="36B33BC7"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Background parenchymal enhancement (BPE)</w:t>
            </w:r>
          </w:p>
        </w:tc>
        <w:tc>
          <w:tcPr>
            <w:tcW w:w="1393" w:type="dxa"/>
            <w:vAlign w:val="center"/>
          </w:tcPr>
          <w:p w14:paraId="15090841"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Enhancement of non-tumoral fibroglandular tissue</w:t>
            </w:r>
          </w:p>
        </w:tc>
        <w:tc>
          <w:tcPr>
            <w:tcW w:w="1127" w:type="dxa"/>
            <w:vAlign w:val="center"/>
          </w:tcPr>
          <w:p w14:paraId="168E599E"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Categorical (2-level)</w:t>
            </w:r>
          </w:p>
        </w:tc>
        <w:tc>
          <w:tcPr>
            <w:tcW w:w="4455" w:type="dxa"/>
            <w:vAlign w:val="center"/>
          </w:tcPr>
          <w:p w14:paraId="6E10B81F"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Median early percent enhancement, (</w:t>
            </w:r>
            <w:proofErr w:type="spellStart"/>
            <w:r w:rsidRPr="00513F1F">
              <w:rPr>
                <w:rFonts w:ascii="Times New Roman" w:hAnsi="Times New Roman" w:cs="Times New Roman"/>
                <w:lang w:val="en-US"/>
              </w:rPr>
              <w:t>SI_early</w:t>
            </w:r>
            <w:proofErr w:type="spellEnd"/>
            <w:r w:rsidRPr="00513F1F">
              <w:rPr>
                <w:rFonts w:ascii="Times New Roman" w:hAnsi="Times New Roman" w:cs="Times New Roman"/>
                <w:lang w:val="en-US"/>
              </w:rPr>
              <w:t xml:space="preserve"> − </w:t>
            </w:r>
            <w:proofErr w:type="spellStart"/>
            <w:r w:rsidRPr="00513F1F">
              <w:rPr>
                <w:rFonts w:ascii="Times New Roman" w:hAnsi="Times New Roman" w:cs="Times New Roman"/>
                <w:lang w:val="en-US"/>
              </w:rPr>
              <w:t>SI_pre</w:t>
            </w:r>
            <w:proofErr w:type="spellEnd"/>
            <w:r w:rsidRPr="00513F1F">
              <w:rPr>
                <w:rFonts w:ascii="Times New Roman" w:hAnsi="Times New Roman" w:cs="Times New Roman"/>
                <w:lang w:val="en-US"/>
              </w:rPr>
              <w:t>)/</w:t>
            </w:r>
            <w:proofErr w:type="spellStart"/>
            <w:r w:rsidRPr="00513F1F">
              <w:rPr>
                <w:rFonts w:ascii="Times New Roman" w:hAnsi="Times New Roman" w:cs="Times New Roman"/>
                <w:lang w:val="en-US"/>
              </w:rPr>
              <w:t>SI_pre</w:t>
            </w:r>
            <w:proofErr w:type="spellEnd"/>
            <w:r w:rsidRPr="00513F1F">
              <w:rPr>
                <w:rFonts w:ascii="Times New Roman" w:hAnsi="Times New Roman" w:cs="Times New Roman"/>
                <w:lang w:val="en-US"/>
              </w:rPr>
              <w:t xml:space="preserve"> × </w:t>
            </w:r>
            <w:proofErr w:type="gramStart"/>
            <w:r w:rsidRPr="00513F1F">
              <w:rPr>
                <w:rFonts w:ascii="Times New Roman" w:hAnsi="Times New Roman" w:cs="Times New Roman"/>
                <w:lang w:val="en-US"/>
              </w:rPr>
              <w:t>100,</w:t>
            </w:r>
            <w:proofErr w:type="gramEnd"/>
            <w:r w:rsidRPr="00513F1F">
              <w:rPr>
                <w:rFonts w:ascii="Times New Roman" w:hAnsi="Times New Roman" w:cs="Times New Roman"/>
                <w:lang w:val="en-US"/>
              </w:rPr>
              <w:t xml:space="preserve"> of fibroglandular tissue outside the tumor, derived mask-free from a pre-contrast parenchyma proxy (tumor excluded); vendor sheet BPE where available</w:t>
            </w:r>
          </w:p>
        </w:tc>
        <w:tc>
          <w:tcPr>
            <w:tcW w:w="2520" w:type="dxa"/>
            <w:vAlign w:val="center"/>
          </w:tcPr>
          <w:p w14:paraId="1274602C"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&gt; top cohort tertile (66.7th pct) → marked; else low (minimal/mild/moderate)</w:t>
            </w:r>
          </w:p>
        </w:tc>
      </w:tr>
      <w:tr w:rsidR="00004F12" w:rsidRPr="00513F1F" w14:paraId="27FF27A5" w14:textId="77777777" w:rsidTr="00C33E90">
        <w:tc>
          <w:tcPr>
            <w:tcW w:w="10875" w:type="dxa"/>
            <w:gridSpan w:val="5"/>
            <w:shd w:val="clear" w:color="auto" w:fill="F2F2F2" w:themeFill="background1" w:themeFillShade="F2"/>
            <w:vAlign w:val="center"/>
          </w:tcPr>
          <w:p w14:paraId="55292F0F"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Early on-treatment (T1) kinetics concept</w:t>
            </w:r>
          </w:p>
        </w:tc>
      </w:tr>
      <w:tr w:rsidR="00004F12" w:rsidRPr="00513F1F" w14:paraId="5196EE67" w14:textId="77777777" w:rsidTr="00C33E90">
        <w:tc>
          <w:tcPr>
            <w:tcW w:w="1380" w:type="dxa"/>
            <w:vAlign w:val="center"/>
          </w:tcPr>
          <w:p w14:paraId="02A0AC94"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T1 wash-in (initial) enhancement rate</w:t>
            </w:r>
          </w:p>
        </w:tc>
        <w:tc>
          <w:tcPr>
            <w:tcW w:w="1393" w:type="dxa"/>
            <w:vAlign w:val="center"/>
          </w:tcPr>
          <w:p w14:paraId="69094FC1"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 xml:space="preserve">Early contrast uptake at the </w:t>
            </w:r>
            <w:proofErr w:type="gramStart"/>
            <w:r w:rsidRPr="00513F1F">
              <w:rPr>
                <w:rFonts w:ascii="Times New Roman" w:hAnsi="Times New Roman" w:cs="Times New Roman"/>
                <w:lang w:val="en-US"/>
              </w:rPr>
              <w:t>early-</w:t>
            </w:r>
            <w:r w:rsidRPr="00513F1F">
              <w:rPr>
                <w:rFonts w:ascii="Times New Roman" w:hAnsi="Times New Roman" w:cs="Times New Roman"/>
                <w:lang w:val="en-US"/>
              </w:rPr>
              <w:lastRenderedPageBreak/>
              <w:t>treatment</w:t>
            </w:r>
            <w:proofErr w:type="gramEnd"/>
            <w:r w:rsidRPr="00513F1F">
              <w:rPr>
                <w:rFonts w:ascii="Times New Roman" w:hAnsi="Times New Roman" w:cs="Times New Roman"/>
                <w:lang w:val="en-US"/>
              </w:rPr>
              <w:t xml:space="preserve"> timepoint</w:t>
            </w:r>
          </w:p>
        </w:tc>
        <w:tc>
          <w:tcPr>
            <w:tcW w:w="1127" w:type="dxa"/>
            <w:vAlign w:val="center"/>
          </w:tcPr>
          <w:p w14:paraId="25457C7A"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lastRenderedPageBreak/>
              <w:t>Categorical (3-level)</w:t>
            </w:r>
          </w:p>
        </w:tc>
        <w:tc>
          <w:tcPr>
            <w:tcW w:w="4455" w:type="dxa"/>
            <w:vAlign w:val="center"/>
          </w:tcPr>
          <w:p w14:paraId="75C52B3C"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Mean early percent enhancement, (</w:t>
            </w:r>
            <w:proofErr w:type="spellStart"/>
            <w:r w:rsidRPr="00513F1F">
              <w:rPr>
                <w:rFonts w:ascii="Times New Roman" w:hAnsi="Times New Roman" w:cs="Times New Roman"/>
                <w:lang w:val="en-US"/>
              </w:rPr>
              <w:t>SI_early</w:t>
            </w:r>
            <w:proofErr w:type="spellEnd"/>
            <w:r w:rsidRPr="00513F1F">
              <w:rPr>
                <w:rFonts w:ascii="Times New Roman" w:hAnsi="Times New Roman" w:cs="Times New Roman"/>
                <w:lang w:val="en-US"/>
              </w:rPr>
              <w:t xml:space="preserve"> − </w:t>
            </w:r>
            <w:proofErr w:type="spellStart"/>
            <w:r w:rsidRPr="00513F1F">
              <w:rPr>
                <w:rFonts w:ascii="Times New Roman" w:hAnsi="Times New Roman" w:cs="Times New Roman"/>
                <w:lang w:val="en-US"/>
              </w:rPr>
              <w:t>SI_pre</w:t>
            </w:r>
            <w:proofErr w:type="spellEnd"/>
            <w:r w:rsidRPr="00513F1F">
              <w:rPr>
                <w:rFonts w:ascii="Times New Roman" w:hAnsi="Times New Roman" w:cs="Times New Roman"/>
                <w:lang w:val="en-US"/>
              </w:rPr>
              <w:t>)/</w:t>
            </w:r>
            <w:proofErr w:type="spellStart"/>
            <w:r w:rsidRPr="00513F1F">
              <w:rPr>
                <w:rFonts w:ascii="Times New Roman" w:hAnsi="Times New Roman" w:cs="Times New Roman"/>
                <w:lang w:val="en-US"/>
              </w:rPr>
              <w:t>SI_pre</w:t>
            </w:r>
            <w:proofErr w:type="spellEnd"/>
            <w:r w:rsidRPr="00513F1F">
              <w:rPr>
                <w:rFonts w:ascii="Times New Roman" w:hAnsi="Times New Roman" w:cs="Times New Roman"/>
                <w:lang w:val="en-US"/>
              </w:rPr>
              <w:t xml:space="preserve"> × 100, within the tumor ROI at T1</w:t>
            </w:r>
          </w:p>
        </w:tc>
        <w:tc>
          <w:tcPr>
            <w:tcW w:w="2520" w:type="dxa"/>
            <w:vAlign w:val="center"/>
          </w:tcPr>
          <w:p w14:paraId="2818919D"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 115.2 → slow; ≥ 138.7 → fast; between → medium</w:t>
            </w:r>
          </w:p>
        </w:tc>
      </w:tr>
      <w:tr w:rsidR="00004F12" w:rsidRPr="00513F1F" w14:paraId="394717AC" w14:textId="77777777" w:rsidTr="00C33E90">
        <w:tc>
          <w:tcPr>
            <w:tcW w:w="10875" w:type="dxa"/>
            <w:gridSpan w:val="5"/>
            <w:shd w:val="clear" w:color="auto" w:fill="F2F2F2" w:themeFill="background1" w:themeFillShade="F2"/>
            <w:vAlign w:val="center"/>
          </w:tcPr>
          <w:p w14:paraId="2644D25E"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i/>
              </w:rPr>
              <w:t>Delta-radiomic concepts (T0 → T1)</w:t>
            </w:r>
          </w:p>
        </w:tc>
      </w:tr>
      <w:tr w:rsidR="00004F12" w:rsidRPr="00513F1F" w14:paraId="2F82CB6A" w14:textId="77777777" w:rsidTr="00C33E90">
        <w:tc>
          <w:tcPr>
            <w:tcW w:w="1380" w:type="dxa"/>
            <w:vAlign w:val="center"/>
          </w:tcPr>
          <w:p w14:paraId="7763EBCF"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Change in FTV (ΔFTV)</w:t>
            </w:r>
          </w:p>
        </w:tc>
        <w:tc>
          <w:tcPr>
            <w:tcW w:w="1393" w:type="dxa"/>
            <w:vAlign w:val="center"/>
          </w:tcPr>
          <w:p w14:paraId="4F5A6B9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Early volumetric response</w:t>
            </w:r>
          </w:p>
        </w:tc>
        <w:tc>
          <w:tcPr>
            <w:tcW w:w="1127" w:type="dxa"/>
            <w:vAlign w:val="center"/>
          </w:tcPr>
          <w:p w14:paraId="5ADE88C0"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Continuous (relative %)</w:t>
            </w:r>
          </w:p>
        </w:tc>
        <w:tc>
          <w:tcPr>
            <w:tcW w:w="4455" w:type="dxa"/>
            <w:vAlign w:val="center"/>
          </w:tcPr>
          <w:p w14:paraId="2631021F"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Relative change in FTV, (FTV_T1 − FTV_T0)/FTV_T0</w:t>
            </w:r>
          </w:p>
        </w:tc>
        <w:tc>
          <w:tcPr>
            <w:tcW w:w="2520" w:type="dxa"/>
            <w:vAlign w:val="center"/>
          </w:tcPr>
          <w:p w14:paraId="412B26F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w:t>
            </w:r>
          </w:p>
        </w:tc>
      </w:tr>
      <w:tr w:rsidR="00004F12" w:rsidRPr="00513F1F" w14:paraId="4B496B26" w14:textId="77777777" w:rsidTr="00C33E90">
        <w:tc>
          <w:tcPr>
            <w:tcW w:w="1380" w:type="dxa"/>
            <w:vAlign w:val="center"/>
          </w:tcPr>
          <w:p w14:paraId="47C27ABF"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b/>
                <w:lang w:val="en-US"/>
              </w:rPr>
              <w:t>Change in sphericity (</w:t>
            </w:r>
            <w:proofErr w:type="spellStart"/>
            <w:r w:rsidRPr="00513F1F">
              <w:rPr>
                <w:rFonts w:ascii="Times New Roman" w:hAnsi="Times New Roman" w:cs="Times New Roman"/>
                <w:b/>
                <w:lang w:val="en-US"/>
              </w:rPr>
              <w:t>Δsphericity</w:t>
            </w:r>
            <w:proofErr w:type="spellEnd"/>
            <w:r w:rsidRPr="00513F1F">
              <w:rPr>
                <w:rFonts w:ascii="Times New Roman" w:hAnsi="Times New Roman" w:cs="Times New Roman"/>
                <w:b/>
                <w:lang w:val="en-US"/>
              </w:rPr>
              <w:t>)</w:t>
            </w:r>
          </w:p>
        </w:tc>
        <w:tc>
          <w:tcPr>
            <w:tcW w:w="1393" w:type="dxa"/>
            <w:vAlign w:val="center"/>
          </w:tcPr>
          <w:p w14:paraId="0AEBD80B"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Change in tumor roundness</w:t>
            </w:r>
          </w:p>
        </w:tc>
        <w:tc>
          <w:tcPr>
            <w:tcW w:w="1127" w:type="dxa"/>
            <w:vAlign w:val="center"/>
          </w:tcPr>
          <w:p w14:paraId="14CBCBA1"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Continuous (relative %)</w:t>
            </w:r>
          </w:p>
        </w:tc>
        <w:tc>
          <w:tcPr>
            <w:tcW w:w="4455" w:type="dxa"/>
            <w:vAlign w:val="center"/>
          </w:tcPr>
          <w:p w14:paraId="694FAAB7"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Relative (scale-free) change in sphericity, (Sphericity_T1 − Sphericity_T0)/Sphericity_T0 — the percent change, not the absolute difference</w:t>
            </w:r>
          </w:p>
        </w:tc>
        <w:tc>
          <w:tcPr>
            <w:tcW w:w="2520" w:type="dxa"/>
            <w:vAlign w:val="center"/>
          </w:tcPr>
          <w:p w14:paraId="30551668"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w:t>
            </w:r>
          </w:p>
        </w:tc>
      </w:tr>
      <w:tr w:rsidR="00004F12" w:rsidRPr="00513F1F" w14:paraId="78FE27AC" w14:textId="77777777" w:rsidTr="00C33E90">
        <w:tc>
          <w:tcPr>
            <w:tcW w:w="1380" w:type="dxa"/>
            <w:vAlign w:val="center"/>
          </w:tcPr>
          <w:p w14:paraId="5AA062B3"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b/>
              </w:rPr>
              <w:t>Shrinkage pattern</w:t>
            </w:r>
          </w:p>
        </w:tc>
        <w:tc>
          <w:tcPr>
            <w:tcW w:w="1393" w:type="dxa"/>
            <w:vAlign w:val="center"/>
          </w:tcPr>
          <w:p w14:paraId="55F75B52"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Spatial pattern of tumor regression</w:t>
            </w:r>
          </w:p>
        </w:tc>
        <w:tc>
          <w:tcPr>
            <w:tcW w:w="1127" w:type="dxa"/>
            <w:vAlign w:val="center"/>
          </w:tcPr>
          <w:p w14:paraId="0D774105"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Categorical (4-level)</w:t>
            </w:r>
          </w:p>
        </w:tc>
        <w:tc>
          <w:tcPr>
            <w:tcW w:w="4455" w:type="dxa"/>
            <w:vAlign w:val="center"/>
          </w:tcPr>
          <w:p w14:paraId="33060355" w14:textId="77777777" w:rsidR="00004F12" w:rsidRPr="00513F1F" w:rsidRDefault="00004F12" w:rsidP="00C33E90">
            <w:pPr>
              <w:spacing w:after="40" w:line="240" w:lineRule="auto"/>
              <w:rPr>
                <w:rFonts w:ascii="Times New Roman" w:hAnsi="Times New Roman" w:cs="Times New Roman"/>
                <w:lang w:val="en-US"/>
              </w:rPr>
            </w:pPr>
            <w:r w:rsidRPr="00513F1F">
              <w:rPr>
                <w:rFonts w:ascii="Times New Roman" w:hAnsi="Times New Roman" w:cs="Times New Roman"/>
                <w:lang w:val="en-US"/>
              </w:rPr>
              <w:t xml:space="preserve">Diameter-based residual-component rule (Fukada 2016; </w:t>
            </w:r>
            <w:proofErr w:type="spellStart"/>
            <w:r w:rsidRPr="00513F1F">
              <w:rPr>
                <w:rFonts w:ascii="Times New Roman" w:hAnsi="Times New Roman" w:cs="Times New Roman"/>
                <w:lang w:val="en-US"/>
              </w:rPr>
              <w:t>RadioGraphics</w:t>
            </w:r>
            <w:proofErr w:type="spellEnd"/>
            <w:r w:rsidRPr="00513F1F">
              <w:rPr>
                <w:rFonts w:ascii="Times New Roman" w:hAnsi="Times New Roman" w:cs="Times New Roman"/>
                <w:lang w:val="en-US"/>
              </w:rPr>
              <w:t xml:space="preserve"> 2021): near-complete response → concentric; &lt; 5% longest-diameter reduction → no change; otherwise by count of ≥ 5 mm residual components (1 → concentric, 2 → concentric core + satellite, ≥ 3 → diffuse/multicentric)</w:t>
            </w:r>
          </w:p>
        </w:tc>
        <w:tc>
          <w:tcPr>
            <w:tcW w:w="2520" w:type="dxa"/>
            <w:vAlign w:val="center"/>
          </w:tcPr>
          <w:p w14:paraId="08BA954C" w14:textId="77777777" w:rsidR="00004F12" w:rsidRPr="00513F1F" w:rsidRDefault="00004F12" w:rsidP="00C33E90">
            <w:pPr>
              <w:spacing w:after="40" w:line="240" w:lineRule="auto"/>
              <w:rPr>
                <w:rFonts w:ascii="Times New Roman" w:hAnsi="Times New Roman" w:cs="Times New Roman"/>
              </w:rPr>
            </w:pPr>
            <w:r w:rsidRPr="00513F1F">
              <w:rPr>
                <w:rFonts w:ascii="Times New Roman" w:hAnsi="Times New Roman" w:cs="Times New Roman"/>
              </w:rPr>
              <w:t>concentric / both / diffuse / no change</w:t>
            </w:r>
          </w:p>
        </w:tc>
      </w:tr>
    </w:tbl>
    <w:p w14:paraId="4944F1FC" w14:textId="77777777" w:rsidR="00004F12" w:rsidRPr="00513F1F" w:rsidRDefault="00004F12" w:rsidP="00004F12">
      <w:pPr>
        <w:rPr>
          <w:rFonts w:ascii="Times New Roman" w:hAnsi="Times New Roman" w:cs="Times New Roman"/>
        </w:rPr>
      </w:pPr>
    </w:p>
    <w:p w14:paraId="75043E2A" w14:textId="77777777" w:rsidR="00004F12" w:rsidRPr="00513F1F" w:rsidRDefault="00004F12" w:rsidP="00004F12">
      <w:pPr>
        <w:spacing w:line="240" w:lineRule="auto"/>
        <w:rPr>
          <w:rFonts w:ascii="Times New Roman" w:hAnsi="Times New Roman" w:cs="Times New Roman"/>
        </w:rPr>
      </w:pPr>
    </w:p>
    <w:p w14:paraId="3ED1C77F" w14:textId="77777777" w:rsidR="00004F12" w:rsidRPr="00513F1F" w:rsidRDefault="00004F12" w:rsidP="00004F12">
      <w:pPr>
        <w:spacing w:after="80" w:line="240" w:lineRule="auto"/>
        <w:rPr>
          <w:rFonts w:ascii="Times New Roman" w:hAnsi="Times New Roman" w:cs="Times New Roman"/>
          <w:b/>
          <w:bCs/>
        </w:rPr>
      </w:pPr>
    </w:p>
    <w:p w14:paraId="10DF1EE4" w14:textId="77777777" w:rsidR="00004F12" w:rsidRPr="00513F1F" w:rsidRDefault="00004F12" w:rsidP="00004F12">
      <w:pPr>
        <w:spacing w:after="80" w:line="240" w:lineRule="auto"/>
        <w:rPr>
          <w:rFonts w:ascii="Times New Roman" w:hAnsi="Times New Roman" w:cs="Times New Roman"/>
        </w:rPr>
      </w:pPr>
      <w:r w:rsidRPr="00513F1F">
        <w:rPr>
          <w:rFonts w:ascii="Times New Roman" w:hAnsi="Times New Roman" w:cs="Times New Roman"/>
        </w:rPr>
        <w:br w:type="page"/>
      </w:r>
    </w:p>
    <w:p w14:paraId="1657BD49" w14:textId="77777777" w:rsidR="00C47696" w:rsidRDefault="00C47696"/>
    <w:sectPr w:rsidR="00C47696" w:rsidSect="00004F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F12"/>
    <w:rsid w:val="00004F12"/>
    <w:rsid w:val="0051574C"/>
    <w:rsid w:val="00BE0064"/>
    <w:rsid w:val="00C073B8"/>
    <w:rsid w:val="00C47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1D190"/>
  <w15:chartTrackingRefBased/>
  <w15:docId w15:val="{D14B87BF-D0EF-4ECF-B5FE-49402B356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F12"/>
    <w:pPr>
      <w:spacing w:after="0" w:line="276" w:lineRule="auto"/>
    </w:pPr>
    <w:rPr>
      <w:rFonts w:ascii="EB Garamond" w:eastAsia="EB Garamond" w:hAnsi="EB Garamond" w:cs="EB Garamond"/>
      <w:kern w:val="0"/>
      <w:lang w:val="en"/>
      <w14:ligatures w14:val="none"/>
    </w:rPr>
  </w:style>
  <w:style w:type="paragraph" w:styleId="Heading1">
    <w:name w:val="heading 1"/>
    <w:basedOn w:val="Normal"/>
    <w:next w:val="Normal"/>
    <w:link w:val="Heading1Char"/>
    <w:uiPriority w:val="9"/>
    <w:qFormat/>
    <w:rsid w:val="00004F1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04F1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04F1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04F1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004F1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004F1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004F12"/>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004F12"/>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004F12"/>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4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4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4F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4F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4F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4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4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4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4F12"/>
    <w:rPr>
      <w:rFonts w:eastAsiaTheme="majorEastAsia" w:cstheme="majorBidi"/>
      <w:color w:val="272727" w:themeColor="text1" w:themeTint="D8"/>
    </w:rPr>
  </w:style>
  <w:style w:type="paragraph" w:styleId="Title">
    <w:name w:val="Title"/>
    <w:basedOn w:val="Normal"/>
    <w:next w:val="Normal"/>
    <w:link w:val="TitleChar"/>
    <w:uiPriority w:val="10"/>
    <w:qFormat/>
    <w:rsid w:val="00004F1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04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4F1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04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4F12"/>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004F12"/>
    <w:rPr>
      <w:i/>
      <w:iCs/>
      <w:color w:val="404040" w:themeColor="text1" w:themeTint="BF"/>
    </w:rPr>
  </w:style>
  <w:style w:type="paragraph" w:styleId="ListParagraph">
    <w:name w:val="List Paragraph"/>
    <w:basedOn w:val="Normal"/>
    <w:uiPriority w:val="34"/>
    <w:qFormat/>
    <w:rsid w:val="00004F12"/>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004F12"/>
    <w:rPr>
      <w:i/>
      <w:iCs/>
      <w:color w:val="0F4761" w:themeColor="accent1" w:themeShade="BF"/>
    </w:rPr>
  </w:style>
  <w:style w:type="paragraph" w:styleId="IntenseQuote">
    <w:name w:val="Intense Quote"/>
    <w:basedOn w:val="Normal"/>
    <w:next w:val="Normal"/>
    <w:link w:val="IntenseQuoteChar"/>
    <w:uiPriority w:val="30"/>
    <w:qFormat/>
    <w:rsid w:val="00004F1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004F12"/>
    <w:rPr>
      <w:i/>
      <w:iCs/>
      <w:color w:val="0F4761" w:themeColor="accent1" w:themeShade="BF"/>
    </w:rPr>
  </w:style>
  <w:style w:type="character" w:styleId="IntenseReference">
    <w:name w:val="Intense Reference"/>
    <w:basedOn w:val="DefaultParagraphFont"/>
    <w:uiPriority w:val="32"/>
    <w:qFormat/>
    <w:rsid w:val="00004F12"/>
    <w:rPr>
      <w:b/>
      <w:bCs/>
      <w:smallCaps/>
      <w:color w:val="0F4761" w:themeColor="accent1" w:themeShade="BF"/>
      <w:spacing w:val="5"/>
    </w:rPr>
  </w:style>
  <w:style w:type="table" w:styleId="TableGrid">
    <w:name w:val="Table Grid"/>
    <w:basedOn w:val="TableNormal"/>
    <w:uiPriority w:val="59"/>
    <w:rsid w:val="00004F12"/>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1340</Words>
  <Characters>7642</Characters>
  <Application>Microsoft Office Word</Application>
  <DocSecurity>0</DocSecurity>
  <Lines>63</Lines>
  <Paragraphs>17</Paragraphs>
  <ScaleCrop>false</ScaleCrop>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Charlotte Naeri</dc:creator>
  <cp:keywords/>
  <dc:description/>
  <cp:lastModifiedBy>Li, Charlotte Naeri</cp:lastModifiedBy>
  <cp:revision>1</cp:revision>
  <dcterms:created xsi:type="dcterms:W3CDTF">2026-09-14T19:25:00Z</dcterms:created>
  <dcterms:modified xsi:type="dcterms:W3CDTF">2026-09-14T19:27:00Z</dcterms:modified>
</cp:coreProperties>
</file>