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803D6">
      <w:pPr>
        <w:jc w:val="center"/>
        <w:rPr>
          <w:b/>
          <w:bCs/>
          <w:sz w:val="32"/>
          <w:szCs w:val="32"/>
        </w:rPr>
      </w:pPr>
      <w:r>
        <w:rPr>
          <w:b/>
          <w:bCs/>
          <w:sz w:val="32"/>
          <w:szCs w:val="32"/>
        </w:rPr>
        <w:t>eMethods in the Supplement</w:t>
      </w:r>
    </w:p>
    <w:p w14:paraId="52E6E954">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eastAsia="宋体"/>
          <w:b w:val="0"/>
          <w:bCs w:val="0"/>
          <w:sz w:val="24"/>
          <w:szCs w:val="24"/>
          <w:lang w:val="en-US" w:eastAsia="zh-CN"/>
        </w:rPr>
      </w:pPr>
      <w:r>
        <w:rPr>
          <w:rFonts w:hint="eastAsia" w:eastAsia="宋体"/>
          <w:b w:val="0"/>
          <w:bCs w:val="0"/>
          <w:sz w:val="24"/>
          <w:szCs w:val="24"/>
          <w:lang w:val="en-US" w:eastAsia="zh-CN"/>
        </w:rPr>
        <w:t xml:space="preserve">The US Centers for Disease Control and Prevention (CDC) Wide-ranging Online Data for Epidemiologic Research (WONDER) is an online database that compiles mortality statistics and population estimates by state and cause of death, derived from death certificates in the National Vital Statistics System covering all 50 states and the District of Columbia </w:t>
      </w:r>
      <w:bookmarkStart w:id="0" w:name="_GoBack"/>
      <w:r>
        <w:rPr>
          <w:rFonts w:hint="eastAsia" w:eastAsia="宋体"/>
          <w:b w:val="0"/>
          <w:bCs w:val="0"/>
          <w:color w:val="auto"/>
          <w:sz w:val="24"/>
          <w:szCs w:val="24"/>
          <w:lang w:val="en-US" w:eastAsia="zh-CN"/>
        </w:rPr>
        <w:t>(1)</w:t>
      </w:r>
      <w:bookmarkEnd w:id="0"/>
      <w:r>
        <w:rPr>
          <w:rFonts w:hint="eastAsia" w:eastAsia="宋体"/>
          <w:b w:val="0"/>
          <w:bCs w:val="0"/>
          <w:sz w:val="24"/>
          <w:szCs w:val="24"/>
          <w:lang w:val="en-US" w:eastAsia="zh-CN"/>
        </w:rPr>
        <w:t>. Acute respiratory failure (ARF)-related deaths were identified using International Classification of Diseases, 10th Revision (ICD-10) codes J96.0, J96.9, and P28.5</w:t>
      </w:r>
      <w:r>
        <w:rPr>
          <w:rFonts w:hint="eastAsia" w:eastAsia="宋体"/>
          <w:b w:val="0"/>
          <w:bCs w:val="0"/>
          <w:color w:val="0000FF"/>
          <w:sz w:val="24"/>
          <w:szCs w:val="24"/>
          <w:lang w:val="en-US" w:eastAsia="zh-CN"/>
        </w:rPr>
        <w:t xml:space="preserve"> </w:t>
      </w:r>
      <w:r>
        <w:rPr>
          <w:rFonts w:hint="eastAsia" w:eastAsia="宋体"/>
          <w:b w:val="0"/>
          <w:bCs w:val="0"/>
          <w:color w:val="auto"/>
          <w:sz w:val="24"/>
          <w:szCs w:val="24"/>
          <w:lang w:val="en-US" w:eastAsia="zh-CN"/>
        </w:rPr>
        <w:t>(2)</w:t>
      </w:r>
      <w:r>
        <w:rPr>
          <w:rFonts w:hint="eastAsia" w:eastAsia="宋体"/>
          <w:b w:val="0"/>
          <w:bCs w:val="0"/>
          <w:sz w:val="24"/>
          <w:szCs w:val="24"/>
          <w:lang w:val="en-US" w:eastAsia="zh-CN"/>
        </w:rPr>
        <w:t xml:space="preserve">. All deaths with these codes listed on death certificates were included, regardless of whether ARF was documented as the immediate, underlying, or contributing cause. ARF-related mortality data from 1999 to 2023 were extracted via the CDC WONDER portal by querying these ICD-10 codes in the </w:t>
      </w:r>
      <w:r>
        <w:rPr>
          <w:rFonts w:hint="default" w:eastAsia="宋体"/>
          <w:b w:val="0"/>
          <w:bCs w:val="0"/>
          <w:sz w:val="24"/>
          <w:szCs w:val="24"/>
          <w:lang w:val="en-US" w:eastAsia="zh-CN"/>
        </w:rPr>
        <w:t>“Multiple Causes of Death”</w:t>
      </w:r>
      <w:r>
        <w:rPr>
          <w:rFonts w:hint="eastAsia" w:eastAsia="宋体"/>
          <w:b w:val="0"/>
          <w:bCs w:val="0"/>
          <w:sz w:val="24"/>
          <w:szCs w:val="24"/>
          <w:lang w:val="en-US" w:eastAsia="zh-CN"/>
        </w:rPr>
        <w:t xml:space="preserve"> field, enabling longitudinal trend analysis over the 25-year study period.</w:t>
      </w:r>
    </w:p>
    <w:p w14:paraId="7035BC6C">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eastAsia="宋体"/>
          <w:b w:val="0"/>
          <w:bCs w:val="0"/>
          <w:sz w:val="24"/>
          <w:szCs w:val="24"/>
          <w:lang w:val="en-US" w:eastAsia="zh-CN"/>
        </w:rPr>
      </w:pPr>
      <w:r>
        <w:rPr>
          <w:rFonts w:hint="eastAsia" w:eastAsia="宋体"/>
          <w:b w:val="0"/>
          <w:bCs w:val="0"/>
          <w:sz w:val="24"/>
          <w:szCs w:val="24"/>
          <w:lang w:val="en-US" w:eastAsia="zh-CN"/>
        </w:rPr>
        <w:t xml:space="preserve">Annual population estimates were obtained from the US Census Bureau, which employed bridged-race categories to ensure temporal consistency and adjusted for race-reporting discrepancies. Estimates for 1999 were derived from an intercensal series bridging the 1990 and 2000 censuses; 2000 and 2010 estimates corresponded to decennial census counts; 2001–2009 estimates were intercensal values linking the 2000 and 2010 censuses; 2011–2020 estimates were postcensal projections based on the 2010 Census; and 2021–2023 estimates were postcensal projections using the 2020 Census. The study population comprised infants aged 0–364 days. ARF-related mortality rates were expressed per 100,000 live births for the overall infant population and stratified by sex, age, and geographic region, with 95% confidence intervals (CIs). Owing to federal privacy regulations, race and ethnicity- specific rates were reported per 100,000 population estimates. Race and ethnicity- </w:t>
      </w:r>
      <w:r>
        <w:rPr>
          <w:rFonts w:hint="eastAsia" w:ascii="Times New Roman" w:hAnsi="Times New Roman" w:eastAsia="宋体" w:cs="Times New Roman"/>
          <w:b w:val="0"/>
          <w:bCs w:val="0"/>
          <w:sz w:val="24"/>
          <w:szCs w:val="24"/>
          <w:lang w:val="en-US" w:eastAsia="zh-CN" w:bidi="en-US"/>
        </w:rPr>
        <w:t>stratified analyses were limited to 2020 due to revisions in racial classification standards after 2020.</w:t>
      </w:r>
      <w:r>
        <w:rPr>
          <w:rFonts w:hint="eastAsia" w:ascii="宋体" w:hAnsi="宋体" w:eastAsia="宋体" w:cs="宋体"/>
          <w:sz w:val="24"/>
          <w:szCs w:val="24"/>
          <w:lang w:val="en-US" w:eastAsia="zh-CN"/>
        </w:rPr>
        <w:t xml:space="preserve"> </w:t>
      </w:r>
      <w:r>
        <w:rPr>
          <w:rFonts w:hint="eastAsia" w:eastAsia="宋体"/>
          <w:b w:val="0"/>
          <w:bCs w:val="0"/>
          <w:sz w:val="24"/>
          <w:szCs w:val="24"/>
          <w:lang w:val="en-US" w:eastAsia="zh-CN"/>
        </w:rPr>
        <w:t>Fluctuations in annual live births and population estimates between 1999 and 2023 may introduce minor variability in comparative mortality rates.</w:t>
      </w:r>
    </w:p>
    <w:p w14:paraId="697E0317">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eastAsia="宋体"/>
          <w:b w:val="0"/>
          <w:bCs w:val="0"/>
          <w:sz w:val="24"/>
          <w:szCs w:val="24"/>
          <w:lang w:val="en-US" w:eastAsia="zh-CN"/>
        </w:rPr>
      </w:pPr>
      <w:r>
        <w:rPr>
          <w:rFonts w:hint="eastAsia" w:eastAsia="宋体"/>
          <w:b w:val="0"/>
          <w:bCs w:val="0"/>
          <w:sz w:val="24"/>
          <w:szCs w:val="24"/>
          <w:lang w:val="en-US" w:eastAsia="zh-CN"/>
        </w:rPr>
        <w:t>Age was stratified into two clinical groups: neonates (&lt;28 days) and post-neonates (28–364 days). Race and ethnicity were categorized into four non-Hispanic groups - American Indian or Alaska Native, Asian or Pacific Islander, Black or African American, and White - plus a Hispanic ethnicity category (any race). Geographic regions followed the US Census Bureau</w:t>
      </w:r>
      <w:r>
        <w:rPr>
          <w:rFonts w:hint="default" w:eastAsia="宋体"/>
          <w:b w:val="0"/>
          <w:bCs w:val="0"/>
          <w:sz w:val="24"/>
          <w:szCs w:val="24"/>
          <w:lang w:val="en-US" w:eastAsia="zh-CN"/>
        </w:rPr>
        <w:t>’</w:t>
      </w:r>
      <w:r>
        <w:rPr>
          <w:rFonts w:hint="eastAsia" w:eastAsia="宋体"/>
          <w:b w:val="0"/>
          <w:bCs w:val="0"/>
          <w:sz w:val="24"/>
          <w:szCs w:val="24"/>
          <w:lang w:val="en-US" w:eastAsia="zh-CN"/>
        </w:rPr>
        <w:t>s standard classification: Northeast, Midwest, South, and West</w:t>
      </w:r>
      <w:r>
        <w:rPr>
          <w:rFonts w:hint="eastAsia" w:eastAsia="宋体"/>
          <w:b w:val="0"/>
          <w:bCs w:val="0"/>
          <w:color w:val="auto"/>
          <w:sz w:val="24"/>
          <w:szCs w:val="24"/>
          <w:lang w:val="en-US" w:eastAsia="zh-CN"/>
        </w:rPr>
        <w:t xml:space="preserve"> (3).</w:t>
      </w:r>
    </w:p>
    <w:p w14:paraId="61DE7DAA">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Times New Roman" w:hAnsi="Times New Roman" w:eastAsia="宋体" w:cs="Times New Roman"/>
          <w:b w:val="0"/>
          <w:bCs w:val="0"/>
          <w:sz w:val="24"/>
          <w:szCs w:val="24"/>
          <w:lang w:val="en-US" w:eastAsia="zh-CN" w:bidi="en-US"/>
        </w:rPr>
      </w:pPr>
      <w:r>
        <w:rPr>
          <w:rFonts w:hint="eastAsia" w:eastAsia="宋体"/>
          <w:b w:val="0"/>
          <w:bCs w:val="0"/>
          <w:sz w:val="24"/>
          <w:szCs w:val="24"/>
          <w:lang w:val="en-US" w:eastAsia="zh-CN"/>
        </w:rPr>
        <w:t xml:space="preserve">Joinpoint regression software (version 5.3.0, National Cancer Institute) was used to calculate the average annual percent change (AAPC) with 95% CIs, quantifying long-term trends in ARF-related infant mortality from 1999 to 2023. Analyses were performed for the overall cohort and subgroups defined by sex, age, census region, and race and ethnicity. The AAPC summarizes the average annual rate of change across the entire study period, while the annual percent change (APC) reflects year-over-year mortality fluctuations. Joinpoint regression detected significant trend inflection points and estimated segment-specific slopes. Models began with zero joinpoints and tested </w:t>
      </w:r>
      <w:r>
        <w:rPr>
          <w:rFonts w:hint="eastAsia" w:ascii="Times New Roman" w:hAnsi="Times New Roman" w:eastAsia="宋体" w:cs="Times New Roman"/>
          <w:b w:val="0"/>
          <w:bCs w:val="0"/>
          <w:sz w:val="24"/>
          <w:szCs w:val="24"/>
          <w:lang w:val="en-US" w:eastAsia="zh-CN" w:bidi="en-US"/>
        </w:rPr>
        <w:t>up to three joinpoints</w:t>
      </w:r>
      <w:r>
        <w:rPr>
          <w:rFonts w:hint="eastAsia" w:eastAsia="宋体"/>
          <w:b w:val="0"/>
          <w:bCs w:val="0"/>
          <w:sz w:val="24"/>
          <w:szCs w:val="24"/>
          <w:lang w:val="en-US" w:eastAsia="zh-CN"/>
        </w:rPr>
        <w:t xml:space="preserve">, </w:t>
      </w:r>
      <w:r>
        <w:rPr>
          <w:rFonts w:hint="eastAsia" w:ascii="Times New Roman" w:hAnsi="Times New Roman" w:eastAsia="宋体" w:cs="Times New Roman"/>
          <w:b w:val="0"/>
          <w:bCs w:val="0"/>
          <w:sz w:val="24"/>
          <w:szCs w:val="24"/>
          <w:lang w:val="en-US" w:eastAsia="zh-CN" w:bidi="en-US"/>
        </w:rPr>
        <w:t>to optimize fit, utilizing 22 annual data points for race and ethnicity-stratified models and 25 annual data points for all other models</w:t>
      </w:r>
      <w:r>
        <w:rPr>
          <w:rFonts w:hint="eastAsia" w:eastAsia="宋体" w:cs="Times New Roman"/>
          <w:b w:val="0"/>
          <w:bCs w:val="0"/>
          <w:sz w:val="24"/>
          <w:szCs w:val="24"/>
          <w:lang w:val="en-US" w:eastAsia="zh-CN" w:bidi="en-US"/>
        </w:rPr>
        <w:t>, with a maximum of three joinpoints specified</w:t>
      </w:r>
      <w:r>
        <w:rPr>
          <w:rFonts w:hint="eastAsia" w:ascii="Times New Roman" w:hAnsi="Times New Roman" w:eastAsia="宋体" w:cs="Times New Roman"/>
          <w:b w:val="0"/>
          <w:bCs w:val="0"/>
          <w:sz w:val="24"/>
          <w:szCs w:val="24"/>
          <w:lang w:val="en-US" w:eastAsia="zh-CN" w:bidi="en-US"/>
        </w:rPr>
        <w:t>.</w:t>
      </w:r>
    </w:p>
    <w:p w14:paraId="2C970A4B">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eastAsia="宋体"/>
          <w:b w:val="0"/>
          <w:bCs w:val="0"/>
          <w:sz w:val="24"/>
          <w:szCs w:val="24"/>
          <w:lang w:val="en-US" w:eastAsia="zh-CN"/>
        </w:rPr>
      </w:pPr>
      <w:r>
        <w:rPr>
          <w:rFonts w:hint="eastAsia" w:eastAsia="宋体"/>
          <w:b w:val="0"/>
          <w:bCs w:val="0"/>
          <w:sz w:val="24"/>
          <w:szCs w:val="24"/>
          <w:lang w:val="en-US" w:eastAsia="zh-CN"/>
        </w:rPr>
        <w:t>The CDC WONDER database offers distinct strengths for population-based mortality research: comprehensive national coverage, standardized mortality and demographic data, and a user-friendly interface supporting reproducible long-term trend analyses. Limitations include potential death certificate cause misclassification, absence of granular individual-level clinical or socioeconomic data, limited geographic resolution (four census regions), variable annual data completeness, and delays in releasing the most recent data, which may impede real-time epidemiologic monitoring.</w:t>
      </w:r>
    </w:p>
    <w:tbl>
      <w:tblPr>
        <w:tblStyle w:val="3"/>
        <w:tblpPr w:leftFromText="180" w:rightFromText="180" w:vertAnchor="text" w:horzAnchor="page" w:tblpX="1844" w:tblpY="24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5"/>
        <w:gridCol w:w="6340"/>
      </w:tblGrid>
      <w:tr w14:paraId="357C1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05" w:type="dxa"/>
          </w:tcPr>
          <w:p w14:paraId="2F76BF3C">
            <w:pPr>
              <w:rPr>
                <w:b/>
                <w:bCs/>
              </w:rPr>
            </w:pPr>
            <w:r>
              <w:rPr>
                <w:b/>
                <w:bCs/>
              </w:rPr>
              <w:t>ICD-10 Code</w:t>
            </w:r>
          </w:p>
        </w:tc>
        <w:tc>
          <w:tcPr>
            <w:tcW w:w="6340" w:type="dxa"/>
          </w:tcPr>
          <w:p w14:paraId="25F0D544">
            <w:pPr>
              <w:rPr>
                <w:b/>
                <w:bCs/>
              </w:rPr>
            </w:pPr>
            <w:r>
              <w:rPr>
                <w:b/>
                <w:bCs/>
              </w:rPr>
              <w:t>Description</w:t>
            </w:r>
          </w:p>
        </w:tc>
      </w:tr>
      <w:tr w14:paraId="7541D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705" w:type="dxa"/>
            <w:shd w:val="clear" w:color="auto" w:fill="auto"/>
          </w:tcPr>
          <w:p w14:paraId="1D3437B4">
            <w:pPr>
              <w:rPr>
                <w:rFonts w:hint="default" w:eastAsia="宋体"/>
                <w:lang w:val="en-US" w:eastAsia="zh-CN"/>
              </w:rPr>
            </w:pPr>
            <w:r>
              <w:rPr>
                <w:rFonts w:hint="eastAsia" w:eastAsia="宋体"/>
                <w:lang w:val="en-US" w:eastAsia="zh-CN"/>
              </w:rPr>
              <w:t>J96.0</w:t>
            </w:r>
          </w:p>
        </w:tc>
        <w:tc>
          <w:tcPr>
            <w:tcW w:w="6340" w:type="dxa"/>
            <w:shd w:val="clear" w:color="auto" w:fill="auto"/>
          </w:tcPr>
          <w:p w14:paraId="40677633">
            <w:r>
              <w:rPr>
                <w:rFonts w:hint="eastAsia"/>
              </w:rPr>
              <w:t>Acute respiratory failure</w:t>
            </w:r>
          </w:p>
        </w:tc>
      </w:tr>
      <w:tr w14:paraId="62485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05" w:type="dxa"/>
          </w:tcPr>
          <w:p w14:paraId="79686619">
            <w:pPr>
              <w:rPr>
                <w:rFonts w:hint="default" w:eastAsia="宋体"/>
                <w:lang w:val="en-US" w:eastAsia="zh-CN"/>
              </w:rPr>
            </w:pPr>
            <w:r>
              <w:rPr>
                <w:rFonts w:hint="eastAsia" w:eastAsia="宋体"/>
                <w:lang w:val="en-US" w:eastAsia="zh-CN"/>
              </w:rPr>
              <w:t>J96.9</w:t>
            </w:r>
          </w:p>
        </w:tc>
        <w:tc>
          <w:tcPr>
            <w:tcW w:w="6340" w:type="dxa"/>
          </w:tcPr>
          <w:p w14:paraId="3D1ECC12">
            <w:r>
              <w:rPr>
                <w:rFonts w:hint="eastAsia"/>
              </w:rPr>
              <w:t>Respiratory failure, unspecified</w:t>
            </w:r>
          </w:p>
        </w:tc>
      </w:tr>
      <w:tr w14:paraId="42C70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705" w:type="dxa"/>
          </w:tcPr>
          <w:p w14:paraId="0B51E7C4">
            <w:pPr>
              <w:rPr>
                <w:rFonts w:hint="default" w:eastAsia="宋体"/>
                <w:lang w:val="en-US" w:eastAsia="zh-CN"/>
              </w:rPr>
            </w:pPr>
            <w:r>
              <w:rPr>
                <w:rFonts w:hint="eastAsia" w:eastAsia="宋体"/>
                <w:lang w:val="en-US" w:eastAsia="zh-CN"/>
              </w:rPr>
              <w:t>P28.5</w:t>
            </w:r>
          </w:p>
        </w:tc>
        <w:tc>
          <w:tcPr>
            <w:tcW w:w="6340" w:type="dxa"/>
          </w:tcPr>
          <w:p w14:paraId="09EA1AC7">
            <w:r>
              <w:rPr>
                <w:rFonts w:hint="eastAsia"/>
                <w:lang w:val="en-US" w:eastAsia="zh-CN"/>
              </w:rPr>
              <w:t>Respiratory failure of newborn</w:t>
            </w:r>
          </w:p>
        </w:tc>
      </w:tr>
    </w:tbl>
    <w:p w14:paraId="726DE0AE">
      <w:pPr>
        <w:rPr>
          <w:b/>
          <w:bCs/>
        </w:rPr>
      </w:pPr>
    </w:p>
    <w:p w14:paraId="2F1C0F1C">
      <w:r>
        <w:rPr>
          <w:b/>
          <w:bCs/>
        </w:rPr>
        <w:t>eTable</w:t>
      </w:r>
      <w:r>
        <w:t xml:space="preserve">: ICD-10 Codes Used to Define </w:t>
      </w:r>
      <w:r>
        <w:rPr>
          <w:rFonts w:hint="eastAsia" w:eastAsia="宋体"/>
          <w:lang w:val="en-US" w:eastAsia="zh-CN"/>
        </w:rPr>
        <w:t>ARF</w:t>
      </w:r>
      <w:r>
        <w:t xml:space="preserve">-Related Deaths </w:t>
      </w:r>
    </w:p>
    <w:p w14:paraId="0CCB0915"/>
    <w:p w14:paraId="10563D0F">
      <w:pPr>
        <w:keepNext w:val="0"/>
        <w:keepLines w:val="0"/>
        <w:widowControl/>
        <w:suppressLineNumbers w:val="0"/>
        <w:jc w:val="left"/>
      </w:pPr>
      <w:r>
        <w:rPr>
          <w:rFonts w:hint="default" w:ascii="Times New Roman" w:hAnsi="Times New Roman" w:eastAsia="宋体" w:cs="Times New Roman"/>
          <w:b/>
          <w:bCs/>
          <w:color w:val="000000"/>
          <w:kern w:val="0"/>
          <w:sz w:val="24"/>
          <w:szCs w:val="24"/>
          <w:lang w:val="en-US" w:eastAsia="zh-CN" w:bidi="ar"/>
        </w:rPr>
        <w:t xml:space="preserve">References </w:t>
      </w:r>
    </w:p>
    <w:p w14:paraId="6E646F1F">
      <w:pPr>
        <w:numPr>
          <w:ilvl w:val="0"/>
          <w:numId w:val="1"/>
        </w:numPr>
        <w:ind w:left="0" w:leftChars="0" w:right="0" w:rightChars="0"/>
      </w:pPr>
      <w:r>
        <w:t xml:space="preserve">CDC WONDER. National Center for Health Statistics. Underlying Cause of Death, 1999–2020. April 08, 2025. Accessed April 10, 2025. Available at: </w:t>
      </w:r>
      <w:r>
        <w:fldChar w:fldCharType="begin"/>
      </w:r>
      <w:r>
        <w:instrText xml:space="preserve"> HYPERLINK "https://wonder.cdc.gov/ucd-icd10.html" \o "autolink" \t "_blank" </w:instrText>
      </w:r>
      <w:r>
        <w:fldChar w:fldCharType="separate"/>
      </w:r>
      <w:r>
        <w:t>https://wonder.cdc.gov/ucd-icd10.html</w:t>
      </w:r>
      <w:r>
        <w:fldChar w:fldCharType="end"/>
      </w:r>
      <w:r>
        <w:t>.</w:t>
      </w:r>
    </w:p>
    <w:p w14:paraId="399FA5A5">
      <w:pPr>
        <w:numPr>
          <w:ilvl w:val="0"/>
          <w:numId w:val="0"/>
        </w:numPr>
        <w:ind w:left="0" w:leftChars="0" w:right="0" w:rightChars="0"/>
      </w:pPr>
    </w:p>
    <w:p w14:paraId="3DA27593">
      <w:pPr>
        <w:numPr>
          <w:ilvl w:val="0"/>
          <w:numId w:val="1"/>
        </w:numPr>
        <w:ind w:left="0" w:leftChars="0" w:right="0" w:rightChars="0" w:firstLine="0" w:firstLineChars="0"/>
      </w:pPr>
      <w:r>
        <w:t>Friedman ML, Nitu ME. Acute respiratory failure in children. Pediatr Ann. 2018;47(7):e268–e273. doi:10.3928/19382359-20180625-01</w:t>
      </w:r>
    </w:p>
    <w:p w14:paraId="1322B932">
      <w:pPr>
        <w:numPr>
          <w:ilvl w:val="0"/>
          <w:numId w:val="0"/>
        </w:numPr>
        <w:ind w:leftChars="0" w:right="0" w:rightChars="0"/>
      </w:pPr>
    </w:p>
    <w:p w14:paraId="75CE5796">
      <w:pPr>
        <w:numPr>
          <w:ilvl w:val="0"/>
          <w:numId w:val="1"/>
        </w:numPr>
        <w:ind w:left="0" w:leftChars="0" w:right="0" w:rightChars="0" w:firstLine="0" w:firstLineChars="0"/>
      </w:pPr>
      <w:r>
        <w:t>Parcha V, Kalra R, Bhatt SP, Berra L, Arora G, Arora P. Trends and geographic variation in acute respiratory failure and ARDS mortality in the United States. Chest. 2021;159(4):1460–1472. doi:10.1016/j.chest.2020.10.042</w:t>
      </w:r>
    </w:p>
    <w:p w14:paraId="0178C18E"/>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C47CD"/>
    <w:multiLevelType w:val="singleLevel"/>
    <w:tmpl w:val="0D7C47C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jZjNkZjc2NWZhYWY3Y2MyMjQxYjU0YWIwZTQ5YTQifQ=="/>
    <w:docVar w:name="KSO_WPS_MARK_KEY" w:val="ddb2b55b-eef9-44fd-bbbb-67eb5d31c85e"/>
  </w:docVars>
  <w:rsids>
    <w:rsidRoot w:val="3ACF345A"/>
    <w:rsid w:val="06732B98"/>
    <w:rsid w:val="13A11152"/>
    <w:rsid w:val="1617203E"/>
    <w:rsid w:val="16A14DD1"/>
    <w:rsid w:val="31637ECF"/>
    <w:rsid w:val="3ACF345A"/>
    <w:rsid w:val="3E6740D3"/>
    <w:rsid w:val="487045AF"/>
    <w:rsid w:val="4A7262E3"/>
    <w:rsid w:val="52EA7BFA"/>
    <w:rsid w:val="579D6934"/>
    <w:rsid w:val="6E506F0E"/>
    <w:rsid w:val="70E86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en-US"/>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88"/>
      <w:ind w:left="674" w:hanging="574"/>
    </w:pPr>
    <w:rPr>
      <w:rFonts w:ascii="Times New Roman" w:hAnsi="Times New Roman" w:eastAsia="Times New Roman" w:cs="Times New Roman"/>
      <w:sz w:val="24"/>
      <w:szCs w:val="24"/>
      <w:lang w:val="en-US" w:eastAsia="en-US" w:bidi="en-US"/>
    </w:r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styleId="7">
    <w:name w:val="List Paragraph"/>
    <w:basedOn w:val="1"/>
    <w:qFormat/>
    <w:uiPriority w:val="1"/>
    <w:pPr>
      <w:spacing w:before="188"/>
      <w:ind w:left="674" w:hanging="574"/>
    </w:pPr>
    <w:rPr>
      <w:rFonts w:ascii="Times New Roman" w:hAnsi="Times New Roman" w:eastAsia="Times New Roman" w:cs="Times New Roman"/>
      <w:lang w:val="en-US" w:eastAsia="en-US" w:bidi="en-US"/>
    </w:rPr>
  </w:style>
  <w:style w:type="paragraph" w:customStyle="1" w:styleId="8">
    <w:name w:val="Table Paragraph"/>
    <w:basedOn w:val="1"/>
    <w:qFormat/>
    <w:uiPriority w:val="1"/>
    <w:pPr>
      <w:spacing w:before="17" w:line="275" w:lineRule="exact"/>
      <w:ind w:left="107"/>
    </w:pPr>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643</Words>
  <Characters>4057</Characters>
  <Lines>0</Lines>
  <Paragraphs>0</Paragraphs>
  <TotalTime>250</TotalTime>
  <ScaleCrop>false</ScaleCrop>
  <LinksUpToDate>false</LinksUpToDate>
  <CharactersWithSpaces>4667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2025-04-09T09:52:00Z</dcterms:created>
  <dc:creator>隔壁老王</dc:creator>
  <cp:lastModifiedBy>孟阳</cp:lastModifiedBy>
  <dcterms:modified xsi:type="dcterms:W3CDTF">2026-09-03T06:53:46Z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2ACC61299A5D4F19B826C4B44CB39A70_13</vt:lpwstr>
  </property>
  <property fmtid="{D5CDD505-2E9C-101B-9397-08002B2CF9AE}" pid="4" name="KSOTemplateDocerSaveRecord">
    <vt:lpwstr>eyJoZGlkIjoiN2Y4ZTQ5MzI2MzY3NDVkMWZkMmFkNzA3NWViMjM0MDIiLCJ1c2VySWQiOiI1NjQ0NDkwMDcifQ==</vt:lpwstr>
  </property>
</Properties>
</file>