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3EDB" w14:textId="77777777" w:rsidR="00E16E11" w:rsidRDefault="00000000">
      <w:pPr>
        <w:pStyle w:val="Title"/>
        <w:jc w:val="center"/>
        <w:rPr>
          <w:rFonts w:ascii="Times New Roman" w:hAnsi="Times New Roman" w:cs="Times New Roman"/>
          <w:b/>
          <w:sz w:val="32"/>
        </w:rPr>
      </w:pPr>
      <w:r w:rsidRPr="00725BA7">
        <w:rPr>
          <w:rFonts w:ascii="Times New Roman" w:hAnsi="Times New Roman" w:cs="Times New Roman"/>
          <w:b/>
          <w:sz w:val="32"/>
        </w:rPr>
        <w:t>Supplementary material</w:t>
      </w:r>
    </w:p>
    <w:p w14:paraId="31EE42C2" w14:textId="77777777" w:rsidR="00B3490E" w:rsidRPr="00B3490E" w:rsidRDefault="00B3490E" w:rsidP="00B3490E"/>
    <w:p w14:paraId="05B04AE1" w14:textId="77777777" w:rsidR="00D71918" w:rsidRPr="00725BA7" w:rsidRDefault="00D71918" w:rsidP="00D71918">
      <w:pPr>
        <w:spacing w:after="0" w:line="480" w:lineRule="auto"/>
        <w:rPr>
          <w:rFonts w:ascii="Times New Roman" w:eastAsia="SimSun" w:hAnsi="Times New Roman" w:cs="Times New Roman"/>
          <w:noProof/>
          <w:sz w:val="15"/>
          <w:szCs w:val="15"/>
        </w:rPr>
      </w:pPr>
      <w:r w:rsidRPr="00725BA7">
        <w:rPr>
          <w:rFonts w:ascii="Times New Roman" w:eastAsia="SimSun" w:hAnsi="Times New Roman" w:cs="Times New Roman"/>
          <w:bCs/>
          <w:noProof/>
          <w:sz w:val="20"/>
          <w:szCs w:val="15"/>
        </w:rPr>
        <w:t>Table S1. Public datasets and multi-omics resources used in this study.</w:t>
      </w:r>
      <w:r w:rsidRPr="00725BA7">
        <w:rPr>
          <w:rFonts w:ascii="Times New Roman" w:eastAsia="SimSun" w:hAnsi="Times New Roman" w:cs="Times New Roman"/>
          <w:noProof/>
          <w:sz w:val="20"/>
          <w:szCs w:val="15"/>
        </w:rPr>
        <w:t xml:space="preserve"> This table summarizes all public datasets included in the present study, including bulk transcriptomic cohorts, single-cell RNA-seq datasets, spatial transcriptomic data, somatic alteration data and proteomic resources. For each dataset, the data type, sequencing or microarray platform, sample size, tumor and non-tumor sample numbers, survival information, analytical purpose and species are provided.</w:t>
      </w:r>
    </w:p>
    <w:tbl>
      <w:tblPr>
        <w:tblStyle w:val="TableGrid"/>
        <w:tblW w:w="9280" w:type="dxa"/>
        <w:tblInd w:w="40" w:type="dxa"/>
        <w:tblLayout w:type="fixed"/>
        <w:tblLook w:val="04A0" w:firstRow="1" w:lastRow="0" w:firstColumn="1" w:lastColumn="0" w:noHBand="0" w:noVBand="1"/>
      </w:tblPr>
      <w:tblGrid>
        <w:gridCol w:w="885"/>
        <w:gridCol w:w="1456"/>
        <w:gridCol w:w="1028"/>
        <w:gridCol w:w="1028"/>
        <w:gridCol w:w="885"/>
        <w:gridCol w:w="1114"/>
        <w:gridCol w:w="828"/>
        <w:gridCol w:w="1456"/>
        <w:gridCol w:w="600"/>
      </w:tblGrid>
      <w:tr w:rsidR="004626BE" w:rsidRPr="00725BA7" w14:paraId="07F3D8AC"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57353BC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Dataset</w:t>
            </w:r>
          </w:p>
        </w:tc>
        <w:tc>
          <w:tcPr>
            <w:tcW w:w="1456" w:type="dxa"/>
            <w:tcBorders>
              <w:top w:val="nil"/>
              <w:left w:val="nil"/>
              <w:bottom w:val="nil"/>
              <w:right w:val="nil"/>
            </w:tcBorders>
            <w:noWrap/>
            <w:tcMar>
              <w:top w:w="40" w:type="dxa"/>
              <w:left w:w="40" w:type="dxa"/>
              <w:bottom w:w="40" w:type="dxa"/>
              <w:right w:w="40" w:type="dxa"/>
            </w:tcMar>
            <w:vAlign w:val="bottom"/>
            <w:hideMark/>
          </w:tcPr>
          <w:p w14:paraId="304246C9"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Data type</w:t>
            </w:r>
          </w:p>
        </w:tc>
        <w:tc>
          <w:tcPr>
            <w:tcW w:w="1028" w:type="dxa"/>
            <w:tcBorders>
              <w:top w:val="nil"/>
              <w:left w:val="nil"/>
              <w:bottom w:val="nil"/>
              <w:right w:val="nil"/>
            </w:tcBorders>
            <w:noWrap/>
            <w:tcMar>
              <w:top w:w="40" w:type="dxa"/>
              <w:left w:w="40" w:type="dxa"/>
              <w:bottom w:w="40" w:type="dxa"/>
              <w:right w:w="40" w:type="dxa"/>
            </w:tcMar>
            <w:vAlign w:val="bottom"/>
            <w:hideMark/>
          </w:tcPr>
          <w:p w14:paraId="79A2678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Platform</w:t>
            </w:r>
          </w:p>
        </w:tc>
        <w:tc>
          <w:tcPr>
            <w:tcW w:w="1028" w:type="dxa"/>
            <w:tcBorders>
              <w:top w:val="nil"/>
              <w:left w:val="nil"/>
              <w:bottom w:val="nil"/>
              <w:right w:val="nil"/>
            </w:tcBorders>
            <w:noWrap/>
            <w:tcMar>
              <w:top w:w="40" w:type="dxa"/>
              <w:left w:w="40" w:type="dxa"/>
              <w:bottom w:w="40" w:type="dxa"/>
              <w:right w:w="40" w:type="dxa"/>
            </w:tcMar>
            <w:vAlign w:val="bottom"/>
            <w:hideMark/>
          </w:tcPr>
          <w:p w14:paraId="666AB66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Sample size</w:t>
            </w:r>
          </w:p>
        </w:tc>
        <w:tc>
          <w:tcPr>
            <w:tcW w:w="885" w:type="dxa"/>
            <w:tcBorders>
              <w:top w:val="nil"/>
              <w:left w:val="nil"/>
              <w:bottom w:val="nil"/>
              <w:right w:val="nil"/>
            </w:tcBorders>
            <w:noWrap/>
            <w:tcMar>
              <w:top w:w="40" w:type="dxa"/>
              <w:left w:w="40" w:type="dxa"/>
              <w:bottom w:w="40" w:type="dxa"/>
              <w:right w:w="40" w:type="dxa"/>
            </w:tcMar>
            <w:vAlign w:val="bottom"/>
            <w:hideMark/>
          </w:tcPr>
          <w:p w14:paraId="26E574B3"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Tumor samples</w:t>
            </w:r>
          </w:p>
        </w:tc>
        <w:tc>
          <w:tcPr>
            <w:tcW w:w="1114" w:type="dxa"/>
            <w:tcBorders>
              <w:top w:val="nil"/>
              <w:left w:val="nil"/>
              <w:bottom w:val="nil"/>
              <w:right w:val="nil"/>
            </w:tcBorders>
            <w:noWrap/>
            <w:tcMar>
              <w:top w:w="40" w:type="dxa"/>
              <w:left w:w="40" w:type="dxa"/>
              <w:bottom w:w="40" w:type="dxa"/>
              <w:right w:w="40" w:type="dxa"/>
            </w:tcMar>
            <w:vAlign w:val="bottom"/>
            <w:hideMark/>
          </w:tcPr>
          <w:p w14:paraId="4BBACF9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Normal/non-tumor samples</w:t>
            </w:r>
          </w:p>
        </w:tc>
        <w:tc>
          <w:tcPr>
            <w:tcW w:w="828" w:type="dxa"/>
            <w:tcBorders>
              <w:top w:val="nil"/>
              <w:left w:val="nil"/>
              <w:bottom w:val="nil"/>
              <w:right w:val="nil"/>
            </w:tcBorders>
            <w:noWrap/>
            <w:tcMar>
              <w:top w:w="40" w:type="dxa"/>
              <w:left w:w="40" w:type="dxa"/>
              <w:bottom w:w="40" w:type="dxa"/>
              <w:right w:w="40" w:type="dxa"/>
            </w:tcMar>
            <w:vAlign w:val="bottom"/>
            <w:hideMark/>
          </w:tcPr>
          <w:p w14:paraId="58BAC885"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Survival data</w:t>
            </w:r>
          </w:p>
        </w:tc>
        <w:tc>
          <w:tcPr>
            <w:tcW w:w="1456" w:type="dxa"/>
            <w:tcBorders>
              <w:top w:val="nil"/>
              <w:left w:val="nil"/>
              <w:bottom w:val="nil"/>
              <w:right w:val="nil"/>
            </w:tcBorders>
            <w:noWrap/>
            <w:tcMar>
              <w:top w:w="40" w:type="dxa"/>
              <w:left w:w="40" w:type="dxa"/>
              <w:bottom w:w="40" w:type="dxa"/>
              <w:right w:w="40" w:type="dxa"/>
            </w:tcMar>
            <w:vAlign w:val="bottom"/>
            <w:hideMark/>
          </w:tcPr>
          <w:p w14:paraId="10AB690A"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Main use</w:t>
            </w:r>
          </w:p>
        </w:tc>
        <w:tc>
          <w:tcPr>
            <w:tcW w:w="600" w:type="dxa"/>
            <w:tcBorders>
              <w:top w:val="nil"/>
              <w:left w:val="nil"/>
              <w:bottom w:val="nil"/>
              <w:right w:val="nil"/>
            </w:tcBorders>
            <w:noWrap/>
            <w:tcMar>
              <w:top w:w="40" w:type="dxa"/>
              <w:left w:w="40" w:type="dxa"/>
              <w:bottom w:w="40" w:type="dxa"/>
              <w:right w:w="40" w:type="dxa"/>
            </w:tcMar>
            <w:vAlign w:val="bottom"/>
            <w:hideMark/>
          </w:tcPr>
          <w:p w14:paraId="1AE96C7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b/>
                <w:color w:val="000000"/>
                <w:kern w:val="0"/>
                <w:sz w:val="16"/>
                <w14:ligatures w14:val="none"/>
              </w:rPr>
              <w:t>Species</w:t>
            </w:r>
          </w:p>
        </w:tc>
      </w:tr>
      <w:tr w:rsidR="004626BE" w:rsidRPr="00725BA7" w14:paraId="361F49B2"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30CBE91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TCGA-PAAD</w:t>
            </w:r>
          </w:p>
        </w:tc>
        <w:tc>
          <w:tcPr>
            <w:tcW w:w="1456" w:type="dxa"/>
            <w:tcBorders>
              <w:top w:val="nil"/>
              <w:left w:val="nil"/>
              <w:bottom w:val="nil"/>
              <w:right w:val="nil"/>
            </w:tcBorders>
            <w:noWrap/>
            <w:tcMar>
              <w:top w:w="40" w:type="dxa"/>
              <w:left w:w="40" w:type="dxa"/>
              <w:bottom w:w="40" w:type="dxa"/>
              <w:right w:w="40" w:type="dxa"/>
            </w:tcMar>
            <w:vAlign w:val="bottom"/>
            <w:hideMark/>
          </w:tcPr>
          <w:p w14:paraId="19BB0B4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RNA-seq/mutation/CNV</w:t>
            </w:r>
          </w:p>
        </w:tc>
        <w:tc>
          <w:tcPr>
            <w:tcW w:w="1028" w:type="dxa"/>
            <w:tcBorders>
              <w:top w:val="nil"/>
              <w:left w:val="nil"/>
              <w:bottom w:val="nil"/>
              <w:right w:val="nil"/>
            </w:tcBorders>
            <w:noWrap/>
            <w:tcMar>
              <w:top w:w="40" w:type="dxa"/>
              <w:left w:w="40" w:type="dxa"/>
              <w:bottom w:w="40" w:type="dxa"/>
              <w:right w:w="40" w:type="dxa"/>
            </w:tcMar>
            <w:vAlign w:val="bottom"/>
            <w:hideMark/>
          </w:tcPr>
          <w:p w14:paraId="37AD55E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0FC62D7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183</w:t>
            </w:r>
          </w:p>
        </w:tc>
        <w:tc>
          <w:tcPr>
            <w:tcW w:w="885" w:type="dxa"/>
            <w:tcBorders>
              <w:top w:val="nil"/>
              <w:left w:val="nil"/>
              <w:bottom w:val="nil"/>
              <w:right w:val="nil"/>
            </w:tcBorders>
            <w:noWrap/>
            <w:tcMar>
              <w:top w:w="40" w:type="dxa"/>
              <w:left w:w="40" w:type="dxa"/>
              <w:bottom w:w="40" w:type="dxa"/>
              <w:right w:w="40" w:type="dxa"/>
            </w:tcMar>
            <w:vAlign w:val="bottom"/>
            <w:hideMark/>
          </w:tcPr>
          <w:p w14:paraId="40CB8CFE"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183</w:t>
            </w:r>
          </w:p>
        </w:tc>
        <w:tc>
          <w:tcPr>
            <w:tcW w:w="1114" w:type="dxa"/>
            <w:tcBorders>
              <w:top w:val="nil"/>
              <w:left w:val="nil"/>
              <w:bottom w:val="nil"/>
              <w:right w:val="nil"/>
            </w:tcBorders>
            <w:noWrap/>
            <w:tcMar>
              <w:top w:w="40" w:type="dxa"/>
              <w:left w:w="40" w:type="dxa"/>
              <w:bottom w:w="40" w:type="dxa"/>
              <w:right w:w="40" w:type="dxa"/>
            </w:tcMar>
            <w:vAlign w:val="bottom"/>
            <w:hideMark/>
          </w:tcPr>
          <w:p w14:paraId="5BECC6C9"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0</w:t>
            </w:r>
          </w:p>
        </w:tc>
        <w:tc>
          <w:tcPr>
            <w:tcW w:w="828" w:type="dxa"/>
            <w:tcBorders>
              <w:top w:val="nil"/>
              <w:left w:val="nil"/>
              <w:bottom w:val="nil"/>
              <w:right w:val="nil"/>
            </w:tcBorders>
            <w:noWrap/>
            <w:tcMar>
              <w:top w:w="40" w:type="dxa"/>
              <w:left w:w="40" w:type="dxa"/>
              <w:bottom w:w="40" w:type="dxa"/>
              <w:right w:w="40" w:type="dxa"/>
            </w:tcMar>
            <w:vAlign w:val="bottom"/>
            <w:hideMark/>
          </w:tcPr>
          <w:p w14:paraId="2592F70C"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Yes</w:t>
            </w:r>
          </w:p>
        </w:tc>
        <w:tc>
          <w:tcPr>
            <w:tcW w:w="1456" w:type="dxa"/>
            <w:tcBorders>
              <w:top w:val="nil"/>
              <w:left w:val="nil"/>
              <w:bottom w:val="nil"/>
              <w:right w:val="nil"/>
            </w:tcBorders>
            <w:noWrap/>
            <w:tcMar>
              <w:top w:w="40" w:type="dxa"/>
              <w:left w:w="40" w:type="dxa"/>
              <w:bottom w:w="40" w:type="dxa"/>
              <w:right w:w="40" w:type="dxa"/>
            </w:tcMar>
            <w:vAlign w:val="bottom"/>
            <w:hideMark/>
          </w:tcPr>
          <w:p w14:paraId="121C3BAA"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genomic analysis/Meta/scissor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602993F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0B6F4B88"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695B0402"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ICGC</w:t>
            </w:r>
          </w:p>
        </w:tc>
        <w:tc>
          <w:tcPr>
            <w:tcW w:w="1456" w:type="dxa"/>
            <w:tcBorders>
              <w:top w:val="nil"/>
              <w:left w:val="nil"/>
              <w:bottom w:val="nil"/>
              <w:right w:val="nil"/>
            </w:tcBorders>
            <w:noWrap/>
            <w:tcMar>
              <w:top w:w="40" w:type="dxa"/>
              <w:left w:w="40" w:type="dxa"/>
              <w:bottom w:w="40" w:type="dxa"/>
              <w:right w:w="40" w:type="dxa"/>
            </w:tcMar>
            <w:vAlign w:val="bottom"/>
            <w:hideMark/>
          </w:tcPr>
          <w:p w14:paraId="63B5B27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4C8C751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4374E8D8"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142</w:t>
            </w:r>
          </w:p>
        </w:tc>
        <w:tc>
          <w:tcPr>
            <w:tcW w:w="885" w:type="dxa"/>
            <w:tcBorders>
              <w:top w:val="nil"/>
              <w:left w:val="nil"/>
              <w:bottom w:val="nil"/>
              <w:right w:val="nil"/>
            </w:tcBorders>
            <w:noWrap/>
            <w:tcMar>
              <w:top w:w="40" w:type="dxa"/>
              <w:left w:w="40" w:type="dxa"/>
              <w:bottom w:w="40" w:type="dxa"/>
              <w:right w:w="40" w:type="dxa"/>
            </w:tcMar>
            <w:vAlign w:val="bottom"/>
            <w:hideMark/>
          </w:tcPr>
          <w:p w14:paraId="7715791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142</w:t>
            </w:r>
          </w:p>
        </w:tc>
        <w:tc>
          <w:tcPr>
            <w:tcW w:w="1114" w:type="dxa"/>
            <w:tcBorders>
              <w:top w:val="nil"/>
              <w:left w:val="nil"/>
              <w:bottom w:val="nil"/>
              <w:right w:val="nil"/>
            </w:tcBorders>
            <w:noWrap/>
            <w:tcMar>
              <w:top w:w="40" w:type="dxa"/>
              <w:left w:w="40" w:type="dxa"/>
              <w:bottom w:w="40" w:type="dxa"/>
              <w:right w:w="40" w:type="dxa"/>
            </w:tcMar>
            <w:vAlign w:val="bottom"/>
            <w:hideMark/>
          </w:tcPr>
          <w:p w14:paraId="0DD434CA"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0</w:t>
            </w:r>
          </w:p>
        </w:tc>
        <w:tc>
          <w:tcPr>
            <w:tcW w:w="828" w:type="dxa"/>
            <w:tcBorders>
              <w:top w:val="nil"/>
              <w:left w:val="nil"/>
              <w:bottom w:val="nil"/>
              <w:right w:val="nil"/>
            </w:tcBorders>
            <w:noWrap/>
            <w:tcMar>
              <w:top w:w="40" w:type="dxa"/>
              <w:left w:w="40" w:type="dxa"/>
              <w:bottom w:w="40" w:type="dxa"/>
              <w:right w:w="40" w:type="dxa"/>
            </w:tcMar>
            <w:vAlign w:val="bottom"/>
            <w:hideMark/>
          </w:tcPr>
          <w:p w14:paraId="20F9E88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Yes</w:t>
            </w:r>
          </w:p>
        </w:tc>
        <w:tc>
          <w:tcPr>
            <w:tcW w:w="1456" w:type="dxa"/>
            <w:tcBorders>
              <w:top w:val="nil"/>
              <w:left w:val="nil"/>
              <w:bottom w:val="nil"/>
              <w:right w:val="nil"/>
            </w:tcBorders>
            <w:noWrap/>
            <w:tcMar>
              <w:top w:w="40" w:type="dxa"/>
              <w:left w:w="40" w:type="dxa"/>
              <w:bottom w:w="40" w:type="dxa"/>
              <w:right w:w="40" w:type="dxa"/>
            </w:tcMar>
            <w:vAlign w:val="bottom"/>
            <w:hideMark/>
          </w:tcPr>
          <w:p w14:paraId="2E5B216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scissor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791DE88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7C934927"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47B15FD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GSE15471</w:t>
            </w:r>
          </w:p>
        </w:tc>
        <w:tc>
          <w:tcPr>
            <w:tcW w:w="1456" w:type="dxa"/>
            <w:tcBorders>
              <w:top w:val="nil"/>
              <w:left w:val="nil"/>
              <w:bottom w:val="nil"/>
              <w:right w:val="nil"/>
            </w:tcBorders>
            <w:noWrap/>
            <w:tcMar>
              <w:top w:w="40" w:type="dxa"/>
              <w:left w:w="40" w:type="dxa"/>
              <w:bottom w:w="40" w:type="dxa"/>
              <w:right w:w="40" w:type="dxa"/>
            </w:tcMar>
            <w:vAlign w:val="bottom"/>
            <w:hideMark/>
          </w:tcPr>
          <w:p w14:paraId="7AB7C21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769D71D2"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11248F89"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78</w:t>
            </w:r>
          </w:p>
        </w:tc>
        <w:tc>
          <w:tcPr>
            <w:tcW w:w="885" w:type="dxa"/>
            <w:tcBorders>
              <w:top w:val="nil"/>
              <w:left w:val="nil"/>
              <w:bottom w:val="nil"/>
              <w:right w:val="nil"/>
            </w:tcBorders>
            <w:noWrap/>
            <w:tcMar>
              <w:top w:w="40" w:type="dxa"/>
              <w:left w:w="40" w:type="dxa"/>
              <w:bottom w:w="40" w:type="dxa"/>
              <w:right w:w="40" w:type="dxa"/>
            </w:tcMar>
            <w:vAlign w:val="bottom"/>
            <w:hideMark/>
          </w:tcPr>
          <w:p w14:paraId="42A33331"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42</w:t>
            </w:r>
          </w:p>
        </w:tc>
        <w:tc>
          <w:tcPr>
            <w:tcW w:w="1114" w:type="dxa"/>
            <w:tcBorders>
              <w:top w:val="nil"/>
              <w:left w:val="nil"/>
              <w:bottom w:val="nil"/>
              <w:right w:val="nil"/>
            </w:tcBorders>
            <w:noWrap/>
            <w:tcMar>
              <w:top w:w="40" w:type="dxa"/>
              <w:left w:w="40" w:type="dxa"/>
              <w:bottom w:w="40" w:type="dxa"/>
              <w:right w:w="40" w:type="dxa"/>
            </w:tcMar>
            <w:vAlign w:val="bottom"/>
            <w:hideMark/>
          </w:tcPr>
          <w:p w14:paraId="09EFB007"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36</w:t>
            </w:r>
          </w:p>
        </w:tc>
        <w:tc>
          <w:tcPr>
            <w:tcW w:w="828" w:type="dxa"/>
            <w:tcBorders>
              <w:top w:val="nil"/>
              <w:left w:val="nil"/>
              <w:bottom w:val="nil"/>
              <w:right w:val="nil"/>
            </w:tcBorders>
            <w:noWrap/>
            <w:tcMar>
              <w:top w:w="40" w:type="dxa"/>
              <w:left w:w="40" w:type="dxa"/>
              <w:bottom w:w="40" w:type="dxa"/>
              <w:right w:w="40" w:type="dxa"/>
            </w:tcMar>
            <w:vAlign w:val="bottom"/>
            <w:hideMark/>
          </w:tcPr>
          <w:p w14:paraId="4B40AC1F"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0B18083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external validation/Meta/DEG</w:t>
            </w:r>
          </w:p>
        </w:tc>
        <w:tc>
          <w:tcPr>
            <w:tcW w:w="600" w:type="dxa"/>
            <w:tcBorders>
              <w:top w:val="nil"/>
              <w:left w:val="nil"/>
              <w:bottom w:val="nil"/>
              <w:right w:val="nil"/>
            </w:tcBorders>
            <w:noWrap/>
            <w:tcMar>
              <w:top w:w="40" w:type="dxa"/>
              <w:left w:w="40" w:type="dxa"/>
              <w:bottom w:w="40" w:type="dxa"/>
              <w:right w:w="40" w:type="dxa"/>
            </w:tcMar>
            <w:vAlign w:val="bottom"/>
            <w:hideMark/>
          </w:tcPr>
          <w:p w14:paraId="33FFEF7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0CB086FD"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396A469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GSE28735</w:t>
            </w:r>
          </w:p>
        </w:tc>
        <w:tc>
          <w:tcPr>
            <w:tcW w:w="1456" w:type="dxa"/>
            <w:tcBorders>
              <w:top w:val="nil"/>
              <w:left w:val="nil"/>
              <w:bottom w:val="nil"/>
              <w:right w:val="nil"/>
            </w:tcBorders>
            <w:noWrap/>
            <w:tcMar>
              <w:top w:w="40" w:type="dxa"/>
              <w:left w:w="40" w:type="dxa"/>
              <w:bottom w:w="40" w:type="dxa"/>
              <w:right w:w="40" w:type="dxa"/>
            </w:tcMar>
            <w:vAlign w:val="bottom"/>
            <w:hideMark/>
          </w:tcPr>
          <w:p w14:paraId="3D22FE93"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028D209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7B2772B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90</w:t>
            </w:r>
          </w:p>
        </w:tc>
        <w:tc>
          <w:tcPr>
            <w:tcW w:w="885" w:type="dxa"/>
            <w:tcBorders>
              <w:top w:val="nil"/>
              <w:left w:val="nil"/>
              <w:bottom w:val="nil"/>
              <w:right w:val="nil"/>
            </w:tcBorders>
            <w:noWrap/>
            <w:tcMar>
              <w:top w:w="40" w:type="dxa"/>
              <w:left w:w="40" w:type="dxa"/>
              <w:bottom w:w="40" w:type="dxa"/>
              <w:right w:w="40" w:type="dxa"/>
            </w:tcMar>
            <w:vAlign w:val="bottom"/>
            <w:hideMark/>
          </w:tcPr>
          <w:p w14:paraId="3368524A"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45</w:t>
            </w:r>
          </w:p>
        </w:tc>
        <w:tc>
          <w:tcPr>
            <w:tcW w:w="1114" w:type="dxa"/>
            <w:tcBorders>
              <w:top w:val="nil"/>
              <w:left w:val="nil"/>
              <w:bottom w:val="nil"/>
              <w:right w:val="nil"/>
            </w:tcBorders>
            <w:noWrap/>
            <w:tcMar>
              <w:top w:w="40" w:type="dxa"/>
              <w:left w:w="40" w:type="dxa"/>
              <w:bottom w:w="40" w:type="dxa"/>
              <w:right w:w="40" w:type="dxa"/>
            </w:tcMar>
            <w:vAlign w:val="bottom"/>
            <w:hideMark/>
          </w:tcPr>
          <w:p w14:paraId="4429A4D8"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45</w:t>
            </w:r>
          </w:p>
        </w:tc>
        <w:tc>
          <w:tcPr>
            <w:tcW w:w="828" w:type="dxa"/>
            <w:tcBorders>
              <w:top w:val="nil"/>
              <w:left w:val="nil"/>
              <w:bottom w:val="nil"/>
              <w:right w:val="nil"/>
            </w:tcBorders>
            <w:noWrap/>
            <w:tcMar>
              <w:top w:w="40" w:type="dxa"/>
              <w:left w:w="40" w:type="dxa"/>
              <w:bottom w:w="40" w:type="dxa"/>
              <w:right w:w="40" w:type="dxa"/>
            </w:tcMar>
            <w:vAlign w:val="bottom"/>
            <w:hideMark/>
          </w:tcPr>
          <w:p w14:paraId="0CA5C2A5"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Yes</w:t>
            </w:r>
          </w:p>
        </w:tc>
        <w:tc>
          <w:tcPr>
            <w:tcW w:w="1456" w:type="dxa"/>
            <w:tcBorders>
              <w:top w:val="nil"/>
              <w:left w:val="nil"/>
              <w:bottom w:val="nil"/>
              <w:right w:val="nil"/>
            </w:tcBorders>
            <w:noWrap/>
            <w:tcMar>
              <w:top w:w="40" w:type="dxa"/>
              <w:left w:w="40" w:type="dxa"/>
              <w:bottom w:w="40" w:type="dxa"/>
              <w:right w:w="40" w:type="dxa"/>
            </w:tcMar>
            <w:vAlign w:val="bottom"/>
            <w:hideMark/>
          </w:tcPr>
          <w:p w14:paraId="4E28F50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external validation/Meta/DEG</w:t>
            </w:r>
          </w:p>
        </w:tc>
        <w:tc>
          <w:tcPr>
            <w:tcW w:w="600" w:type="dxa"/>
            <w:tcBorders>
              <w:top w:val="nil"/>
              <w:left w:val="nil"/>
              <w:bottom w:val="nil"/>
              <w:right w:val="nil"/>
            </w:tcBorders>
            <w:noWrap/>
            <w:tcMar>
              <w:top w:w="40" w:type="dxa"/>
              <w:left w:w="40" w:type="dxa"/>
              <w:bottom w:w="40" w:type="dxa"/>
              <w:right w:w="40" w:type="dxa"/>
            </w:tcMar>
            <w:vAlign w:val="bottom"/>
            <w:hideMark/>
          </w:tcPr>
          <w:p w14:paraId="144DEE02"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0414B078"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6B375D9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GSE62452</w:t>
            </w:r>
          </w:p>
        </w:tc>
        <w:tc>
          <w:tcPr>
            <w:tcW w:w="1456" w:type="dxa"/>
            <w:tcBorders>
              <w:top w:val="nil"/>
              <w:left w:val="nil"/>
              <w:bottom w:val="nil"/>
              <w:right w:val="nil"/>
            </w:tcBorders>
            <w:noWrap/>
            <w:tcMar>
              <w:top w:w="40" w:type="dxa"/>
              <w:left w:w="40" w:type="dxa"/>
              <w:bottom w:w="40" w:type="dxa"/>
              <w:right w:w="40" w:type="dxa"/>
            </w:tcMar>
            <w:vAlign w:val="bottom"/>
            <w:hideMark/>
          </w:tcPr>
          <w:p w14:paraId="460E6736"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319A581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09330DAE"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130</w:t>
            </w:r>
          </w:p>
        </w:tc>
        <w:tc>
          <w:tcPr>
            <w:tcW w:w="885" w:type="dxa"/>
            <w:tcBorders>
              <w:top w:val="nil"/>
              <w:left w:val="nil"/>
              <w:bottom w:val="nil"/>
              <w:right w:val="nil"/>
            </w:tcBorders>
            <w:noWrap/>
            <w:tcMar>
              <w:top w:w="40" w:type="dxa"/>
              <w:left w:w="40" w:type="dxa"/>
              <w:bottom w:w="40" w:type="dxa"/>
              <w:right w:w="40" w:type="dxa"/>
            </w:tcMar>
            <w:vAlign w:val="bottom"/>
            <w:hideMark/>
          </w:tcPr>
          <w:p w14:paraId="06A08815"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69</w:t>
            </w:r>
          </w:p>
        </w:tc>
        <w:tc>
          <w:tcPr>
            <w:tcW w:w="1114" w:type="dxa"/>
            <w:tcBorders>
              <w:top w:val="nil"/>
              <w:left w:val="nil"/>
              <w:bottom w:val="nil"/>
              <w:right w:val="nil"/>
            </w:tcBorders>
            <w:noWrap/>
            <w:tcMar>
              <w:top w:w="40" w:type="dxa"/>
              <w:left w:w="40" w:type="dxa"/>
              <w:bottom w:w="40" w:type="dxa"/>
              <w:right w:w="40" w:type="dxa"/>
            </w:tcMar>
            <w:vAlign w:val="bottom"/>
            <w:hideMark/>
          </w:tcPr>
          <w:p w14:paraId="57914620"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61</w:t>
            </w:r>
          </w:p>
        </w:tc>
        <w:tc>
          <w:tcPr>
            <w:tcW w:w="828" w:type="dxa"/>
            <w:tcBorders>
              <w:top w:val="nil"/>
              <w:left w:val="nil"/>
              <w:bottom w:val="nil"/>
              <w:right w:val="nil"/>
            </w:tcBorders>
            <w:noWrap/>
            <w:tcMar>
              <w:top w:w="40" w:type="dxa"/>
              <w:left w:w="40" w:type="dxa"/>
              <w:bottom w:w="40" w:type="dxa"/>
              <w:right w:w="40" w:type="dxa"/>
            </w:tcMar>
            <w:vAlign w:val="bottom"/>
            <w:hideMark/>
          </w:tcPr>
          <w:p w14:paraId="7B3C11D0" w14:textId="3F161608" w:rsidR="004626BE" w:rsidRPr="009B3E0F" w:rsidRDefault="009B3E0F" w:rsidP="002B6C84">
            <w:pPr>
              <w:jc w:val="center"/>
              <w:rPr>
                <w:rFonts w:ascii="Times New Roman" w:hAnsi="Times New Roman" w:cs="Times New Roman" w:hint="eastAsia"/>
                <w:color w:val="000000"/>
                <w:kern w:val="0"/>
                <w14:ligatures w14:val="none"/>
              </w:rPr>
            </w:pPr>
            <w:r>
              <w:rPr>
                <w:rFonts w:ascii="Times New Roman" w:hAnsi="Times New Roman" w:cs="Times New Roman" w:hint="eastAsia"/>
                <w:color w:val="000000"/>
                <w:kern w:val="0"/>
                <w:sz w:val="16"/>
                <w14:ligatures w14:val="none"/>
              </w:rPr>
              <w:t>Yes</w:t>
            </w:r>
          </w:p>
        </w:tc>
        <w:tc>
          <w:tcPr>
            <w:tcW w:w="1456" w:type="dxa"/>
            <w:tcBorders>
              <w:top w:val="nil"/>
              <w:left w:val="nil"/>
              <w:bottom w:val="nil"/>
              <w:right w:val="nil"/>
            </w:tcBorders>
            <w:noWrap/>
            <w:tcMar>
              <w:top w:w="40" w:type="dxa"/>
              <w:left w:w="40" w:type="dxa"/>
              <w:bottom w:w="40" w:type="dxa"/>
              <w:right w:w="40" w:type="dxa"/>
            </w:tcMar>
            <w:vAlign w:val="bottom"/>
            <w:hideMark/>
          </w:tcPr>
          <w:p w14:paraId="4A8450B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external validation/Meta/DEG</w:t>
            </w:r>
          </w:p>
        </w:tc>
        <w:tc>
          <w:tcPr>
            <w:tcW w:w="600" w:type="dxa"/>
            <w:tcBorders>
              <w:top w:val="nil"/>
              <w:left w:val="nil"/>
              <w:bottom w:val="nil"/>
              <w:right w:val="nil"/>
            </w:tcBorders>
            <w:noWrap/>
            <w:tcMar>
              <w:top w:w="40" w:type="dxa"/>
              <w:left w:w="40" w:type="dxa"/>
              <w:bottom w:w="40" w:type="dxa"/>
              <w:right w:w="40" w:type="dxa"/>
            </w:tcMar>
            <w:vAlign w:val="bottom"/>
            <w:hideMark/>
          </w:tcPr>
          <w:p w14:paraId="511A96B6"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5A0A83EA"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28C291B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GSE71729</w:t>
            </w:r>
          </w:p>
        </w:tc>
        <w:tc>
          <w:tcPr>
            <w:tcW w:w="1456" w:type="dxa"/>
            <w:tcBorders>
              <w:top w:val="nil"/>
              <w:left w:val="nil"/>
              <w:bottom w:val="nil"/>
              <w:right w:val="nil"/>
            </w:tcBorders>
            <w:noWrap/>
            <w:tcMar>
              <w:top w:w="40" w:type="dxa"/>
              <w:left w:w="40" w:type="dxa"/>
              <w:bottom w:w="40" w:type="dxa"/>
              <w:right w:w="40" w:type="dxa"/>
            </w:tcMar>
            <w:vAlign w:val="bottom"/>
            <w:hideMark/>
          </w:tcPr>
          <w:p w14:paraId="4B5D9E3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618C1B7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5706A2DC"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233</w:t>
            </w:r>
          </w:p>
        </w:tc>
        <w:tc>
          <w:tcPr>
            <w:tcW w:w="885" w:type="dxa"/>
            <w:tcBorders>
              <w:top w:val="nil"/>
              <w:left w:val="nil"/>
              <w:bottom w:val="nil"/>
              <w:right w:val="nil"/>
            </w:tcBorders>
            <w:noWrap/>
            <w:tcMar>
              <w:top w:w="40" w:type="dxa"/>
              <w:left w:w="40" w:type="dxa"/>
              <w:bottom w:w="40" w:type="dxa"/>
              <w:right w:w="40" w:type="dxa"/>
            </w:tcMar>
            <w:vAlign w:val="bottom"/>
            <w:hideMark/>
          </w:tcPr>
          <w:p w14:paraId="34A2AAB7"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145</w:t>
            </w:r>
          </w:p>
        </w:tc>
        <w:tc>
          <w:tcPr>
            <w:tcW w:w="1114" w:type="dxa"/>
            <w:tcBorders>
              <w:top w:val="nil"/>
              <w:left w:val="nil"/>
              <w:bottom w:val="nil"/>
              <w:right w:val="nil"/>
            </w:tcBorders>
            <w:noWrap/>
            <w:tcMar>
              <w:top w:w="40" w:type="dxa"/>
              <w:left w:w="40" w:type="dxa"/>
              <w:bottom w:w="40" w:type="dxa"/>
              <w:right w:w="40" w:type="dxa"/>
            </w:tcMar>
            <w:vAlign w:val="bottom"/>
            <w:hideMark/>
          </w:tcPr>
          <w:p w14:paraId="5F7BEB52"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88</w:t>
            </w:r>
          </w:p>
        </w:tc>
        <w:tc>
          <w:tcPr>
            <w:tcW w:w="828" w:type="dxa"/>
            <w:tcBorders>
              <w:top w:val="nil"/>
              <w:left w:val="nil"/>
              <w:bottom w:val="nil"/>
              <w:right w:val="nil"/>
            </w:tcBorders>
            <w:noWrap/>
            <w:tcMar>
              <w:top w:w="40" w:type="dxa"/>
              <w:left w:w="40" w:type="dxa"/>
              <w:bottom w:w="40" w:type="dxa"/>
              <w:right w:w="40" w:type="dxa"/>
            </w:tcMar>
            <w:vAlign w:val="bottom"/>
            <w:hideMark/>
          </w:tcPr>
          <w:p w14:paraId="2FFF958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7B178B9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Meta</w:t>
            </w:r>
          </w:p>
        </w:tc>
        <w:tc>
          <w:tcPr>
            <w:tcW w:w="600" w:type="dxa"/>
            <w:tcBorders>
              <w:top w:val="nil"/>
              <w:left w:val="nil"/>
              <w:bottom w:val="nil"/>
              <w:right w:val="nil"/>
            </w:tcBorders>
            <w:noWrap/>
            <w:tcMar>
              <w:top w:w="40" w:type="dxa"/>
              <w:left w:w="40" w:type="dxa"/>
              <w:bottom w:w="40" w:type="dxa"/>
              <w:right w:w="40" w:type="dxa"/>
            </w:tcMar>
            <w:vAlign w:val="bottom"/>
            <w:hideMark/>
          </w:tcPr>
          <w:p w14:paraId="515236B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0656558E"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60739BF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GSE91035</w:t>
            </w:r>
          </w:p>
        </w:tc>
        <w:tc>
          <w:tcPr>
            <w:tcW w:w="1456" w:type="dxa"/>
            <w:tcBorders>
              <w:top w:val="nil"/>
              <w:left w:val="nil"/>
              <w:bottom w:val="nil"/>
              <w:right w:val="nil"/>
            </w:tcBorders>
            <w:noWrap/>
            <w:tcMar>
              <w:top w:w="40" w:type="dxa"/>
              <w:left w:w="40" w:type="dxa"/>
              <w:bottom w:w="40" w:type="dxa"/>
              <w:right w:w="40" w:type="dxa"/>
            </w:tcMar>
            <w:vAlign w:val="bottom"/>
            <w:hideMark/>
          </w:tcPr>
          <w:p w14:paraId="4E34665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4B48111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26C4A39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50</w:t>
            </w:r>
          </w:p>
        </w:tc>
        <w:tc>
          <w:tcPr>
            <w:tcW w:w="885" w:type="dxa"/>
            <w:tcBorders>
              <w:top w:val="nil"/>
              <w:left w:val="nil"/>
              <w:bottom w:val="nil"/>
              <w:right w:val="nil"/>
            </w:tcBorders>
            <w:noWrap/>
            <w:tcMar>
              <w:top w:w="40" w:type="dxa"/>
              <w:left w:w="40" w:type="dxa"/>
              <w:bottom w:w="40" w:type="dxa"/>
              <w:right w:w="40" w:type="dxa"/>
            </w:tcMar>
            <w:vAlign w:val="bottom"/>
            <w:hideMark/>
          </w:tcPr>
          <w:p w14:paraId="60C53BA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27</w:t>
            </w:r>
          </w:p>
        </w:tc>
        <w:tc>
          <w:tcPr>
            <w:tcW w:w="1114" w:type="dxa"/>
            <w:tcBorders>
              <w:top w:val="nil"/>
              <w:left w:val="nil"/>
              <w:bottom w:val="nil"/>
              <w:right w:val="nil"/>
            </w:tcBorders>
            <w:noWrap/>
            <w:tcMar>
              <w:top w:w="40" w:type="dxa"/>
              <w:left w:w="40" w:type="dxa"/>
              <w:bottom w:w="40" w:type="dxa"/>
              <w:right w:w="40" w:type="dxa"/>
            </w:tcMar>
            <w:vAlign w:val="bottom"/>
            <w:hideMark/>
          </w:tcPr>
          <w:p w14:paraId="098DBD40"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23</w:t>
            </w:r>
          </w:p>
        </w:tc>
        <w:tc>
          <w:tcPr>
            <w:tcW w:w="828" w:type="dxa"/>
            <w:tcBorders>
              <w:top w:val="nil"/>
              <w:left w:val="nil"/>
              <w:bottom w:val="nil"/>
              <w:right w:val="nil"/>
            </w:tcBorders>
            <w:noWrap/>
            <w:tcMar>
              <w:top w:w="40" w:type="dxa"/>
              <w:left w:w="40" w:type="dxa"/>
              <w:bottom w:w="40" w:type="dxa"/>
              <w:right w:w="40" w:type="dxa"/>
            </w:tcMar>
            <w:vAlign w:val="bottom"/>
            <w:hideMark/>
          </w:tcPr>
          <w:p w14:paraId="1DA1FC58"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6A5A895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Meta</w:t>
            </w:r>
          </w:p>
        </w:tc>
        <w:tc>
          <w:tcPr>
            <w:tcW w:w="600" w:type="dxa"/>
            <w:tcBorders>
              <w:top w:val="nil"/>
              <w:left w:val="nil"/>
              <w:bottom w:val="nil"/>
              <w:right w:val="nil"/>
            </w:tcBorders>
            <w:noWrap/>
            <w:tcMar>
              <w:top w:w="40" w:type="dxa"/>
              <w:left w:w="40" w:type="dxa"/>
              <w:bottom w:w="40" w:type="dxa"/>
              <w:right w:w="40" w:type="dxa"/>
            </w:tcMar>
            <w:vAlign w:val="bottom"/>
            <w:hideMark/>
          </w:tcPr>
          <w:p w14:paraId="2E54CD5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3B0B6F2E"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391CDEF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GSE196009</w:t>
            </w:r>
          </w:p>
        </w:tc>
        <w:tc>
          <w:tcPr>
            <w:tcW w:w="1456" w:type="dxa"/>
            <w:tcBorders>
              <w:top w:val="nil"/>
              <w:left w:val="nil"/>
              <w:bottom w:val="nil"/>
              <w:right w:val="nil"/>
            </w:tcBorders>
            <w:noWrap/>
            <w:tcMar>
              <w:top w:w="40" w:type="dxa"/>
              <w:left w:w="40" w:type="dxa"/>
              <w:bottom w:w="40" w:type="dxa"/>
              <w:right w:w="40" w:type="dxa"/>
            </w:tcMar>
            <w:vAlign w:val="bottom"/>
            <w:hideMark/>
          </w:tcPr>
          <w:p w14:paraId="23A33E7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489F472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217A3FD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19</w:t>
            </w:r>
          </w:p>
        </w:tc>
        <w:tc>
          <w:tcPr>
            <w:tcW w:w="885" w:type="dxa"/>
            <w:tcBorders>
              <w:top w:val="nil"/>
              <w:left w:val="nil"/>
              <w:bottom w:val="nil"/>
              <w:right w:val="nil"/>
            </w:tcBorders>
            <w:noWrap/>
            <w:tcMar>
              <w:top w:w="40" w:type="dxa"/>
              <w:left w:w="40" w:type="dxa"/>
              <w:bottom w:w="40" w:type="dxa"/>
              <w:right w:w="40" w:type="dxa"/>
            </w:tcMar>
            <w:vAlign w:val="bottom"/>
            <w:hideMark/>
          </w:tcPr>
          <w:p w14:paraId="69EF3726"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13</w:t>
            </w:r>
          </w:p>
        </w:tc>
        <w:tc>
          <w:tcPr>
            <w:tcW w:w="1114" w:type="dxa"/>
            <w:tcBorders>
              <w:top w:val="nil"/>
              <w:left w:val="nil"/>
              <w:bottom w:val="nil"/>
              <w:right w:val="nil"/>
            </w:tcBorders>
            <w:noWrap/>
            <w:tcMar>
              <w:top w:w="40" w:type="dxa"/>
              <w:left w:w="40" w:type="dxa"/>
              <w:bottom w:w="40" w:type="dxa"/>
              <w:right w:w="40" w:type="dxa"/>
            </w:tcMar>
            <w:vAlign w:val="bottom"/>
            <w:hideMark/>
          </w:tcPr>
          <w:p w14:paraId="1923A12C"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828" w:type="dxa"/>
            <w:tcBorders>
              <w:top w:val="nil"/>
              <w:left w:val="nil"/>
              <w:bottom w:val="nil"/>
              <w:right w:val="nil"/>
            </w:tcBorders>
            <w:noWrap/>
            <w:tcMar>
              <w:top w:w="40" w:type="dxa"/>
              <w:left w:w="40" w:type="dxa"/>
              <w:bottom w:w="40" w:type="dxa"/>
              <w:right w:w="40" w:type="dxa"/>
            </w:tcMar>
            <w:vAlign w:val="bottom"/>
            <w:hideMark/>
          </w:tcPr>
          <w:p w14:paraId="06EACBD6"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789A82B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Meta</w:t>
            </w:r>
          </w:p>
        </w:tc>
        <w:tc>
          <w:tcPr>
            <w:tcW w:w="600" w:type="dxa"/>
            <w:tcBorders>
              <w:top w:val="nil"/>
              <w:left w:val="nil"/>
              <w:bottom w:val="nil"/>
              <w:right w:val="nil"/>
            </w:tcBorders>
            <w:noWrap/>
            <w:tcMar>
              <w:top w:w="40" w:type="dxa"/>
              <w:left w:w="40" w:type="dxa"/>
              <w:bottom w:w="40" w:type="dxa"/>
              <w:right w:w="40" w:type="dxa"/>
            </w:tcMar>
            <w:vAlign w:val="bottom"/>
            <w:hideMark/>
          </w:tcPr>
          <w:p w14:paraId="5A95AC9A"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25312E85"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40B50C6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GSE171485</w:t>
            </w:r>
          </w:p>
        </w:tc>
        <w:tc>
          <w:tcPr>
            <w:tcW w:w="1456" w:type="dxa"/>
            <w:tcBorders>
              <w:top w:val="nil"/>
              <w:left w:val="nil"/>
              <w:bottom w:val="nil"/>
              <w:right w:val="nil"/>
            </w:tcBorders>
            <w:noWrap/>
            <w:tcMar>
              <w:top w:w="40" w:type="dxa"/>
              <w:left w:w="40" w:type="dxa"/>
              <w:bottom w:w="40" w:type="dxa"/>
              <w:right w:w="40" w:type="dxa"/>
            </w:tcMar>
            <w:vAlign w:val="bottom"/>
            <w:hideMark/>
          </w:tcPr>
          <w:p w14:paraId="7CA8C8D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722CE31F"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Illumina</w:t>
            </w:r>
          </w:p>
        </w:tc>
        <w:tc>
          <w:tcPr>
            <w:tcW w:w="1028" w:type="dxa"/>
            <w:tcBorders>
              <w:top w:val="nil"/>
              <w:left w:val="nil"/>
              <w:bottom w:val="nil"/>
              <w:right w:val="nil"/>
            </w:tcBorders>
            <w:noWrap/>
            <w:tcMar>
              <w:top w:w="40" w:type="dxa"/>
              <w:left w:w="40" w:type="dxa"/>
              <w:bottom w:w="40" w:type="dxa"/>
              <w:right w:w="40" w:type="dxa"/>
            </w:tcMar>
            <w:vAlign w:val="bottom"/>
            <w:hideMark/>
          </w:tcPr>
          <w:p w14:paraId="3F121D5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12</w:t>
            </w:r>
          </w:p>
        </w:tc>
        <w:tc>
          <w:tcPr>
            <w:tcW w:w="885" w:type="dxa"/>
            <w:tcBorders>
              <w:top w:val="nil"/>
              <w:left w:val="nil"/>
              <w:bottom w:val="nil"/>
              <w:right w:val="nil"/>
            </w:tcBorders>
            <w:noWrap/>
            <w:tcMar>
              <w:top w:w="40" w:type="dxa"/>
              <w:left w:w="40" w:type="dxa"/>
              <w:bottom w:w="40" w:type="dxa"/>
              <w:right w:w="40" w:type="dxa"/>
            </w:tcMar>
            <w:vAlign w:val="bottom"/>
            <w:hideMark/>
          </w:tcPr>
          <w:p w14:paraId="34FD516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1114" w:type="dxa"/>
            <w:tcBorders>
              <w:top w:val="nil"/>
              <w:left w:val="nil"/>
              <w:bottom w:val="nil"/>
              <w:right w:val="nil"/>
            </w:tcBorders>
            <w:noWrap/>
            <w:tcMar>
              <w:top w:w="40" w:type="dxa"/>
              <w:left w:w="40" w:type="dxa"/>
              <w:bottom w:w="40" w:type="dxa"/>
              <w:right w:w="40" w:type="dxa"/>
            </w:tcMar>
            <w:vAlign w:val="bottom"/>
            <w:hideMark/>
          </w:tcPr>
          <w:p w14:paraId="752997D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828" w:type="dxa"/>
            <w:tcBorders>
              <w:top w:val="nil"/>
              <w:left w:val="nil"/>
              <w:bottom w:val="nil"/>
              <w:right w:val="nil"/>
            </w:tcBorders>
            <w:noWrap/>
            <w:tcMar>
              <w:top w:w="40" w:type="dxa"/>
              <w:left w:w="40" w:type="dxa"/>
              <w:bottom w:w="40" w:type="dxa"/>
              <w:right w:w="40" w:type="dxa"/>
            </w:tcMar>
            <w:vAlign w:val="bottom"/>
            <w:hideMark/>
          </w:tcPr>
          <w:p w14:paraId="57B3EE3F"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2CC7D58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Meta</w:t>
            </w:r>
          </w:p>
        </w:tc>
        <w:tc>
          <w:tcPr>
            <w:tcW w:w="600" w:type="dxa"/>
            <w:tcBorders>
              <w:top w:val="nil"/>
              <w:left w:val="nil"/>
              <w:bottom w:val="nil"/>
              <w:right w:val="nil"/>
            </w:tcBorders>
            <w:noWrap/>
            <w:tcMar>
              <w:top w:w="40" w:type="dxa"/>
              <w:left w:w="40" w:type="dxa"/>
              <w:bottom w:w="40" w:type="dxa"/>
              <w:right w:w="40" w:type="dxa"/>
            </w:tcMar>
            <w:vAlign w:val="bottom"/>
            <w:hideMark/>
          </w:tcPr>
          <w:p w14:paraId="09588D4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6525F008"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6AD2679A"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GSE183795</w:t>
            </w:r>
          </w:p>
        </w:tc>
        <w:tc>
          <w:tcPr>
            <w:tcW w:w="1456" w:type="dxa"/>
            <w:tcBorders>
              <w:top w:val="nil"/>
              <w:left w:val="nil"/>
              <w:bottom w:val="nil"/>
              <w:right w:val="nil"/>
            </w:tcBorders>
            <w:noWrap/>
            <w:tcMar>
              <w:top w:w="40" w:type="dxa"/>
              <w:left w:w="40" w:type="dxa"/>
              <w:bottom w:w="40" w:type="dxa"/>
              <w:right w:w="40" w:type="dxa"/>
            </w:tcMar>
            <w:vAlign w:val="bottom"/>
            <w:hideMark/>
          </w:tcPr>
          <w:p w14:paraId="24DD5D22"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5B4AA14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microarray</w:t>
            </w:r>
          </w:p>
        </w:tc>
        <w:tc>
          <w:tcPr>
            <w:tcW w:w="1028" w:type="dxa"/>
            <w:tcBorders>
              <w:top w:val="nil"/>
              <w:left w:val="nil"/>
              <w:bottom w:val="nil"/>
              <w:right w:val="nil"/>
            </w:tcBorders>
            <w:noWrap/>
            <w:tcMar>
              <w:top w:w="40" w:type="dxa"/>
              <w:left w:w="40" w:type="dxa"/>
              <w:bottom w:w="40" w:type="dxa"/>
              <w:right w:w="40" w:type="dxa"/>
            </w:tcMar>
            <w:vAlign w:val="bottom"/>
            <w:hideMark/>
          </w:tcPr>
          <w:p w14:paraId="59198538"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244</w:t>
            </w:r>
          </w:p>
        </w:tc>
        <w:tc>
          <w:tcPr>
            <w:tcW w:w="885" w:type="dxa"/>
            <w:tcBorders>
              <w:top w:val="nil"/>
              <w:left w:val="nil"/>
              <w:bottom w:val="nil"/>
              <w:right w:val="nil"/>
            </w:tcBorders>
            <w:noWrap/>
            <w:tcMar>
              <w:top w:w="40" w:type="dxa"/>
              <w:left w:w="40" w:type="dxa"/>
              <w:bottom w:w="40" w:type="dxa"/>
              <w:right w:w="40" w:type="dxa"/>
            </w:tcMar>
            <w:vAlign w:val="bottom"/>
            <w:hideMark/>
          </w:tcPr>
          <w:p w14:paraId="4318952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139</w:t>
            </w:r>
          </w:p>
        </w:tc>
        <w:tc>
          <w:tcPr>
            <w:tcW w:w="1114" w:type="dxa"/>
            <w:tcBorders>
              <w:top w:val="nil"/>
              <w:left w:val="nil"/>
              <w:bottom w:val="nil"/>
              <w:right w:val="nil"/>
            </w:tcBorders>
            <w:noWrap/>
            <w:tcMar>
              <w:top w:w="40" w:type="dxa"/>
              <w:left w:w="40" w:type="dxa"/>
              <w:bottom w:w="40" w:type="dxa"/>
              <w:right w:w="40" w:type="dxa"/>
            </w:tcMar>
            <w:vAlign w:val="bottom"/>
            <w:hideMark/>
          </w:tcPr>
          <w:p w14:paraId="211FC567"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105</w:t>
            </w:r>
          </w:p>
        </w:tc>
        <w:tc>
          <w:tcPr>
            <w:tcW w:w="828" w:type="dxa"/>
            <w:tcBorders>
              <w:top w:val="nil"/>
              <w:left w:val="nil"/>
              <w:bottom w:val="nil"/>
              <w:right w:val="nil"/>
            </w:tcBorders>
            <w:noWrap/>
            <w:tcMar>
              <w:top w:w="40" w:type="dxa"/>
              <w:left w:w="40" w:type="dxa"/>
              <w:bottom w:w="40" w:type="dxa"/>
              <w:right w:w="40" w:type="dxa"/>
            </w:tcMar>
            <w:vAlign w:val="bottom"/>
            <w:hideMark/>
          </w:tcPr>
          <w:p w14:paraId="5AE4C307" w14:textId="5E7672C0" w:rsidR="004626BE" w:rsidRPr="009B3E0F" w:rsidRDefault="009B3E0F" w:rsidP="002B6C84">
            <w:pPr>
              <w:jc w:val="center"/>
              <w:rPr>
                <w:rFonts w:ascii="Times New Roman" w:hAnsi="Times New Roman" w:cs="Times New Roman" w:hint="eastAsia"/>
                <w:color w:val="000000"/>
                <w:kern w:val="0"/>
                <w14:ligatures w14:val="none"/>
              </w:rPr>
            </w:pPr>
            <w:r>
              <w:rPr>
                <w:rFonts w:ascii="Times New Roman" w:hAnsi="Times New Roman" w:cs="Times New Roman" w:hint="eastAsia"/>
                <w:color w:val="000000"/>
                <w:kern w:val="0"/>
                <w:sz w:val="16"/>
                <w14:ligatures w14:val="none"/>
              </w:rPr>
              <w:t>Yes</w:t>
            </w:r>
          </w:p>
        </w:tc>
        <w:tc>
          <w:tcPr>
            <w:tcW w:w="1456" w:type="dxa"/>
            <w:tcBorders>
              <w:top w:val="nil"/>
              <w:left w:val="nil"/>
              <w:bottom w:val="nil"/>
              <w:right w:val="nil"/>
            </w:tcBorders>
            <w:noWrap/>
            <w:tcMar>
              <w:top w:w="40" w:type="dxa"/>
              <w:left w:w="40" w:type="dxa"/>
              <w:bottom w:w="40" w:type="dxa"/>
              <w:right w:w="40" w:type="dxa"/>
            </w:tcMar>
            <w:vAlign w:val="bottom"/>
            <w:hideMark/>
          </w:tcPr>
          <w:p w14:paraId="151ACFB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training /Meta/DEG</w:t>
            </w:r>
          </w:p>
        </w:tc>
        <w:tc>
          <w:tcPr>
            <w:tcW w:w="600" w:type="dxa"/>
            <w:tcBorders>
              <w:top w:val="nil"/>
              <w:left w:val="nil"/>
              <w:bottom w:val="nil"/>
              <w:right w:val="nil"/>
            </w:tcBorders>
            <w:noWrap/>
            <w:tcMar>
              <w:top w:w="40" w:type="dxa"/>
              <w:left w:w="40" w:type="dxa"/>
              <w:bottom w:w="40" w:type="dxa"/>
              <w:right w:w="40" w:type="dxa"/>
            </w:tcMar>
            <w:vAlign w:val="bottom"/>
            <w:hideMark/>
          </w:tcPr>
          <w:p w14:paraId="40A06A9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69E7A2FD"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7B764030"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GSE190903</w:t>
            </w:r>
          </w:p>
        </w:tc>
        <w:tc>
          <w:tcPr>
            <w:tcW w:w="1456" w:type="dxa"/>
            <w:tcBorders>
              <w:top w:val="nil"/>
              <w:left w:val="nil"/>
              <w:bottom w:val="nil"/>
              <w:right w:val="nil"/>
            </w:tcBorders>
            <w:noWrap/>
            <w:tcMar>
              <w:top w:w="40" w:type="dxa"/>
              <w:left w:w="40" w:type="dxa"/>
              <w:bottom w:w="40" w:type="dxa"/>
              <w:right w:w="40" w:type="dxa"/>
            </w:tcMar>
            <w:vAlign w:val="bottom"/>
            <w:hideMark/>
          </w:tcPr>
          <w:p w14:paraId="0289771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6EAB48CF"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Illumina</w:t>
            </w:r>
          </w:p>
        </w:tc>
        <w:tc>
          <w:tcPr>
            <w:tcW w:w="1028" w:type="dxa"/>
            <w:tcBorders>
              <w:top w:val="nil"/>
              <w:left w:val="nil"/>
              <w:bottom w:val="nil"/>
              <w:right w:val="nil"/>
            </w:tcBorders>
            <w:noWrap/>
            <w:tcMar>
              <w:top w:w="40" w:type="dxa"/>
              <w:left w:w="40" w:type="dxa"/>
              <w:bottom w:w="40" w:type="dxa"/>
              <w:right w:w="40" w:type="dxa"/>
            </w:tcMar>
            <w:vAlign w:val="bottom"/>
            <w:hideMark/>
          </w:tcPr>
          <w:p w14:paraId="3C150CA9"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885" w:type="dxa"/>
            <w:tcBorders>
              <w:top w:val="nil"/>
              <w:left w:val="nil"/>
              <w:bottom w:val="nil"/>
              <w:right w:val="nil"/>
            </w:tcBorders>
            <w:noWrap/>
            <w:tcMar>
              <w:top w:w="40" w:type="dxa"/>
              <w:left w:w="40" w:type="dxa"/>
              <w:bottom w:w="40" w:type="dxa"/>
              <w:right w:w="40" w:type="dxa"/>
            </w:tcMar>
            <w:vAlign w:val="bottom"/>
            <w:hideMark/>
          </w:tcPr>
          <w:p w14:paraId="0E9389B0"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1114" w:type="dxa"/>
            <w:tcBorders>
              <w:top w:val="nil"/>
              <w:left w:val="nil"/>
              <w:bottom w:val="nil"/>
              <w:right w:val="nil"/>
            </w:tcBorders>
            <w:noWrap/>
            <w:tcMar>
              <w:top w:w="40" w:type="dxa"/>
              <w:left w:w="40" w:type="dxa"/>
              <w:bottom w:w="40" w:type="dxa"/>
              <w:right w:w="40" w:type="dxa"/>
            </w:tcMar>
            <w:vAlign w:val="bottom"/>
            <w:hideMark/>
          </w:tcPr>
          <w:p w14:paraId="4D15D3B1"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0</w:t>
            </w:r>
          </w:p>
        </w:tc>
        <w:tc>
          <w:tcPr>
            <w:tcW w:w="828" w:type="dxa"/>
            <w:tcBorders>
              <w:top w:val="nil"/>
              <w:left w:val="nil"/>
              <w:bottom w:val="nil"/>
              <w:right w:val="nil"/>
            </w:tcBorders>
            <w:noWrap/>
            <w:tcMar>
              <w:top w:w="40" w:type="dxa"/>
              <w:left w:w="40" w:type="dxa"/>
              <w:bottom w:w="40" w:type="dxa"/>
              <w:right w:w="40" w:type="dxa"/>
            </w:tcMar>
            <w:vAlign w:val="bottom"/>
            <w:hideMark/>
          </w:tcPr>
          <w:p w14:paraId="5967145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6283AAF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GSVA</w:t>
            </w:r>
          </w:p>
        </w:tc>
        <w:tc>
          <w:tcPr>
            <w:tcW w:w="600" w:type="dxa"/>
            <w:tcBorders>
              <w:top w:val="nil"/>
              <w:left w:val="nil"/>
              <w:bottom w:val="nil"/>
              <w:right w:val="nil"/>
            </w:tcBorders>
            <w:noWrap/>
            <w:tcMar>
              <w:top w:w="40" w:type="dxa"/>
              <w:left w:w="40" w:type="dxa"/>
              <w:bottom w:w="40" w:type="dxa"/>
              <w:right w:w="40" w:type="dxa"/>
            </w:tcMar>
            <w:vAlign w:val="bottom"/>
            <w:hideMark/>
          </w:tcPr>
          <w:p w14:paraId="704388E5"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Mouse</w:t>
            </w:r>
          </w:p>
        </w:tc>
      </w:tr>
      <w:tr w:rsidR="004626BE" w:rsidRPr="00725BA7" w14:paraId="5C6870A4"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7664B00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GSE291033</w:t>
            </w:r>
          </w:p>
        </w:tc>
        <w:tc>
          <w:tcPr>
            <w:tcW w:w="1456" w:type="dxa"/>
            <w:tcBorders>
              <w:top w:val="nil"/>
              <w:left w:val="nil"/>
              <w:bottom w:val="nil"/>
              <w:right w:val="nil"/>
            </w:tcBorders>
            <w:noWrap/>
            <w:tcMar>
              <w:top w:w="40" w:type="dxa"/>
              <w:left w:w="40" w:type="dxa"/>
              <w:bottom w:w="40" w:type="dxa"/>
              <w:right w:w="40" w:type="dxa"/>
            </w:tcMar>
            <w:vAlign w:val="bottom"/>
            <w:hideMark/>
          </w:tcPr>
          <w:p w14:paraId="0FC200D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bulk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20A81619"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Illumina</w:t>
            </w:r>
          </w:p>
        </w:tc>
        <w:tc>
          <w:tcPr>
            <w:tcW w:w="1028" w:type="dxa"/>
            <w:tcBorders>
              <w:top w:val="nil"/>
              <w:left w:val="nil"/>
              <w:bottom w:val="nil"/>
              <w:right w:val="nil"/>
            </w:tcBorders>
            <w:noWrap/>
            <w:tcMar>
              <w:top w:w="40" w:type="dxa"/>
              <w:left w:w="40" w:type="dxa"/>
              <w:bottom w:w="40" w:type="dxa"/>
              <w:right w:w="40" w:type="dxa"/>
            </w:tcMar>
            <w:vAlign w:val="bottom"/>
            <w:hideMark/>
          </w:tcPr>
          <w:p w14:paraId="6B648190"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12</w:t>
            </w:r>
          </w:p>
        </w:tc>
        <w:tc>
          <w:tcPr>
            <w:tcW w:w="885" w:type="dxa"/>
            <w:tcBorders>
              <w:top w:val="nil"/>
              <w:left w:val="nil"/>
              <w:bottom w:val="nil"/>
              <w:right w:val="nil"/>
            </w:tcBorders>
            <w:noWrap/>
            <w:tcMar>
              <w:top w:w="40" w:type="dxa"/>
              <w:left w:w="40" w:type="dxa"/>
              <w:bottom w:w="40" w:type="dxa"/>
              <w:right w:w="40" w:type="dxa"/>
            </w:tcMar>
            <w:vAlign w:val="bottom"/>
            <w:hideMark/>
          </w:tcPr>
          <w:p w14:paraId="09CB7245"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1114" w:type="dxa"/>
            <w:tcBorders>
              <w:top w:val="nil"/>
              <w:left w:val="nil"/>
              <w:bottom w:val="nil"/>
              <w:right w:val="nil"/>
            </w:tcBorders>
            <w:noWrap/>
            <w:tcMar>
              <w:top w:w="40" w:type="dxa"/>
              <w:left w:w="40" w:type="dxa"/>
              <w:bottom w:w="40" w:type="dxa"/>
              <w:right w:w="40" w:type="dxa"/>
            </w:tcMar>
            <w:vAlign w:val="bottom"/>
            <w:hideMark/>
          </w:tcPr>
          <w:p w14:paraId="5CEB6568"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828" w:type="dxa"/>
            <w:tcBorders>
              <w:top w:val="nil"/>
              <w:left w:val="nil"/>
              <w:bottom w:val="nil"/>
              <w:right w:val="nil"/>
            </w:tcBorders>
            <w:noWrap/>
            <w:tcMar>
              <w:top w:w="40" w:type="dxa"/>
              <w:left w:w="40" w:type="dxa"/>
              <w:bottom w:w="40" w:type="dxa"/>
              <w:right w:w="40" w:type="dxa"/>
            </w:tcMar>
            <w:vAlign w:val="bottom"/>
            <w:hideMark/>
          </w:tcPr>
          <w:p w14:paraId="4D9E244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w:t>
            </w:r>
          </w:p>
        </w:tc>
        <w:tc>
          <w:tcPr>
            <w:tcW w:w="1456" w:type="dxa"/>
            <w:tcBorders>
              <w:top w:val="nil"/>
              <w:left w:val="nil"/>
              <w:bottom w:val="nil"/>
              <w:right w:val="nil"/>
            </w:tcBorders>
            <w:noWrap/>
            <w:tcMar>
              <w:top w:w="40" w:type="dxa"/>
              <w:left w:w="40" w:type="dxa"/>
              <w:bottom w:w="40" w:type="dxa"/>
              <w:right w:w="40" w:type="dxa"/>
            </w:tcMar>
            <w:vAlign w:val="bottom"/>
            <w:hideMark/>
          </w:tcPr>
          <w:p w14:paraId="46E31F19"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GSVA</w:t>
            </w:r>
          </w:p>
        </w:tc>
        <w:tc>
          <w:tcPr>
            <w:tcW w:w="600" w:type="dxa"/>
            <w:tcBorders>
              <w:top w:val="nil"/>
              <w:left w:val="nil"/>
              <w:bottom w:val="nil"/>
              <w:right w:val="nil"/>
            </w:tcBorders>
            <w:noWrap/>
            <w:tcMar>
              <w:top w:w="40" w:type="dxa"/>
              <w:left w:w="40" w:type="dxa"/>
              <w:bottom w:w="40" w:type="dxa"/>
              <w:right w:w="40" w:type="dxa"/>
            </w:tcMar>
            <w:vAlign w:val="bottom"/>
            <w:hideMark/>
          </w:tcPr>
          <w:p w14:paraId="122CD15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3AFF99A2"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2DB6229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GSE155698</w:t>
            </w:r>
          </w:p>
        </w:tc>
        <w:tc>
          <w:tcPr>
            <w:tcW w:w="1456" w:type="dxa"/>
            <w:tcBorders>
              <w:top w:val="nil"/>
              <w:left w:val="nil"/>
              <w:bottom w:val="nil"/>
              <w:right w:val="nil"/>
            </w:tcBorders>
            <w:noWrap/>
            <w:tcMar>
              <w:top w:w="40" w:type="dxa"/>
              <w:left w:w="40" w:type="dxa"/>
              <w:bottom w:w="40" w:type="dxa"/>
              <w:right w:w="40" w:type="dxa"/>
            </w:tcMar>
            <w:vAlign w:val="bottom"/>
            <w:hideMark/>
          </w:tcPr>
          <w:p w14:paraId="3F59BA9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70592F57"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287A04AF"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55854 cells/19</w:t>
            </w:r>
          </w:p>
        </w:tc>
        <w:tc>
          <w:tcPr>
            <w:tcW w:w="885" w:type="dxa"/>
            <w:tcBorders>
              <w:top w:val="nil"/>
              <w:left w:val="nil"/>
              <w:bottom w:val="nil"/>
              <w:right w:val="nil"/>
            </w:tcBorders>
            <w:noWrap/>
            <w:tcMar>
              <w:top w:w="40" w:type="dxa"/>
              <w:left w:w="40" w:type="dxa"/>
              <w:bottom w:w="40" w:type="dxa"/>
              <w:right w:w="40" w:type="dxa"/>
            </w:tcMar>
            <w:vAlign w:val="bottom"/>
            <w:hideMark/>
          </w:tcPr>
          <w:p w14:paraId="6C126C96"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16</w:t>
            </w:r>
          </w:p>
        </w:tc>
        <w:tc>
          <w:tcPr>
            <w:tcW w:w="1114" w:type="dxa"/>
            <w:tcBorders>
              <w:top w:val="nil"/>
              <w:left w:val="nil"/>
              <w:bottom w:val="nil"/>
              <w:right w:val="nil"/>
            </w:tcBorders>
            <w:noWrap/>
            <w:tcMar>
              <w:top w:w="40" w:type="dxa"/>
              <w:left w:w="40" w:type="dxa"/>
              <w:bottom w:w="40" w:type="dxa"/>
              <w:right w:w="40" w:type="dxa"/>
            </w:tcMar>
            <w:vAlign w:val="bottom"/>
            <w:hideMark/>
          </w:tcPr>
          <w:p w14:paraId="19DCAD7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3</w:t>
            </w:r>
          </w:p>
        </w:tc>
        <w:tc>
          <w:tcPr>
            <w:tcW w:w="828" w:type="dxa"/>
            <w:tcBorders>
              <w:top w:val="nil"/>
              <w:left w:val="nil"/>
              <w:bottom w:val="nil"/>
              <w:right w:val="nil"/>
            </w:tcBorders>
            <w:noWrap/>
            <w:tcMar>
              <w:top w:w="40" w:type="dxa"/>
              <w:left w:w="40" w:type="dxa"/>
              <w:bottom w:w="40" w:type="dxa"/>
              <w:right w:w="40" w:type="dxa"/>
            </w:tcMar>
            <w:vAlign w:val="bottom"/>
            <w:hideMark/>
          </w:tcPr>
          <w:p w14:paraId="41F80C3E"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63FA881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1D43542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44B215AF"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7AB5AA4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GSE197177</w:t>
            </w:r>
          </w:p>
        </w:tc>
        <w:tc>
          <w:tcPr>
            <w:tcW w:w="1456" w:type="dxa"/>
            <w:tcBorders>
              <w:top w:val="nil"/>
              <w:left w:val="nil"/>
              <w:bottom w:val="nil"/>
              <w:right w:val="nil"/>
            </w:tcBorders>
            <w:noWrap/>
            <w:tcMar>
              <w:top w:w="40" w:type="dxa"/>
              <w:left w:w="40" w:type="dxa"/>
              <w:bottom w:w="40" w:type="dxa"/>
              <w:right w:w="40" w:type="dxa"/>
            </w:tcMar>
            <w:vAlign w:val="bottom"/>
            <w:hideMark/>
          </w:tcPr>
          <w:p w14:paraId="26532CA2"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5FE4029D"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494530FA"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39572 cells/5</w:t>
            </w:r>
          </w:p>
        </w:tc>
        <w:tc>
          <w:tcPr>
            <w:tcW w:w="885" w:type="dxa"/>
            <w:tcBorders>
              <w:top w:val="nil"/>
              <w:left w:val="nil"/>
              <w:bottom w:val="nil"/>
              <w:right w:val="nil"/>
            </w:tcBorders>
            <w:noWrap/>
            <w:tcMar>
              <w:top w:w="40" w:type="dxa"/>
              <w:left w:w="40" w:type="dxa"/>
              <w:bottom w:w="40" w:type="dxa"/>
              <w:right w:w="40" w:type="dxa"/>
            </w:tcMar>
            <w:vAlign w:val="bottom"/>
            <w:hideMark/>
          </w:tcPr>
          <w:p w14:paraId="7E74CEE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w:t>
            </w:r>
          </w:p>
        </w:tc>
        <w:tc>
          <w:tcPr>
            <w:tcW w:w="1114" w:type="dxa"/>
            <w:tcBorders>
              <w:top w:val="nil"/>
              <w:left w:val="nil"/>
              <w:bottom w:val="nil"/>
              <w:right w:val="nil"/>
            </w:tcBorders>
            <w:noWrap/>
            <w:tcMar>
              <w:top w:w="40" w:type="dxa"/>
              <w:left w:w="40" w:type="dxa"/>
              <w:bottom w:w="40" w:type="dxa"/>
              <w:right w:w="40" w:type="dxa"/>
            </w:tcMar>
            <w:vAlign w:val="bottom"/>
            <w:hideMark/>
          </w:tcPr>
          <w:p w14:paraId="62320C7E"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w:t>
            </w:r>
          </w:p>
        </w:tc>
        <w:tc>
          <w:tcPr>
            <w:tcW w:w="828" w:type="dxa"/>
            <w:tcBorders>
              <w:top w:val="nil"/>
              <w:left w:val="nil"/>
              <w:bottom w:val="nil"/>
              <w:right w:val="nil"/>
            </w:tcBorders>
            <w:noWrap/>
            <w:tcMar>
              <w:top w:w="40" w:type="dxa"/>
              <w:left w:w="40" w:type="dxa"/>
              <w:bottom w:w="40" w:type="dxa"/>
              <w:right w:w="40" w:type="dxa"/>
            </w:tcMar>
            <w:vAlign w:val="bottom"/>
            <w:hideMark/>
          </w:tcPr>
          <w:p w14:paraId="35162DC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2EE78D6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04296FC9"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074DBC4B"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7EF6C61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GSE212966</w:t>
            </w:r>
          </w:p>
        </w:tc>
        <w:tc>
          <w:tcPr>
            <w:tcW w:w="1456" w:type="dxa"/>
            <w:tcBorders>
              <w:top w:val="nil"/>
              <w:left w:val="nil"/>
              <w:bottom w:val="nil"/>
              <w:right w:val="nil"/>
            </w:tcBorders>
            <w:noWrap/>
            <w:tcMar>
              <w:top w:w="40" w:type="dxa"/>
              <w:left w:w="40" w:type="dxa"/>
              <w:bottom w:w="40" w:type="dxa"/>
              <w:right w:w="40" w:type="dxa"/>
            </w:tcMar>
            <w:vAlign w:val="bottom"/>
            <w:hideMark/>
          </w:tcPr>
          <w:p w14:paraId="5C1A79A8"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7EBA1471"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43AF414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69105 cells/12</w:t>
            </w:r>
          </w:p>
        </w:tc>
        <w:tc>
          <w:tcPr>
            <w:tcW w:w="885" w:type="dxa"/>
            <w:tcBorders>
              <w:top w:val="nil"/>
              <w:left w:val="nil"/>
              <w:bottom w:val="nil"/>
              <w:right w:val="nil"/>
            </w:tcBorders>
            <w:noWrap/>
            <w:tcMar>
              <w:top w:w="40" w:type="dxa"/>
              <w:left w:w="40" w:type="dxa"/>
              <w:bottom w:w="40" w:type="dxa"/>
              <w:right w:w="40" w:type="dxa"/>
            </w:tcMar>
            <w:vAlign w:val="bottom"/>
            <w:hideMark/>
          </w:tcPr>
          <w:p w14:paraId="35679E41"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1114" w:type="dxa"/>
            <w:tcBorders>
              <w:top w:val="nil"/>
              <w:left w:val="nil"/>
              <w:bottom w:val="nil"/>
              <w:right w:val="nil"/>
            </w:tcBorders>
            <w:noWrap/>
            <w:tcMar>
              <w:top w:w="40" w:type="dxa"/>
              <w:left w:w="40" w:type="dxa"/>
              <w:bottom w:w="40" w:type="dxa"/>
              <w:right w:w="40" w:type="dxa"/>
            </w:tcMar>
            <w:vAlign w:val="bottom"/>
            <w:hideMark/>
          </w:tcPr>
          <w:p w14:paraId="632EE13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6</w:t>
            </w:r>
          </w:p>
        </w:tc>
        <w:tc>
          <w:tcPr>
            <w:tcW w:w="828" w:type="dxa"/>
            <w:tcBorders>
              <w:top w:val="nil"/>
              <w:left w:val="nil"/>
              <w:bottom w:val="nil"/>
              <w:right w:val="nil"/>
            </w:tcBorders>
            <w:noWrap/>
            <w:tcMar>
              <w:top w:w="40" w:type="dxa"/>
              <w:left w:w="40" w:type="dxa"/>
              <w:bottom w:w="40" w:type="dxa"/>
              <w:right w:w="40" w:type="dxa"/>
            </w:tcMar>
            <w:vAlign w:val="bottom"/>
            <w:hideMark/>
          </w:tcPr>
          <w:p w14:paraId="18826D92"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5EB2402C"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7754B26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2228236A"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4C3D41D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GSE242230</w:t>
            </w:r>
          </w:p>
        </w:tc>
        <w:tc>
          <w:tcPr>
            <w:tcW w:w="1456" w:type="dxa"/>
            <w:tcBorders>
              <w:top w:val="nil"/>
              <w:left w:val="nil"/>
              <w:bottom w:val="nil"/>
              <w:right w:val="nil"/>
            </w:tcBorders>
            <w:noWrap/>
            <w:tcMar>
              <w:top w:w="40" w:type="dxa"/>
              <w:left w:w="40" w:type="dxa"/>
              <w:bottom w:w="40" w:type="dxa"/>
              <w:right w:w="40" w:type="dxa"/>
            </w:tcMar>
            <w:vAlign w:val="bottom"/>
            <w:hideMark/>
          </w:tcPr>
          <w:p w14:paraId="6512CE15"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1D78EFB2"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43904100"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47261 cells/25</w:t>
            </w:r>
          </w:p>
        </w:tc>
        <w:tc>
          <w:tcPr>
            <w:tcW w:w="885" w:type="dxa"/>
            <w:tcBorders>
              <w:top w:val="nil"/>
              <w:left w:val="nil"/>
              <w:bottom w:val="nil"/>
              <w:right w:val="nil"/>
            </w:tcBorders>
            <w:noWrap/>
            <w:tcMar>
              <w:top w:w="40" w:type="dxa"/>
              <w:left w:w="40" w:type="dxa"/>
              <w:bottom w:w="40" w:type="dxa"/>
              <w:right w:w="40" w:type="dxa"/>
            </w:tcMar>
            <w:vAlign w:val="bottom"/>
            <w:hideMark/>
          </w:tcPr>
          <w:p w14:paraId="101A85D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25</w:t>
            </w:r>
          </w:p>
        </w:tc>
        <w:tc>
          <w:tcPr>
            <w:tcW w:w="1114" w:type="dxa"/>
            <w:tcBorders>
              <w:top w:val="nil"/>
              <w:left w:val="nil"/>
              <w:bottom w:val="nil"/>
              <w:right w:val="nil"/>
            </w:tcBorders>
            <w:noWrap/>
            <w:tcMar>
              <w:top w:w="40" w:type="dxa"/>
              <w:left w:w="40" w:type="dxa"/>
              <w:bottom w:w="40" w:type="dxa"/>
              <w:right w:w="40" w:type="dxa"/>
            </w:tcMar>
            <w:vAlign w:val="bottom"/>
            <w:hideMark/>
          </w:tcPr>
          <w:p w14:paraId="648CCDE9"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0</w:t>
            </w:r>
          </w:p>
        </w:tc>
        <w:tc>
          <w:tcPr>
            <w:tcW w:w="828" w:type="dxa"/>
            <w:tcBorders>
              <w:top w:val="nil"/>
              <w:left w:val="nil"/>
              <w:bottom w:val="nil"/>
              <w:right w:val="nil"/>
            </w:tcBorders>
            <w:noWrap/>
            <w:tcMar>
              <w:top w:w="40" w:type="dxa"/>
              <w:left w:w="40" w:type="dxa"/>
              <w:bottom w:w="40" w:type="dxa"/>
              <w:right w:w="40" w:type="dxa"/>
            </w:tcMar>
            <w:vAlign w:val="bottom"/>
            <w:hideMark/>
          </w:tcPr>
          <w:p w14:paraId="08C450D2"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6E5D2E5A"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07C8170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6E812663"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78E35200"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GSE263733</w:t>
            </w:r>
          </w:p>
        </w:tc>
        <w:tc>
          <w:tcPr>
            <w:tcW w:w="1456" w:type="dxa"/>
            <w:tcBorders>
              <w:top w:val="nil"/>
              <w:left w:val="nil"/>
              <w:bottom w:val="nil"/>
              <w:right w:val="nil"/>
            </w:tcBorders>
            <w:noWrap/>
            <w:tcMar>
              <w:top w:w="40" w:type="dxa"/>
              <w:left w:w="40" w:type="dxa"/>
              <w:bottom w:w="40" w:type="dxa"/>
              <w:right w:w="40" w:type="dxa"/>
            </w:tcMar>
            <w:vAlign w:val="bottom"/>
            <w:hideMark/>
          </w:tcPr>
          <w:p w14:paraId="43CDC88E"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4893C17B"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677279FA"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52797 cells/28</w:t>
            </w:r>
          </w:p>
        </w:tc>
        <w:tc>
          <w:tcPr>
            <w:tcW w:w="885" w:type="dxa"/>
            <w:tcBorders>
              <w:top w:val="nil"/>
              <w:left w:val="nil"/>
              <w:bottom w:val="nil"/>
              <w:right w:val="nil"/>
            </w:tcBorders>
            <w:noWrap/>
            <w:tcMar>
              <w:top w:w="40" w:type="dxa"/>
              <w:left w:w="40" w:type="dxa"/>
              <w:bottom w:w="40" w:type="dxa"/>
              <w:right w:w="40" w:type="dxa"/>
            </w:tcMar>
            <w:vAlign w:val="bottom"/>
            <w:hideMark/>
          </w:tcPr>
          <w:p w14:paraId="2DBE540C"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23</w:t>
            </w:r>
          </w:p>
        </w:tc>
        <w:tc>
          <w:tcPr>
            <w:tcW w:w="1114" w:type="dxa"/>
            <w:tcBorders>
              <w:top w:val="nil"/>
              <w:left w:val="nil"/>
              <w:bottom w:val="nil"/>
              <w:right w:val="nil"/>
            </w:tcBorders>
            <w:noWrap/>
            <w:tcMar>
              <w:top w:w="40" w:type="dxa"/>
              <w:left w:w="40" w:type="dxa"/>
              <w:bottom w:w="40" w:type="dxa"/>
              <w:right w:w="40" w:type="dxa"/>
            </w:tcMar>
            <w:vAlign w:val="bottom"/>
            <w:hideMark/>
          </w:tcPr>
          <w:p w14:paraId="79AB1D3C"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5</w:t>
            </w:r>
          </w:p>
        </w:tc>
        <w:tc>
          <w:tcPr>
            <w:tcW w:w="828" w:type="dxa"/>
            <w:tcBorders>
              <w:top w:val="nil"/>
              <w:left w:val="nil"/>
              <w:bottom w:val="nil"/>
              <w:right w:val="nil"/>
            </w:tcBorders>
            <w:noWrap/>
            <w:tcMar>
              <w:top w:w="40" w:type="dxa"/>
              <w:left w:w="40" w:type="dxa"/>
              <w:bottom w:w="40" w:type="dxa"/>
              <w:right w:w="40" w:type="dxa"/>
            </w:tcMar>
            <w:vAlign w:val="bottom"/>
            <w:hideMark/>
          </w:tcPr>
          <w:p w14:paraId="348D6E9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30D7C6E9"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60F69363"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r w:rsidR="004626BE" w:rsidRPr="00725BA7" w14:paraId="591FE8D4"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6BAA939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GSE141017</w:t>
            </w:r>
          </w:p>
        </w:tc>
        <w:tc>
          <w:tcPr>
            <w:tcW w:w="1456" w:type="dxa"/>
            <w:tcBorders>
              <w:top w:val="nil"/>
              <w:left w:val="nil"/>
              <w:bottom w:val="nil"/>
              <w:right w:val="nil"/>
            </w:tcBorders>
            <w:noWrap/>
            <w:tcMar>
              <w:top w:w="40" w:type="dxa"/>
              <w:left w:w="40" w:type="dxa"/>
              <w:bottom w:w="40" w:type="dxa"/>
              <w:right w:w="40" w:type="dxa"/>
            </w:tcMar>
            <w:vAlign w:val="bottom"/>
            <w:hideMark/>
          </w:tcPr>
          <w:p w14:paraId="09ED9407"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single-cell RNA-seq</w:t>
            </w:r>
          </w:p>
        </w:tc>
        <w:tc>
          <w:tcPr>
            <w:tcW w:w="1028" w:type="dxa"/>
            <w:tcBorders>
              <w:top w:val="nil"/>
              <w:left w:val="nil"/>
              <w:bottom w:val="nil"/>
              <w:right w:val="nil"/>
            </w:tcBorders>
            <w:noWrap/>
            <w:tcMar>
              <w:top w:w="40" w:type="dxa"/>
              <w:left w:w="40" w:type="dxa"/>
              <w:bottom w:w="40" w:type="dxa"/>
              <w:right w:w="40" w:type="dxa"/>
            </w:tcMar>
            <w:vAlign w:val="bottom"/>
            <w:hideMark/>
          </w:tcPr>
          <w:p w14:paraId="7A54879D"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17E37F49"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41139 cells/10</w:t>
            </w:r>
          </w:p>
        </w:tc>
        <w:tc>
          <w:tcPr>
            <w:tcW w:w="885" w:type="dxa"/>
            <w:tcBorders>
              <w:top w:val="nil"/>
              <w:left w:val="nil"/>
              <w:bottom w:val="nil"/>
              <w:right w:val="nil"/>
            </w:tcBorders>
            <w:noWrap/>
            <w:tcMar>
              <w:top w:w="40" w:type="dxa"/>
              <w:left w:w="40" w:type="dxa"/>
              <w:bottom w:w="40" w:type="dxa"/>
              <w:right w:w="40" w:type="dxa"/>
            </w:tcMar>
            <w:vAlign w:val="bottom"/>
            <w:hideMark/>
          </w:tcPr>
          <w:p w14:paraId="0D96C0B4"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9</w:t>
            </w:r>
          </w:p>
        </w:tc>
        <w:tc>
          <w:tcPr>
            <w:tcW w:w="1114" w:type="dxa"/>
            <w:tcBorders>
              <w:top w:val="nil"/>
              <w:left w:val="nil"/>
              <w:bottom w:val="nil"/>
              <w:right w:val="nil"/>
            </w:tcBorders>
            <w:noWrap/>
            <w:tcMar>
              <w:top w:w="40" w:type="dxa"/>
              <w:left w:w="40" w:type="dxa"/>
              <w:bottom w:w="40" w:type="dxa"/>
              <w:right w:w="40" w:type="dxa"/>
            </w:tcMar>
            <w:vAlign w:val="bottom"/>
            <w:hideMark/>
          </w:tcPr>
          <w:p w14:paraId="6B6B812B"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w:t>
            </w:r>
          </w:p>
        </w:tc>
        <w:tc>
          <w:tcPr>
            <w:tcW w:w="828" w:type="dxa"/>
            <w:tcBorders>
              <w:top w:val="nil"/>
              <w:left w:val="nil"/>
              <w:bottom w:val="nil"/>
              <w:right w:val="nil"/>
            </w:tcBorders>
            <w:noWrap/>
            <w:tcMar>
              <w:top w:w="40" w:type="dxa"/>
              <w:left w:w="40" w:type="dxa"/>
              <w:bottom w:w="40" w:type="dxa"/>
              <w:right w:w="40" w:type="dxa"/>
            </w:tcMar>
            <w:vAlign w:val="bottom"/>
            <w:hideMark/>
          </w:tcPr>
          <w:p w14:paraId="16474F47"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48B9059F"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cell annotation/myeloid analysis</w:t>
            </w:r>
          </w:p>
        </w:tc>
        <w:tc>
          <w:tcPr>
            <w:tcW w:w="600" w:type="dxa"/>
            <w:tcBorders>
              <w:top w:val="nil"/>
              <w:left w:val="nil"/>
              <w:bottom w:val="nil"/>
              <w:right w:val="nil"/>
            </w:tcBorders>
            <w:noWrap/>
            <w:tcMar>
              <w:top w:w="40" w:type="dxa"/>
              <w:left w:w="40" w:type="dxa"/>
              <w:bottom w:w="40" w:type="dxa"/>
              <w:right w:w="40" w:type="dxa"/>
            </w:tcMar>
            <w:vAlign w:val="bottom"/>
            <w:hideMark/>
          </w:tcPr>
          <w:p w14:paraId="7D1992C1"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Mouse</w:t>
            </w:r>
          </w:p>
        </w:tc>
      </w:tr>
      <w:tr w:rsidR="004626BE" w:rsidRPr="00725BA7" w14:paraId="03000CD7" w14:textId="77777777" w:rsidTr="004626BE">
        <w:tc>
          <w:tcPr>
            <w:tcW w:w="885" w:type="dxa"/>
            <w:tcBorders>
              <w:top w:val="nil"/>
              <w:left w:val="nil"/>
              <w:bottom w:val="nil"/>
              <w:right w:val="nil"/>
            </w:tcBorders>
            <w:noWrap/>
            <w:tcMar>
              <w:top w:w="40" w:type="dxa"/>
              <w:left w:w="40" w:type="dxa"/>
              <w:bottom w:w="40" w:type="dxa"/>
              <w:right w:w="40" w:type="dxa"/>
            </w:tcMar>
            <w:vAlign w:val="bottom"/>
            <w:hideMark/>
          </w:tcPr>
          <w:p w14:paraId="3833EA74"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GSE272362</w:t>
            </w:r>
          </w:p>
        </w:tc>
        <w:tc>
          <w:tcPr>
            <w:tcW w:w="1456" w:type="dxa"/>
            <w:tcBorders>
              <w:top w:val="nil"/>
              <w:left w:val="nil"/>
              <w:bottom w:val="nil"/>
              <w:right w:val="nil"/>
            </w:tcBorders>
            <w:noWrap/>
            <w:tcMar>
              <w:top w:w="40" w:type="dxa"/>
              <w:left w:w="40" w:type="dxa"/>
              <w:bottom w:w="40" w:type="dxa"/>
              <w:right w:w="40" w:type="dxa"/>
            </w:tcMar>
            <w:vAlign w:val="bottom"/>
            <w:hideMark/>
          </w:tcPr>
          <w:p w14:paraId="3AB62B06"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spatial transcriptomics</w:t>
            </w:r>
          </w:p>
        </w:tc>
        <w:tc>
          <w:tcPr>
            <w:tcW w:w="1028" w:type="dxa"/>
            <w:tcBorders>
              <w:top w:val="nil"/>
              <w:left w:val="nil"/>
              <w:bottom w:val="nil"/>
              <w:right w:val="nil"/>
            </w:tcBorders>
            <w:noWrap/>
            <w:tcMar>
              <w:top w:w="40" w:type="dxa"/>
              <w:left w:w="40" w:type="dxa"/>
              <w:bottom w:w="40" w:type="dxa"/>
              <w:right w:w="40" w:type="dxa"/>
            </w:tcMar>
            <w:vAlign w:val="bottom"/>
            <w:hideMark/>
          </w:tcPr>
          <w:p w14:paraId="799D5892" w14:textId="77777777" w:rsidR="004626BE" w:rsidRPr="00725BA7" w:rsidRDefault="004626BE" w:rsidP="004626BE">
            <w:pPr>
              <w:rPr>
                <w:rFonts w:ascii="Times New Roman" w:eastAsia="Times New Roman" w:hAnsi="Times New Roman" w:cs="Times New Roman"/>
                <w:color w:val="000000"/>
                <w:kern w:val="0"/>
                <w:sz w:val="18"/>
                <w:szCs w:val="18"/>
                <w14:ligatures w14:val="none"/>
              </w:rPr>
            </w:pPr>
            <w:r w:rsidRPr="00725BA7">
              <w:rPr>
                <w:rFonts w:ascii="Times New Roman" w:eastAsia="Times New Roman" w:hAnsi="Times New Roman" w:cs="Times New Roman"/>
                <w:color w:val="000000"/>
                <w:kern w:val="0"/>
                <w:sz w:val="16"/>
                <w:szCs w:val="18"/>
                <w14:ligatures w14:val="none"/>
              </w:rPr>
              <w:t>10X</w:t>
            </w:r>
          </w:p>
        </w:tc>
        <w:tc>
          <w:tcPr>
            <w:tcW w:w="1028" w:type="dxa"/>
            <w:tcBorders>
              <w:top w:val="nil"/>
              <w:left w:val="nil"/>
              <w:bottom w:val="nil"/>
              <w:right w:val="nil"/>
            </w:tcBorders>
            <w:noWrap/>
            <w:tcMar>
              <w:top w:w="40" w:type="dxa"/>
              <w:left w:w="40" w:type="dxa"/>
              <w:bottom w:w="40" w:type="dxa"/>
              <w:right w:w="40" w:type="dxa"/>
            </w:tcMar>
            <w:vAlign w:val="bottom"/>
            <w:hideMark/>
          </w:tcPr>
          <w:p w14:paraId="245BDF9D"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45278 spots/13</w:t>
            </w:r>
          </w:p>
        </w:tc>
        <w:tc>
          <w:tcPr>
            <w:tcW w:w="885" w:type="dxa"/>
            <w:tcBorders>
              <w:top w:val="nil"/>
              <w:left w:val="nil"/>
              <w:bottom w:val="nil"/>
              <w:right w:val="nil"/>
            </w:tcBorders>
            <w:noWrap/>
            <w:tcMar>
              <w:top w:w="40" w:type="dxa"/>
              <w:left w:w="40" w:type="dxa"/>
              <w:bottom w:w="40" w:type="dxa"/>
              <w:right w:w="40" w:type="dxa"/>
            </w:tcMar>
            <w:vAlign w:val="bottom"/>
            <w:hideMark/>
          </w:tcPr>
          <w:p w14:paraId="739E463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10</w:t>
            </w:r>
          </w:p>
        </w:tc>
        <w:tc>
          <w:tcPr>
            <w:tcW w:w="1114" w:type="dxa"/>
            <w:tcBorders>
              <w:top w:val="nil"/>
              <w:left w:val="nil"/>
              <w:bottom w:val="nil"/>
              <w:right w:val="nil"/>
            </w:tcBorders>
            <w:noWrap/>
            <w:tcMar>
              <w:top w:w="40" w:type="dxa"/>
              <w:left w:w="40" w:type="dxa"/>
              <w:bottom w:w="40" w:type="dxa"/>
              <w:right w:w="40" w:type="dxa"/>
            </w:tcMar>
            <w:vAlign w:val="bottom"/>
            <w:hideMark/>
          </w:tcPr>
          <w:p w14:paraId="19F80D43"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3</w:t>
            </w:r>
          </w:p>
        </w:tc>
        <w:tc>
          <w:tcPr>
            <w:tcW w:w="828" w:type="dxa"/>
            <w:tcBorders>
              <w:top w:val="nil"/>
              <w:left w:val="nil"/>
              <w:bottom w:val="nil"/>
              <w:right w:val="nil"/>
            </w:tcBorders>
            <w:noWrap/>
            <w:tcMar>
              <w:top w:w="40" w:type="dxa"/>
              <w:left w:w="40" w:type="dxa"/>
              <w:bottom w:w="40" w:type="dxa"/>
              <w:right w:w="40" w:type="dxa"/>
            </w:tcMar>
            <w:vAlign w:val="bottom"/>
            <w:hideMark/>
          </w:tcPr>
          <w:p w14:paraId="5C218B32" w14:textId="77777777" w:rsidR="004626BE" w:rsidRPr="00725BA7" w:rsidRDefault="004626BE" w:rsidP="002B6C84">
            <w:pPr>
              <w:jc w:val="cente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No/limited</w:t>
            </w:r>
          </w:p>
        </w:tc>
        <w:tc>
          <w:tcPr>
            <w:tcW w:w="1456" w:type="dxa"/>
            <w:tcBorders>
              <w:top w:val="nil"/>
              <w:left w:val="nil"/>
              <w:bottom w:val="nil"/>
              <w:right w:val="nil"/>
            </w:tcBorders>
            <w:noWrap/>
            <w:tcMar>
              <w:top w:w="40" w:type="dxa"/>
              <w:left w:w="40" w:type="dxa"/>
              <w:bottom w:w="40" w:type="dxa"/>
              <w:right w:w="40" w:type="dxa"/>
            </w:tcMar>
            <w:vAlign w:val="bottom"/>
            <w:hideMark/>
          </w:tcPr>
          <w:p w14:paraId="0DE5DE6D"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spatial validation</w:t>
            </w:r>
          </w:p>
        </w:tc>
        <w:tc>
          <w:tcPr>
            <w:tcW w:w="600" w:type="dxa"/>
            <w:tcBorders>
              <w:top w:val="nil"/>
              <w:left w:val="nil"/>
              <w:bottom w:val="nil"/>
              <w:right w:val="nil"/>
            </w:tcBorders>
            <w:noWrap/>
            <w:tcMar>
              <w:top w:w="40" w:type="dxa"/>
              <w:left w:w="40" w:type="dxa"/>
              <w:bottom w:w="40" w:type="dxa"/>
              <w:right w:w="40" w:type="dxa"/>
            </w:tcMar>
            <w:vAlign w:val="bottom"/>
            <w:hideMark/>
          </w:tcPr>
          <w:p w14:paraId="4692A63B" w14:textId="77777777" w:rsidR="004626BE" w:rsidRPr="00725BA7" w:rsidRDefault="004626BE" w:rsidP="004626BE">
            <w:pPr>
              <w:rPr>
                <w:rFonts w:ascii="Times New Roman" w:eastAsia="Times New Roman" w:hAnsi="Times New Roman" w:cs="Times New Roman"/>
                <w:color w:val="000000"/>
                <w:kern w:val="0"/>
                <w14:ligatures w14:val="none"/>
              </w:rPr>
            </w:pPr>
            <w:r w:rsidRPr="00725BA7">
              <w:rPr>
                <w:rFonts w:ascii="Times New Roman" w:eastAsia="Times New Roman" w:hAnsi="Times New Roman" w:cs="Times New Roman"/>
                <w:color w:val="000000"/>
                <w:kern w:val="0"/>
                <w:sz w:val="16"/>
                <w14:ligatures w14:val="none"/>
              </w:rPr>
              <w:t>Human</w:t>
            </w:r>
          </w:p>
        </w:tc>
      </w:tr>
    </w:tbl>
    <w:p w14:paraId="33F93AB2" w14:textId="77777777" w:rsidR="00D71918" w:rsidRPr="00725BA7" w:rsidRDefault="00D71918" w:rsidP="00D71918">
      <w:pPr>
        <w:spacing w:after="0" w:line="480" w:lineRule="auto"/>
        <w:rPr>
          <w:rFonts w:ascii="Times New Roman" w:eastAsia="SimSun" w:hAnsi="Times New Roman" w:cs="Times New Roman"/>
          <w:noProof/>
          <w:sz w:val="15"/>
          <w:szCs w:val="15"/>
        </w:rPr>
      </w:pPr>
    </w:p>
    <w:p w14:paraId="7B4D870B"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16BD78D1" wp14:editId="7DD0BAC5">
            <wp:extent cx="5267325" cy="5610225"/>
            <wp:effectExtent l="0" t="0" r="13335" b="13335"/>
            <wp:docPr id="19431400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40023"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67325" cy="5610225"/>
                    </a:xfrm>
                    <a:prstGeom prst="rect">
                      <a:avLst/>
                    </a:prstGeom>
                    <a:noFill/>
                    <a:ln>
                      <a:noFill/>
                    </a:ln>
                  </pic:spPr>
                </pic:pic>
              </a:graphicData>
            </a:graphic>
          </wp:inline>
        </w:drawing>
      </w:r>
    </w:p>
    <w:p w14:paraId="6842B3AB"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S1. Single-cell transcriptomic analysis in human and mouse PDAC datasets. A. Human single-cell UMAP plot. B. Cell proportions by sample. C. Mouse t-SNE plot by time point. D. Dot plot of marker genes used for mouse single-cell annotation. E. Sankey diagram showing cell-type composition. F. Ro/e analysis across mouse disease time points.</w:t>
      </w:r>
    </w:p>
    <w:p w14:paraId="61F39EEE" w14:textId="77777777" w:rsidR="00D738B2" w:rsidRPr="00725BA7" w:rsidRDefault="00D738B2" w:rsidP="00D738B2">
      <w:pPr>
        <w:spacing w:after="0" w:line="480" w:lineRule="auto"/>
        <w:ind w:left="120"/>
        <w:rPr>
          <w:rFonts w:ascii="Times New Roman" w:eastAsia="SimSun" w:hAnsi="Times New Roman" w:cs="Times New Roman"/>
          <w:sz w:val="15"/>
          <w:szCs w:val="15"/>
        </w:rPr>
      </w:pPr>
    </w:p>
    <w:p w14:paraId="5A24FB4F"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4B9A1765" wp14:editId="71805308">
            <wp:extent cx="5276850" cy="4514850"/>
            <wp:effectExtent l="0" t="0" r="3810" b="11430"/>
            <wp:docPr id="8164514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451497"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6850" cy="4514850"/>
                    </a:xfrm>
                    <a:prstGeom prst="rect">
                      <a:avLst/>
                    </a:prstGeom>
                    <a:noFill/>
                    <a:ln>
                      <a:noFill/>
                    </a:ln>
                  </pic:spPr>
                </pic:pic>
              </a:graphicData>
            </a:graphic>
          </wp:inline>
        </w:drawing>
      </w:r>
    </w:p>
    <w:p w14:paraId="57C9E049"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S2. Single-gene meta-analysis of SMDS component genes across PDAC datasets.</w:t>
      </w:r>
    </w:p>
    <w:p w14:paraId="76AE4182" w14:textId="77777777" w:rsidR="00D738B2" w:rsidRPr="00725BA7" w:rsidRDefault="00C71390" w:rsidP="00D738B2">
      <w:pPr>
        <w:spacing w:after="0" w:line="480" w:lineRule="auto"/>
        <w:ind w:left="120"/>
        <w:rPr>
          <w:rFonts w:ascii="Times New Roman" w:eastAsia="SimSun" w:hAnsi="Times New Roman" w:cs="Times New Roman"/>
          <w:sz w:val="15"/>
          <w:szCs w:val="15"/>
        </w:rPr>
      </w:pPr>
      <w:r w:rsidRPr="00725BA7">
        <w:rPr>
          <w:rFonts w:ascii="Times New Roman" w:eastAsia="SimSun" w:hAnsi="Times New Roman" w:cs="Times New Roman"/>
          <w:noProof/>
          <w:sz w:val="20"/>
          <w:szCs w:val="24"/>
        </w:rPr>
        <w:drawing>
          <wp:inline distT="0" distB="0" distL="0" distR="0" wp14:anchorId="6117BFED" wp14:editId="672AC847">
            <wp:extent cx="5267325" cy="2333625"/>
            <wp:effectExtent l="0" t="0" r="9525" b="9525"/>
            <wp:docPr id="3447870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7325" cy="2333625"/>
                    </a:xfrm>
                    <a:prstGeom prst="rect">
                      <a:avLst/>
                    </a:prstGeom>
                    <a:noFill/>
                    <a:ln>
                      <a:noFill/>
                    </a:ln>
                  </pic:spPr>
                </pic:pic>
              </a:graphicData>
            </a:graphic>
          </wp:inline>
        </w:drawing>
      </w:r>
    </w:p>
    <w:p w14:paraId="16141523"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S3. Meta-analysis of SMDS gene-set activity across PDAC datasets.</w:t>
      </w:r>
    </w:p>
    <w:p w14:paraId="1B7B8B67"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114C24D6" wp14:editId="312DD65F">
            <wp:extent cx="5267325" cy="6029325"/>
            <wp:effectExtent l="0" t="0" r="13335" b="5715"/>
            <wp:docPr id="5621463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46349"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67325" cy="6029325"/>
                    </a:xfrm>
                    <a:prstGeom prst="rect">
                      <a:avLst/>
                    </a:prstGeom>
                    <a:noFill/>
                    <a:ln>
                      <a:noFill/>
                    </a:ln>
                  </pic:spPr>
                </pic:pic>
              </a:graphicData>
            </a:graphic>
          </wp:inline>
        </w:drawing>
      </w:r>
    </w:p>
    <w:p w14:paraId="6D9F9DEC"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S4. Comparison of SMDS gene protein expression. A. Protein expression levels of SMDS genes. B. GO and KEGG enrichment analysis of differentially expressed proteins.</w:t>
      </w:r>
    </w:p>
    <w:p w14:paraId="1F7A46B8" w14:textId="77777777" w:rsidR="00D738B2" w:rsidRPr="00725BA7" w:rsidRDefault="00D738B2" w:rsidP="00D71918">
      <w:pPr>
        <w:spacing w:after="0" w:line="480" w:lineRule="auto"/>
        <w:ind w:left="120"/>
        <w:jc w:val="center"/>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4685CFEE" wp14:editId="1686BA00">
            <wp:extent cx="4371975" cy="8858250"/>
            <wp:effectExtent l="0" t="0" r="0" b="5715"/>
            <wp:docPr id="1925278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78387"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71975" cy="8858250"/>
                    </a:xfrm>
                    <a:prstGeom prst="rect">
                      <a:avLst/>
                    </a:prstGeom>
                    <a:noFill/>
                    <a:ln>
                      <a:noFill/>
                    </a:ln>
                  </pic:spPr>
                </pic:pic>
              </a:graphicData>
            </a:graphic>
          </wp:inline>
        </w:drawing>
      </w:r>
    </w:p>
    <w:p w14:paraId="30F7CE8C" w14:textId="77777777" w:rsidR="00D738B2" w:rsidRPr="00725BA7" w:rsidRDefault="00D738B2" w:rsidP="00D738B2">
      <w:pPr>
        <w:spacing w:after="0" w:line="480" w:lineRule="auto"/>
        <w:ind w:left="120"/>
        <w:rPr>
          <w:rFonts w:ascii="Times New Roman" w:eastAsia="SimSun" w:hAnsi="Times New Roman" w:cs="Times New Roman"/>
          <w:color w:val="000000" w:themeColor="text1"/>
          <w:sz w:val="15"/>
          <w:szCs w:val="15"/>
        </w:rPr>
      </w:pPr>
      <w:r w:rsidRPr="00725BA7">
        <w:rPr>
          <w:rFonts w:ascii="Times New Roman" w:hAnsi="Times New Roman" w:cs="Times New Roman"/>
          <w:sz w:val="20"/>
        </w:rPr>
        <w:lastRenderedPageBreak/>
        <w:t>Fig. S5. Spatial transcriptomic distribution of SMDS genes and correlations with estimated spot composition. A. SMDS score density across sections. B. Distribution of malignant, mixed and normal regions. C. Comparison of SMDS scores across regions. D. Correlation between cell-proportion heatmaps and SMDS scores. E. Spatial density of SMDS gene expression. F. Comparison of SMDS gene expression across regions. G. Comparison of SMDS gene expression between malignant and non-malignant regions. H. Correlation between cell-proportion heatmaps and SMDS gene expression.</w:t>
      </w:r>
    </w:p>
    <w:p w14:paraId="2DBB9233" w14:textId="77777777" w:rsidR="00D738B2" w:rsidRPr="00725BA7" w:rsidRDefault="00D738B2" w:rsidP="006C0FD5">
      <w:pPr>
        <w:spacing w:after="0" w:line="480" w:lineRule="auto"/>
        <w:ind w:left="120"/>
        <w:jc w:val="center"/>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499A51FD" wp14:editId="40483565">
            <wp:extent cx="5267325" cy="8001000"/>
            <wp:effectExtent l="0" t="0" r="13335" b="5715"/>
            <wp:docPr id="15133483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48363"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67325" cy="8001000"/>
                    </a:xfrm>
                    <a:prstGeom prst="rect">
                      <a:avLst/>
                    </a:prstGeom>
                    <a:noFill/>
                    <a:ln>
                      <a:noFill/>
                    </a:ln>
                  </pic:spPr>
                </pic:pic>
              </a:graphicData>
            </a:graphic>
          </wp:inline>
        </w:drawing>
      </w:r>
    </w:p>
    <w:p w14:paraId="0FE470FE"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S6. Nomograms and prediction curves for individual datasets. A. Nomograms for individual cohorts. B. Calibration or prediction curves for individual cohorts.</w:t>
      </w:r>
    </w:p>
    <w:p w14:paraId="49CF782B"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eastAsia="SimSun" w:hAnsi="Times New Roman" w:cs="Times New Roman"/>
          <w:noProof/>
          <w:sz w:val="20"/>
          <w:szCs w:val="15"/>
        </w:rPr>
        <w:lastRenderedPageBreak/>
        <w:drawing>
          <wp:inline distT="0" distB="0" distL="0" distR="0" wp14:anchorId="2D353F68" wp14:editId="6ECE38D8">
            <wp:extent cx="5267325" cy="7058025"/>
            <wp:effectExtent l="0" t="0" r="13335" b="5715"/>
            <wp:docPr id="7557188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18879"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7325" cy="7058025"/>
                    </a:xfrm>
                    <a:prstGeom prst="rect">
                      <a:avLst/>
                    </a:prstGeom>
                    <a:noFill/>
                    <a:ln>
                      <a:noFill/>
                    </a:ln>
                  </pic:spPr>
                </pic:pic>
              </a:graphicData>
            </a:graphic>
          </wp:inline>
        </w:drawing>
      </w:r>
    </w:p>
    <w:p w14:paraId="3741F6CB" w14:textId="77777777" w:rsidR="00D738B2" w:rsidRPr="00725BA7" w:rsidRDefault="00D738B2" w:rsidP="00D738B2">
      <w:pPr>
        <w:spacing w:after="0" w:line="480" w:lineRule="auto"/>
        <w:ind w:left="120"/>
        <w:rPr>
          <w:rFonts w:ascii="Times New Roman" w:eastAsia="SimSun" w:hAnsi="Times New Roman" w:cs="Times New Roman"/>
          <w:sz w:val="15"/>
          <w:szCs w:val="15"/>
        </w:rPr>
      </w:pPr>
      <w:r w:rsidRPr="00725BA7">
        <w:rPr>
          <w:rFonts w:ascii="Times New Roman" w:hAnsi="Times New Roman" w:cs="Times New Roman"/>
          <w:sz w:val="20"/>
        </w:rPr>
        <w:t>Fig. S7. Spatial transcriptomic distribution of SMDS component genes. NP, normal pancreatic section; T, PDAC section.</w:t>
      </w:r>
    </w:p>
    <w:p w14:paraId="78A5962B" w14:textId="77777777" w:rsidR="009800E0" w:rsidRPr="00725BA7" w:rsidRDefault="009800E0">
      <w:pPr>
        <w:spacing w:after="0" w:line="480" w:lineRule="auto"/>
        <w:rPr>
          <w:rFonts w:ascii="Times New Roman" w:hAnsi="Times New Roman" w:cs="Times New Roman"/>
        </w:rPr>
      </w:pPr>
    </w:p>
    <w:p w14:paraId="037EFA51" w14:textId="77777777" w:rsidR="00DE7677" w:rsidRPr="00725BA7" w:rsidRDefault="00DE7677" w:rsidP="00DE7677">
      <w:pPr>
        <w:spacing w:after="0" w:line="480" w:lineRule="auto"/>
        <w:ind w:left="120"/>
        <w:rPr>
          <w:rFonts w:ascii="Times New Roman" w:eastAsia="SimSun" w:hAnsi="Times New Roman" w:cs="Times New Roman"/>
          <w:sz w:val="24"/>
          <w:szCs w:val="24"/>
        </w:rPr>
      </w:pPr>
      <w:r w:rsidRPr="00725BA7">
        <w:rPr>
          <w:rFonts w:ascii="Times New Roman" w:eastAsia="SimSun" w:hAnsi="Times New Roman" w:cs="Times New Roman"/>
          <w:noProof/>
          <w:sz w:val="20"/>
          <w:szCs w:val="24"/>
        </w:rPr>
        <w:lastRenderedPageBreak/>
        <w:drawing>
          <wp:inline distT="0" distB="0" distL="0" distR="0" wp14:anchorId="0D222DFD" wp14:editId="734AF556">
            <wp:extent cx="5267325" cy="4600575"/>
            <wp:effectExtent l="0" t="0" r="9525" b="9525"/>
            <wp:docPr id="3763499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4600575"/>
                    </a:xfrm>
                    <a:prstGeom prst="rect">
                      <a:avLst/>
                    </a:prstGeom>
                    <a:noFill/>
                    <a:ln>
                      <a:noFill/>
                    </a:ln>
                  </pic:spPr>
                </pic:pic>
              </a:graphicData>
            </a:graphic>
          </wp:inline>
        </w:drawing>
      </w:r>
    </w:p>
    <w:p w14:paraId="3955B14B" w14:textId="77777777" w:rsidR="00DE7677" w:rsidRPr="00725BA7" w:rsidRDefault="00DE7677" w:rsidP="00DE7677">
      <w:pPr>
        <w:spacing w:after="0" w:line="480" w:lineRule="auto"/>
        <w:ind w:left="120"/>
        <w:rPr>
          <w:rFonts w:ascii="Times New Roman" w:eastAsia="SimSun" w:hAnsi="Times New Roman" w:cs="Times New Roman"/>
          <w:sz w:val="24"/>
          <w:szCs w:val="24"/>
        </w:rPr>
      </w:pPr>
      <w:r w:rsidRPr="00725BA7">
        <w:rPr>
          <w:rFonts w:ascii="Times New Roman" w:hAnsi="Times New Roman" w:cs="Times New Roman"/>
          <w:sz w:val="20"/>
        </w:rPr>
        <w:t>Fig. S8. Association between SMDS genes and prognosis. A. Forest plot of survival regression results across datasets. B. Kaplan-Meier curves for SMDS scores in individual datasets.</w:t>
      </w:r>
    </w:p>
    <w:p w14:paraId="277F691B" w14:textId="77777777" w:rsidR="00C71390" w:rsidRPr="00725BA7" w:rsidRDefault="00C71390" w:rsidP="00DE7677">
      <w:pPr>
        <w:spacing w:after="0" w:line="480" w:lineRule="auto"/>
        <w:ind w:left="120"/>
        <w:rPr>
          <w:rFonts w:ascii="Times New Roman" w:eastAsia="SimSun" w:hAnsi="Times New Roman" w:cs="Times New Roman"/>
          <w:sz w:val="24"/>
          <w:szCs w:val="24"/>
        </w:rPr>
      </w:pPr>
    </w:p>
    <w:p w14:paraId="5DF008FF" w14:textId="77777777" w:rsidR="00C71390" w:rsidRPr="00725BA7" w:rsidRDefault="00C71390" w:rsidP="00DE7677">
      <w:pPr>
        <w:spacing w:after="0" w:line="480" w:lineRule="auto"/>
        <w:ind w:left="120"/>
        <w:rPr>
          <w:rFonts w:ascii="Times New Roman" w:eastAsia="SimSun" w:hAnsi="Times New Roman" w:cs="Times New Roman"/>
          <w:sz w:val="24"/>
          <w:szCs w:val="24"/>
        </w:rPr>
      </w:pPr>
      <w:r w:rsidRPr="00725BA7">
        <w:rPr>
          <w:rFonts w:ascii="Times New Roman" w:eastAsia="SimSun" w:hAnsi="Times New Roman" w:cs="Times New Roman"/>
          <w:noProof/>
          <w:sz w:val="20"/>
          <w:szCs w:val="24"/>
        </w:rPr>
        <w:lastRenderedPageBreak/>
        <w:drawing>
          <wp:inline distT="0" distB="0" distL="0" distR="0" wp14:anchorId="2E110DDE" wp14:editId="5F4DC401">
            <wp:extent cx="5267325" cy="5200650"/>
            <wp:effectExtent l="0" t="0" r="9525" b="0"/>
            <wp:docPr id="15454281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5200650"/>
                    </a:xfrm>
                    <a:prstGeom prst="rect">
                      <a:avLst/>
                    </a:prstGeom>
                    <a:noFill/>
                    <a:ln>
                      <a:noFill/>
                    </a:ln>
                  </pic:spPr>
                </pic:pic>
              </a:graphicData>
            </a:graphic>
          </wp:inline>
        </w:drawing>
      </w:r>
    </w:p>
    <w:p w14:paraId="5C9616D2" w14:textId="77777777" w:rsidR="00C71390" w:rsidRDefault="00C71390" w:rsidP="00C71390">
      <w:pPr>
        <w:spacing w:after="0" w:line="480" w:lineRule="auto"/>
        <w:ind w:left="120"/>
        <w:rPr>
          <w:rFonts w:ascii="Times New Roman" w:eastAsia="SimSun" w:hAnsi="Times New Roman" w:cs="Times New Roman"/>
          <w:sz w:val="20"/>
          <w:szCs w:val="24"/>
        </w:rPr>
      </w:pPr>
      <w:r w:rsidRPr="00725BA7">
        <w:rPr>
          <w:rFonts w:ascii="Times New Roman" w:eastAsia="SimSun" w:hAnsi="Times New Roman" w:cs="Times New Roman"/>
          <w:sz w:val="20"/>
          <w:szCs w:val="24"/>
        </w:rPr>
        <w:t>Fig. S9. Human Protein Atlas immunohistochemistry evidence for SMDS proteins. Representative normal pancreatic and pancreatic tumor tissue cores are shown for CD109, FN1, IFI27, IL1RAP, MYOF, PLAU, SPP1 and XAF1. Antibody identifiers are shown after each gene name. These public images were used as qualitative supportive protein-level evidence rather than cohort-level quantitative validation.</w:t>
      </w:r>
    </w:p>
    <w:p w14:paraId="3DA136E2" w14:textId="77777777" w:rsidR="00CA41FE" w:rsidRDefault="00CA41FE" w:rsidP="00C71390">
      <w:pPr>
        <w:spacing w:after="0" w:line="480" w:lineRule="auto"/>
        <w:ind w:left="120"/>
        <w:rPr>
          <w:rFonts w:ascii="Times New Roman" w:eastAsia="SimSun" w:hAnsi="Times New Roman" w:cs="Times New Roman"/>
          <w:sz w:val="20"/>
          <w:szCs w:val="24"/>
        </w:rPr>
      </w:pPr>
    </w:p>
    <w:p w14:paraId="7CA7B7BE" w14:textId="77777777" w:rsidR="00CA41FE" w:rsidRDefault="00CA41FE" w:rsidP="00CA41FE">
      <w:pPr>
        <w:spacing w:line="480" w:lineRule="auto"/>
      </w:pPr>
      <w:r w:rsidRPr="00026A75">
        <w:rPr>
          <w:noProof/>
        </w:rPr>
        <w:lastRenderedPageBreak/>
        <w:drawing>
          <wp:inline distT="0" distB="0" distL="0" distR="0" wp14:anchorId="5A735793" wp14:editId="15F38443">
            <wp:extent cx="5943600" cy="4823460"/>
            <wp:effectExtent l="0" t="0" r="0" b="0"/>
            <wp:docPr id="655617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823460"/>
                    </a:xfrm>
                    <a:prstGeom prst="rect">
                      <a:avLst/>
                    </a:prstGeom>
                    <a:noFill/>
                    <a:ln>
                      <a:noFill/>
                    </a:ln>
                  </pic:spPr>
                </pic:pic>
              </a:graphicData>
            </a:graphic>
          </wp:inline>
        </w:drawing>
      </w:r>
    </w:p>
    <w:p w14:paraId="4940EA8F" w14:textId="633013C1" w:rsidR="00CA41FE" w:rsidRDefault="00CA41FE" w:rsidP="00CA41FE">
      <w:pPr>
        <w:spacing w:line="480" w:lineRule="auto"/>
      </w:pPr>
      <w:r w:rsidRPr="00CA41FE">
        <w:rPr>
          <w:rFonts w:hint="eastAsia"/>
        </w:rPr>
        <w:t>Fig. S10</w:t>
      </w:r>
      <w:r w:rsidRPr="00CA41FE">
        <w:t>. Experimental validation of representative SMDS genes and the TP53-FN1 relationship in PDAC cells.</w:t>
      </w:r>
      <w:r w:rsidRPr="00ED5251">
        <w:t xml:space="preserve"> (A-D) </w:t>
      </w:r>
      <w:proofErr w:type="spellStart"/>
      <w:r w:rsidRPr="00ED5251">
        <w:t>qRT</w:t>
      </w:r>
      <w:proofErr w:type="spellEnd"/>
      <w:r w:rsidRPr="00ED5251">
        <w:t xml:space="preserve">-PCR analysis of FN1, SPP1, IL1RAP and PLAU expression in hTERT-HPNE, PANC-1 and BxPC-3 cells. (E) </w:t>
      </w:r>
      <w:proofErr w:type="spellStart"/>
      <w:r w:rsidRPr="00ED5251">
        <w:t>qRT</w:t>
      </w:r>
      <w:proofErr w:type="spellEnd"/>
      <w:r w:rsidRPr="00ED5251">
        <w:t>-PCR validation of FN1 knockdown efficiency. (F) CCK-8 assay showing reduced cell viability after FN1 silencing. (G) FN1 mRNA expression after TP53-targeting shRNA-mediated knockdown or TP53 overexpression. Bars show mean +/- SD from three replicates; CCK-8 groups were plated in triplicate wells. Three-group comparisons (A-D and G) used one-way ANOVA followed by uncorrected Fisher's least significant difference test; two-group comparisons (E and F) used two-tailed unpaired Student's t-tests. *P&lt;0.05, **P&lt;0.01, ***P&lt;0.001; ns, not significant.</w:t>
      </w:r>
    </w:p>
    <w:p w14:paraId="3AC06306" w14:textId="77777777" w:rsidR="00CA41FE" w:rsidRDefault="00CA41FE" w:rsidP="00CA41FE">
      <w:pPr>
        <w:spacing w:line="480" w:lineRule="auto"/>
      </w:pPr>
    </w:p>
    <w:p w14:paraId="028B5727" w14:textId="77777777" w:rsidR="00CA41FE" w:rsidRDefault="00CA41FE" w:rsidP="00CA41FE">
      <w:pPr>
        <w:spacing w:line="480" w:lineRule="auto"/>
      </w:pPr>
    </w:p>
    <w:p w14:paraId="461C18B9" w14:textId="77777777" w:rsidR="00CA41FE" w:rsidRDefault="00CA41FE" w:rsidP="00CA41FE">
      <w:pPr>
        <w:spacing w:line="480" w:lineRule="auto"/>
        <w:jc w:val="center"/>
        <w:rPr>
          <w:sz w:val="15"/>
          <w:szCs w:val="15"/>
        </w:rPr>
      </w:pPr>
      <w:r w:rsidRPr="00141E90">
        <w:rPr>
          <w:noProof/>
          <w:sz w:val="15"/>
          <w:szCs w:val="15"/>
        </w:rPr>
        <w:lastRenderedPageBreak/>
        <w:drawing>
          <wp:inline distT="0" distB="0" distL="0" distR="0" wp14:anchorId="2E6AF3CB" wp14:editId="5817888A">
            <wp:extent cx="5943600" cy="7105650"/>
            <wp:effectExtent l="0" t="0" r="0" b="0"/>
            <wp:docPr id="942222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105650"/>
                    </a:xfrm>
                    <a:prstGeom prst="rect">
                      <a:avLst/>
                    </a:prstGeom>
                    <a:noFill/>
                    <a:ln>
                      <a:noFill/>
                    </a:ln>
                  </pic:spPr>
                </pic:pic>
              </a:graphicData>
            </a:graphic>
          </wp:inline>
        </w:drawing>
      </w:r>
    </w:p>
    <w:p w14:paraId="0B83481B" w14:textId="4B1ED7CC" w:rsidR="00E16E11" w:rsidRDefault="00CA41FE" w:rsidP="00FB63A7">
      <w:pPr>
        <w:spacing w:line="480" w:lineRule="auto"/>
      </w:pPr>
      <w:r w:rsidRPr="00CA41FE">
        <w:rPr>
          <w:rFonts w:hint="eastAsia"/>
        </w:rPr>
        <w:t>Fig</w:t>
      </w:r>
      <w:r w:rsidRPr="00CA41FE">
        <w:t>.</w:t>
      </w:r>
      <w:r w:rsidRPr="00CA41FE">
        <w:rPr>
          <w:rFonts w:hint="eastAsia"/>
        </w:rPr>
        <w:t xml:space="preserve"> S11</w:t>
      </w:r>
      <w:r w:rsidRPr="00CA41FE">
        <w:t xml:space="preserve"> Integrated Western blot validation and densitometric quantification of FN1- and TP53-related perturbations.</w:t>
      </w:r>
      <w:r w:rsidRPr="00ED5251">
        <w:t xml:space="preserve"> (A) Representative blots showing FN1 and TP53 abundance after TP53 overexpression or TP53-targeting shRNA, FN1 abundance after FN1-targeting shRNA, basal FN1 abundance in hTERT-HPNE, PANC-1 and BxPC-3 cells, and N-cadherin, E-cadherin and vimentin abundance after FN1 silencing. (B-H) Densitometric quantification of the indicated proteins. Band </w:t>
      </w:r>
      <w:r w:rsidRPr="00ED5251">
        <w:lastRenderedPageBreak/>
        <w:t>intensities were measured in ImageJ, normalized to GAPDH and then normalized to the indicated control group, and values were organized in GraphPad Prism for planned comparisons. Bars show mean +/- SD from three replicate lanes. Indicated planned pairwise comparisons used two-tailed unpaired Student's t-tests. *P&lt;0.05, **P&lt;0.01, ***P&lt;0.001.</w:t>
      </w:r>
    </w:p>
    <w:p w14:paraId="136C39BB" w14:textId="77777777" w:rsidR="00FB63A7" w:rsidRPr="00FB63A7" w:rsidRDefault="00FB63A7" w:rsidP="00FB63A7">
      <w:pPr>
        <w:spacing w:line="480" w:lineRule="auto"/>
      </w:pPr>
    </w:p>
    <w:p w14:paraId="4671F8D1" w14:textId="77777777" w:rsidR="00E16E11" w:rsidRPr="00725BA7" w:rsidRDefault="00000000">
      <w:pPr>
        <w:rPr>
          <w:rFonts w:ascii="Times New Roman" w:hAnsi="Times New Roman" w:cs="Times New Roman"/>
        </w:rPr>
      </w:pPr>
      <w:r w:rsidRPr="00725BA7">
        <w:rPr>
          <w:rFonts w:ascii="Times New Roman" w:hAnsi="Times New Roman" w:cs="Times New Roman"/>
        </w:rPr>
        <w:t>Table S2. Model-selection rule and selected-model performance summary for the 113 candidate combinations.</w:t>
      </w:r>
    </w:p>
    <w:tbl>
      <w:tblPr>
        <w:tblStyle w:val="TableGrid"/>
        <w:tblW w:w="0" w:type="auto"/>
        <w:tblLook w:val="04A0" w:firstRow="1" w:lastRow="0" w:firstColumn="1" w:lastColumn="0" w:noHBand="0" w:noVBand="1"/>
      </w:tblPr>
      <w:tblGrid>
        <w:gridCol w:w="4508"/>
        <w:gridCol w:w="4508"/>
      </w:tblGrid>
      <w:tr w:rsidR="00E16E11" w:rsidRPr="00725BA7" w14:paraId="44041779" w14:textId="77777777">
        <w:tc>
          <w:tcPr>
            <w:tcW w:w="4513" w:type="dxa"/>
          </w:tcPr>
          <w:p w14:paraId="1D634EEE" w14:textId="77777777" w:rsidR="007E4CE5" w:rsidRPr="00725BA7" w:rsidRDefault="00000000">
            <w:pPr>
              <w:rPr>
                <w:rFonts w:ascii="Times New Roman" w:hAnsi="Times New Roman" w:cs="Times New Roman"/>
              </w:rPr>
            </w:pPr>
            <w:r w:rsidRPr="00725BA7">
              <w:rPr>
                <w:rFonts w:ascii="Times New Roman" w:hAnsi="Times New Roman" w:cs="Times New Roman"/>
              </w:rPr>
              <w:t>Item</w:t>
            </w:r>
          </w:p>
        </w:tc>
        <w:tc>
          <w:tcPr>
            <w:tcW w:w="4513" w:type="dxa"/>
          </w:tcPr>
          <w:p w14:paraId="05D7D49C" w14:textId="77777777" w:rsidR="007E4CE5" w:rsidRPr="00725BA7" w:rsidRDefault="00000000">
            <w:pPr>
              <w:rPr>
                <w:rFonts w:ascii="Times New Roman" w:hAnsi="Times New Roman" w:cs="Times New Roman"/>
              </w:rPr>
            </w:pPr>
            <w:r w:rsidRPr="00725BA7">
              <w:rPr>
                <w:rFonts w:ascii="Times New Roman" w:hAnsi="Times New Roman" w:cs="Times New Roman"/>
              </w:rPr>
              <w:t>Specification</w:t>
            </w:r>
          </w:p>
        </w:tc>
      </w:tr>
      <w:tr w:rsidR="00E16E11" w:rsidRPr="00725BA7" w14:paraId="6EC29284" w14:textId="77777777">
        <w:tc>
          <w:tcPr>
            <w:tcW w:w="4513" w:type="dxa"/>
          </w:tcPr>
          <w:p w14:paraId="6C055CA3" w14:textId="77777777" w:rsidR="007E4CE5" w:rsidRPr="00725BA7" w:rsidRDefault="00000000">
            <w:pPr>
              <w:rPr>
                <w:rFonts w:ascii="Times New Roman" w:hAnsi="Times New Roman" w:cs="Times New Roman"/>
              </w:rPr>
            </w:pPr>
            <w:r w:rsidRPr="00725BA7">
              <w:rPr>
                <w:rFonts w:ascii="Times New Roman" w:hAnsi="Times New Roman" w:cs="Times New Roman"/>
              </w:rPr>
              <w:t>Scissor phenotype</w:t>
            </w:r>
          </w:p>
        </w:tc>
        <w:tc>
          <w:tcPr>
            <w:tcW w:w="4513" w:type="dxa"/>
          </w:tcPr>
          <w:p w14:paraId="24BFD7B2" w14:textId="77777777" w:rsidR="007E4CE5" w:rsidRPr="00725BA7" w:rsidRDefault="00000000">
            <w:pPr>
              <w:rPr>
                <w:rFonts w:ascii="Times New Roman" w:hAnsi="Times New Roman" w:cs="Times New Roman"/>
              </w:rPr>
            </w:pPr>
            <w:r w:rsidRPr="00725BA7">
              <w:rPr>
                <w:rFonts w:ascii="Times New Roman" w:hAnsi="Times New Roman" w:cs="Times New Roman"/>
              </w:rPr>
              <w:t>Survival/prognosis annotation from TCGA-PAAD and ICGC bulk cohorts was used to identify Scissor-positive myeloid states; PDAC versus non-tumor disease status was used downstream for diagnostic tissue-classification modeling.</w:t>
            </w:r>
          </w:p>
        </w:tc>
      </w:tr>
      <w:tr w:rsidR="00E16E11" w:rsidRPr="00725BA7" w14:paraId="23E1424F" w14:textId="77777777">
        <w:tc>
          <w:tcPr>
            <w:tcW w:w="4513" w:type="dxa"/>
          </w:tcPr>
          <w:p w14:paraId="397BBD67" w14:textId="77777777" w:rsidR="007E4CE5" w:rsidRPr="00725BA7" w:rsidRDefault="00000000">
            <w:pPr>
              <w:rPr>
                <w:rFonts w:ascii="Times New Roman" w:hAnsi="Times New Roman" w:cs="Times New Roman"/>
              </w:rPr>
            </w:pPr>
            <w:r w:rsidRPr="00725BA7">
              <w:rPr>
                <w:rFonts w:ascii="Times New Roman" w:hAnsi="Times New Roman" w:cs="Times New Roman"/>
              </w:rPr>
              <w:t>Candidate feature set</w:t>
            </w:r>
          </w:p>
        </w:tc>
        <w:tc>
          <w:tcPr>
            <w:tcW w:w="4513" w:type="dxa"/>
          </w:tcPr>
          <w:p w14:paraId="5B1DDE2D" w14:textId="77777777" w:rsidR="007E4CE5" w:rsidRPr="00725BA7" w:rsidRDefault="00000000">
            <w:pPr>
              <w:rPr>
                <w:rFonts w:ascii="Times New Roman" w:hAnsi="Times New Roman" w:cs="Times New Roman"/>
              </w:rPr>
            </w:pPr>
            <w:r w:rsidRPr="00725BA7">
              <w:rPr>
                <w:rFonts w:ascii="Times New Roman" w:hAnsi="Times New Roman" w:cs="Times New Roman"/>
              </w:rPr>
              <w:t>Twenty-one candidate features obtained by intersecting tumor-regulatory genes with survival-linked Scissor-positive myeloid-associated genes upregulated in PDAC tissue.</w:t>
            </w:r>
          </w:p>
        </w:tc>
      </w:tr>
      <w:tr w:rsidR="00E16E11" w:rsidRPr="00725BA7" w14:paraId="391E2DB1" w14:textId="77777777">
        <w:tc>
          <w:tcPr>
            <w:tcW w:w="4513" w:type="dxa"/>
          </w:tcPr>
          <w:p w14:paraId="13B9A200" w14:textId="77777777" w:rsidR="007E4CE5" w:rsidRPr="00725BA7" w:rsidRDefault="00000000">
            <w:pPr>
              <w:rPr>
                <w:rFonts w:ascii="Times New Roman" w:hAnsi="Times New Roman" w:cs="Times New Roman"/>
              </w:rPr>
            </w:pPr>
            <w:r w:rsidRPr="00725BA7">
              <w:rPr>
                <w:rFonts w:ascii="Times New Roman" w:hAnsi="Times New Roman" w:cs="Times New Roman"/>
              </w:rPr>
              <w:t>Candidate modeling framework</w:t>
            </w:r>
          </w:p>
        </w:tc>
        <w:tc>
          <w:tcPr>
            <w:tcW w:w="4513" w:type="dxa"/>
          </w:tcPr>
          <w:p w14:paraId="5388908C" w14:textId="77777777" w:rsidR="007E4CE5" w:rsidRPr="00725BA7" w:rsidRDefault="00000000">
            <w:pPr>
              <w:rPr>
                <w:rFonts w:ascii="Times New Roman" w:hAnsi="Times New Roman" w:cs="Times New Roman"/>
              </w:rPr>
            </w:pPr>
            <w:r w:rsidRPr="00725BA7">
              <w:rPr>
                <w:rFonts w:ascii="Times New Roman" w:hAnsi="Times New Roman" w:cs="Times New Roman"/>
              </w:rPr>
              <w:t>A total of 113 machine-learning combinations assembled from penalized regression, support-vector machine, random forest, XGBoost, gradient boosting and neural-network approaches.</w:t>
            </w:r>
          </w:p>
        </w:tc>
      </w:tr>
      <w:tr w:rsidR="00E16E11" w:rsidRPr="00725BA7" w14:paraId="2FBE636E" w14:textId="77777777">
        <w:tc>
          <w:tcPr>
            <w:tcW w:w="4513" w:type="dxa"/>
          </w:tcPr>
          <w:p w14:paraId="55CBA92E" w14:textId="77777777" w:rsidR="007E4CE5" w:rsidRPr="00725BA7" w:rsidRDefault="00000000">
            <w:pPr>
              <w:rPr>
                <w:rFonts w:ascii="Times New Roman" w:hAnsi="Times New Roman" w:cs="Times New Roman"/>
              </w:rPr>
            </w:pPr>
            <w:r w:rsidRPr="00725BA7">
              <w:rPr>
                <w:rFonts w:ascii="Times New Roman" w:hAnsi="Times New Roman" w:cs="Times New Roman"/>
              </w:rPr>
              <w:t>Primary objective</w:t>
            </w:r>
          </w:p>
        </w:tc>
        <w:tc>
          <w:tcPr>
            <w:tcW w:w="4513" w:type="dxa"/>
          </w:tcPr>
          <w:p w14:paraId="0126274D" w14:textId="77777777" w:rsidR="007E4CE5" w:rsidRPr="00725BA7" w:rsidRDefault="00000000">
            <w:pPr>
              <w:rPr>
                <w:rFonts w:ascii="Times New Roman" w:hAnsi="Times New Roman" w:cs="Times New Roman"/>
              </w:rPr>
            </w:pPr>
            <w:r w:rsidRPr="00725BA7">
              <w:rPr>
                <w:rFonts w:ascii="Times New Roman" w:hAnsi="Times New Roman" w:cs="Times New Roman"/>
              </w:rPr>
              <w:t>Tissue discrimination between PDAC and non-tumor pancreas across the four core transcriptomic cohorts. This disease-status endpoint was distinct from the survival phenotype used for Scissor-based feature discovery.</w:t>
            </w:r>
          </w:p>
        </w:tc>
      </w:tr>
      <w:tr w:rsidR="00E16E11" w:rsidRPr="00725BA7" w14:paraId="26085C60" w14:textId="77777777">
        <w:tc>
          <w:tcPr>
            <w:tcW w:w="4513" w:type="dxa"/>
          </w:tcPr>
          <w:p w14:paraId="35F93E1E" w14:textId="77777777" w:rsidR="007E4CE5" w:rsidRPr="00725BA7" w:rsidRDefault="00000000">
            <w:pPr>
              <w:rPr>
                <w:rFonts w:ascii="Times New Roman" w:hAnsi="Times New Roman" w:cs="Times New Roman"/>
              </w:rPr>
            </w:pPr>
            <w:r w:rsidRPr="00725BA7">
              <w:rPr>
                <w:rFonts w:ascii="Times New Roman" w:hAnsi="Times New Roman" w:cs="Times New Roman"/>
              </w:rPr>
              <w:t>Selection criterion</w:t>
            </w:r>
          </w:p>
        </w:tc>
        <w:tc>
          <w:tcPr>
            <w:tcW w:w="4513" w:type="dxa"/>
          </w:tcPr>
          <w:p w14:paraId="35D0CAFF" w14:textId="77777777" w:rsidR="007E4CE5" w:rsidRPr="00725BA7" w:rsidRDefault="00000000">
            <w:pPr>
              <w:rPr>
                <w:rFonts w:ascii="Times New Roman" w:hAnsi="Times New Roman" w:cs="Times New Roman"/>
              </w:rPr>
            </w:pPr>
            <w:r w:rsidRPr="00725BA7">
              <w:rPr>
                <w:rFonts w:ascii="Times New Roman" w:hAnsi="Times New Roman" w:cs="Times New Roman"/>
              </w:rPr>
              <w:t>Consistently high validation AUC across GSE15471, GSE183795, GSE28735 and GSE62452, prioritizing cross-cohort stability, compact feature number and biological interpretability rather than maximum training-set AUC alone.</w:t>
            </w:r>
          </w:p>
        </w:tc>
      </w:tr>
      <w:tr w:rsidR="00E16E11" w:rsidRPr="00725BA7" w14:paraId="73645C2A" w14:textId="77777777">
        <w:tc>
          <w:tcPr>
            <w:tcW w:w="4513" w:type="dxa"/>
          </w:tcPr>
          <w:p w14:paraId="29CC8A25" w14:textId="77777777" w:rsidR="007E4CE5" w:rsidRPr="00725BA7" w:rsidRDefault="00000000">
            <w:pPr>
              <w:rPr>
                <w:rFonts w:ascii="Times New Roman" w:hAnsi="Times New Roman" w:cs="Times New Roman"/>
              </w:rPr>
            </w:pPr>
            <w:r w:rsidRPr="00725BA7">
              <w:rPr>
                <w:rFonts w:ascii="Times New Roman" w:hAnsi="Times New Roman" w:cs="Times New Roman"/>
              </w:rPr>
              <w:t>Selected model</w:t>
            </w:r>
          </w:p>
        </w:tc>
        <w:tc>
          <w:tcPr>
            <w:tcW w:w="4513" w:type="dxa"/>
          </w:tcPr>
          <w:p w14:paraId="26DC7AEB" w14:textId="77777777" w:rsidR="007E4CE5" w:rsidRPr="00725BA7" w:rsidRDefault="00000000">
            <w:pPr>
              <w:rPr>
                <w:rFonts w:ascii="Times New Roman" w:hAnsi="Times New Roman" w:cs="Times New Roman"/>
              </w:rPr>
            </w:pPr>
            <w:r w:rsidRPr="00725BA7">
              <w:rPr>
                <w:rFonts w:ascii="Times New Roman" w:hAnsi="Times New Roman" w:cs="Times New Roman"/>
              </w:rPr>
              <w:t>Eight-gene SMDS comprising FN1, SPP1, XAF1, IL1RAP, PLAU, CD109, IFI27 and MYOF.</w:t>
            </w:r>
          </w:p>
        </w:tc>
      </w:tr>
      <w:tr w:rsidR="00E16E11" w:rsidRPr="00725BA7" w14:paraId="1C21E8AC" w14:textId="77777777">
        <w:tc>
          <w:tcPr>
            <w:tcW w:w="4513" w:type="dxa"/>
          </w:tcPr>
          <w:p w14:paraId="6C30AC71" w14:textId="77777777" w:rsidR="007E4CE5" w:rsidRPr="00725BA7" w:rsidRDefault="00000000">
            <w:pPr>
              <w:rPr>
                <w:rFonts w:ascii="Times New Roman" w:hAnsi="Times New Roman" w:cs="Times New Roman"/>
              </w:rPr>
            </w:pPr>
            <w:r w:rsidRPr="00725BA7">
              <w:rPr>
                <w:rFonts w:ascii="Times New Roman" w:hAnsi="Times New Roman" w:cs="Times New Roman"/>
              </w:rPr>
              <w:t>Selected-model performance</w:t>
            </w:r>
          </w:p>
        </w:tc>
        <w:tc>
          <w:tcPr>
            <w:tcW w:w="4513" w:type="dxa"/>
          </w:tcPr>
          <w:p w14:paraId="22546E8D" w14:textId="77777777" w:rsidR="007E4CE5" w:rsidRPr="00725BA7" w:rsidRDefault="00000000">
            <w:pPr>
              <w:rPr>
                <w:rFonts w:ascii="Times New Roman" w:hAnsi="Times New Roman" w:cs="Times New Roman"/>
              </w:rPr>
            </w:pPr>
            <w:r w:rsidRPr="00725BA7">
              <w:rPr>
                <w:rFonts w:ascii="Times New Roman" w:hAnsi="Times New Roman" w:cs="Times New Roman"/>
              </w:rPr>
              <w:t>The selected model showed AUCs of 0.918-0.990 across the four core cohorts, as shown in Figure 5A.</w:t>
            </w:r>
          </w:p>
        </w:tc>
      </w:tr>
      <w:tr w:rsidR="007E4CE5" w:rsidRPr="00725BA7" w14:paraId="65F85A33" w14:textId="77777777">
        <w:tc>
          <w:tcPr>
            <w:tcW w:w="4508" w:type="dxa"/>
          </w:tcPr>
          <w:p w14:paraId="5BE7D2F8" w14:textId="77777777" w:rsidR="007E4CE5" w:rsidRPr="00725BA7" w:rsidRDefault="00000000">
            <w:pPr>
              <w:rPr>
                <w:rFonts w:ascii="Times New Roman" w:hAnsi="Times New Roman" w:cs="Times New Roman"/>
              </w:rPr>
            </w:pPr>
            <w:r w:rsidRPr="00725BA7">
              <w:rPr>
                <w:rFonts w:ascii="Times New Roman" w:hAnsi="Times New Roman" w:cs="Times New Roman"/>
              </w:rPr>
              <w:t>Important note</w:t>
            </w:r>
          </w:p>
        </w:tc>
        <w:tc>
          <w:tcPr>
            <w:tcW w:w="4508" w:type="dxa"/>
          </w:tcPr>
          <w:p w14:paraId="67954EAE" w14:textId="648E24E4" w:rsidR="007E4CE5" w:rsidRPr="00725BA7" w:rsidRDefault="00000000">
            <w:pPr>
              <w:rPr>
                <w:rFonts w:ascii="Times New Roman" w:hAnsi="Times New Roman" w:cs="Times New Roman"/>
              </w:rPr>
            </w:pPr>
            <w:r w:rsidRPr="00725BA7">
              <w:rPr>
                <w:rFonts w:ascii="Times New Roman" w:hAnsi="Times New Roman" w:cs="Times New Roman"/>
              </w:rPr>
              <w:t xml:space="preserve">This table documents the selection rule and selected-model summary. Because Scissor discovery used survival annotation and the final model was optimized for PDAC versus non-tumor tissue discrimination, prognostic analyses </w:t>
            </w:r>
            <w:r w:rsidRPr="00725BA7">
              <w:rPr>
                <w:rFonts w:ascii="Times New Roman" w:hAnsi="Times New Roman" w:cs="Times New Roman"/>
              </w:rPr>
              <w:lastRenderedPageBreak/>
              <w:t xml:space="preserve">should be interpreted as secondary exploratory evidence. </w:t>
            </w:r>
          </w:p>
        </w:tc>
      </w:tr>
    </w:tbl>
    <w:p w14:paraId="03A95370" w14:textId="77777777" w:rsidR="00B268B3" w:rsidRPr="00725BA7" w:rsidRDefault="00B268B3">
      <w:pPr>
        <w:rPr>
          <w:rFonts w:ascii="Times New Roman" w:hAnsi="Times New Roman" w:cs="Times New Roman"/>
        </w:rPr>
      </w:pPr>
    </w:p>
    <w:sectPr w:rsidR="00B268B3" w:rsidRPr="00725B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B2"/>
    <w:rsid w:val="000638F8"/>
    <w:rsid w:val="000F488B"/>
    <w:rsid w:val="001748EE"/>
    <w:rsid w:val="001C1DC8"/>
    <w:rsid w:val="002B6C84"/>
    <w:rsid w:val="00344521"/>
    <w:rsid w:val="003944DC"/>
    <w:rsid w:val="003E0676"/>
    <w:rsid w:val="00446977"/>
    <w:rsid w:val="004626BE"/>
    <w:rsid w:val="005138F8"/>
    <w:rsid w:val="006330D4"/>
    <w:rsid w:val="006567D0"/>
    <w:rsid w:val="006B04A4"/>
    <w:rsid w:val="006C0FD5"/>
    <w:rsid w:val="006D4642"/>
    <w:rsid w:val="00706B70"/>
    <w:rsid w:val="00713644"/>
    <w:rsid w:val="00721982"/>
    <w:rsid w:val="00725BA7"/>
    <w:rsid w:val="007E4CE5"/>
    <w:rsid w:val="00852B23"/>
    <w:rsid w:val="008F2690"/>
    <w:rsid w:val="00912EAE"/>
    <w:rsid w:val="009800E0"/>
    <w:rsid w:val="009B3E0F"/>
    <w:rsid w:val="00B268B3"/>
    <w:rsid w:val="00B2782E"/>
    <w:rsid w:val="00B3490E"/>
    <w:rsid w:val="00C04987"/>
    <w:rsid w:val="00C114E6"/>
    <w:rsid w:val="00C12273"/>
    <w:rsid w:val="00C71390"/>
    <w:rsid w:val="00CA41FE"/>
    <w:rsid w:val="00D71918"/>
    <w:rsid w:val="00D738B2"/>
    <w:rsid w:val="00DA4797"/>
    <w:rsid w:val="00DE7677"/>
    <w:rsid w:val="00E16E11"/>
    <w:rsid w:val="00E53AC5"/>
    <w:rsid w:val="00E53B2E"/>
    <w:rsid w:val="00F6489D"/>
    <w:rsid w:val="00FB63A7"/>
    <w:rsid w:val="00FC47BA"/>
    <w:rsid w:val="00FE10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45621"/>
  <w15:chartTrackingRefBased/>
  <w15:docId w15:val="{53407F5F-2894-4E8E-9428-A0A22F51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738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738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738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semiHidden/>
    <w:unhideWhenUsed/>
    <w:qFormat/>
    <w:rsid w:val="00D738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D738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D738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738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738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738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38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38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38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38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38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3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8B2"/>
    <w:rPr>
      <w:rFonts w:eastAsiaTheme="majorEastAsia" w:cstheme="majorBidi"/>
      <w:color w:val="272727" w:themeColor="text1" w:themeTint="D8"/>
    </w:rPr>
  </w:style>
  <w:style w:type="paragraph" w:styleId="Title">
    <w:name w:val="Title"/>
    <w:basedOn w:val="Normal"/>
    <w:next w:val="Normal"/>
    <w:link w:val="TitleChar"/>
    <w:uiPriority w:val="10"/>
    <w:qFormat/>
    <w:rsid w:val="00D73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8B2"/>
    <w:pPr>
      <w:spacing w:before="160"/>
      <w:jc w:val="center"/>
    </w:pPr>
    <w:rPr>
      <w:i/>
      <w:iCs/>
      <w:color w:val="404040" w:themeColor="text1" w:themeTint="BF"/>
    </w:rPr>
  </w:style>
  <w:style w:type="character" w:customStyle="1" w:styleId="QuoteChar">
    <w:name w:val="Quote Char"/>
    <w:basedOn w:val="DefaultParagraphFont"/>
    <w:link w:val="Quote"/>
    <w:uiPriority w:val="29"/>
    <w:rsid w:val="00D738B2"/>
    <w:rPr>
      <w:i/>
      <w:iCs/>
      <w:color w:val="404040" w:themeColor="text1" w:themeTint="BF"/>
    </w:rPr>
  </w:style>
  <w:style w:type="paragraph" w:styleId="ListParagraph">
    <w:name w:val="List Paragraph"/>
    <w:basedOn w:val="Normal"/>
    <w:uiPriority w:val="99"/>
    <w:qFormat/>
    <w:rsid w:val="00D738B2"/>
    <w:pPr>
      <w:ind w:left="720"/>
      <w:contextualSpacing/>
    </w:pPr>
  </w:style>
  <w:style w:type="character" w:styleId="IntenseEmphasis">
    <w:name w:val="Intense Emphasis"/>
    <w:basedOn w:val="DefaultParagraphFont"/>
    <w:uiPriority w:val="21"/>
    <w:qFormat/>
    <w:rsid w:val="00D738B2"/>
    <w:rPr>
      <w:i/>
      <w:iCs/>
      <w:color w:val="2F5496" w:themeColor="accent1" w:themeShade="BF"/>
    </w:rPr>
  </w:style>
  <w:style w:type="paragraph" w:styleId="IntenseQuote">
    <w:name w:val="Intense Quote"/>
    <w:basedOn w:val="Normal"/>
    <w:next w:val="Normal"/>
    <w:link w:val="IntenseQuoteChar"/>
    <w:uiPriority w:val="30"/>
    <w:qFormat/>
    <w:rsid w:val="00D738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38B2"/>
    <w:rPr>
      <w:i/>
      <w:iCs/>
      <w:color w:val="2F5496" w:themeColor="accent1" w:themeShade="BF"/>
    </w:rPr>
  </w:style>
  <w:style w:type="character" w:styleId="IntenseReference">
    <w:name w:val="Intense Reference"/>
    <w:basedOn w:val="DefaultParagraphFont"/>
    <w:uiPriority w:val="32"/>
    <w:qFormat/>
    <w:rsid w:val="00D738B2"/>
    <w:rPr>
      <w:b/>
      <w:bCs/>
      <w:smallCaps/>
      <w:color w:val="2F5496" w:themeColor="accent1" w:themeShade="BF"/>
      <w:spacing w:val="5"/>
    </w:rPr>
  </w:style>
  <w:style w:type="table" w:styleId="TableGrid">
    <w:name w:val="Table Grid"/>
    <w:basedOn w:val="TableNormal"/>
    <w:uiPriority w:val="39"/>
    <w:rsid w:val="00D71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f"/><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f12051</dc:creator>
  <cp:keywords/>
  <dc:description/>
  <cp:lastModifiedBy>Xinyu Tan</cp:lastModifiedBy>
  <cp:revision>9</cp:revision>
  <dcterms:created xsi:type="dcterms:W3CDTF">2026-07-08T17:56:00Z</dcterms:created>
  <dcterms:modified xsi:type="dcterms:W3CDTF">2026-07-29T09:36:00Z</dcterms:modified>
</cp:coreProperties>
</file>