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methods and results</w:t>
      </w:r>
    </w:p>
    <w:p>
      <w:r>
        <w:t>Development and external evaluation of MRI and clinical models for pathological complete response in breast cancer</w:t>
      </w:r>
    </w:p>
    <w:p>
      <w:r>
        <w:t>Tianyi Yu</w:t>
      </w:r>
    </w:p>
    <w:p>
      <w:pPr>
        <w:pStyle w:val="Heading1"/>
      </w:pPr>
      <w:r>
        <w:t>S1 Analysis provenance and source selection</w:t>
      </w:r>
    </w:p>
    <w:p>
      <w:r>
        <w:t>The selected BreastDCEDL image release was used: 982 I-SPY2 and 172 I-SPY1 records. Counts are not reported for all parent-trial recruits. Three I-SPY2 exclusions before release creation were reported in the source descriptor because three contrast phases were unavailable. Source selection should be distinguished from the outcome/phase exclusions applied in this study.</w:t>
      </w:r>
    </w:p>
    <w:p>
      <w:r>
        <w:t>The statistical analysis plan was locally frozen on 13 September 2026 at 17:05:45 UTC. Amendment 1 was frozen at 17:30 UTC, after the clinical benchmark and before MRI outcome modelling. The final development model freeze was recorded at 22:02:21 UTC, before external results at 22:02:42 UTC. These are project records, not registry timestamps or independent preregistration. Their exact contents and hashes are in Additional file 2.</w:t>
      </w:r>
    </w:p>
    <w:p>
      <w:r>
        <w:t>The I-SPY2 archive size was verified as 13634158199 bytes, with provider MD5 2f1a00310bd00d344664319fb7bd679c confirmed. The I-SPY1 archive size was verified as 1252209311 bytes, with MD5 d2d2630940a861819e6a385877f45ba5 confirmed. No raw image archive is redistributed. GitHub metadata were fixed at commit 961c458a393b3173ce923e7bc78409790153a15e.</w:t>
      </w:r>
    </w:p>
    <w:p>
      <w:r>
        <w:t>In technical correction 1, actual array dimensions were reconciled with the source metadata’s positive-mask extent. Four extra margin slices were identified in 959 records, three in six, two in 15, and zero in two. Clinical identifiers and phase indices were retained. In technical correction 2, 0/255 storage was accepted in two masks, with nonzero foreground voxels preserved. Images were not rewritten, and model performance was not used for either correction. Only two feature rows were obtained from an initial strict shape check; these were never modelled, and the failed attempt was documented.</w:t>
      </w:r>
    </w:p>
    <w:p>
      <w:r>
        <w:t>A total of 515 image files bearing 172 I-SPY1 identifiers was excluded by a fixed development identifier list despite their presence in the I-SPY2-named archive. Missing external source outcomes for five records were never recoded as negative. For one additional record, ISPY1_1139, phase indices were recorded as 0/1/2 in GitHub and 0/2/2 in Zenodo. The three distinct GitHub phases were used in its prespecified alternative. Supplied masks and phase annotations were not assessed for clinical quality.</w:t>
      </w:r>
    </w:p>
    <w:p>
      <w:r>
        <w:t>The original categorical receptor labels were retained. HR positivity thresholds of at least 10% staining in I-SPY1 and at least 1% in I-SPY2 are reported in the derivative descriptor. Identical ascertainment thresholds are not implied by categorical harmonization. Central testing was incorporated into the external HER2 field where community results were absent; its availability at a contemporaneous consultation was not established.</w:t>
      </w:r>
    </w:p>
    <w:p>
      <w:pPr>
        <w:pStyle w:val="Heading1"/>
      </w:pPr>
      <w:r>
        <w:t>S2 Fixed MRI feature definitions</w:t>
      </w:r>
    </w:p>
    <w:p>
      <w:r>
        <w:t>For corresponding tumour-mask voxels, precontrast, early and late signals are denoted by P, E and L. The median of strictly positive P values is denoted by s; d is defined as the voxelwise maximum of |P| and 0.1s. Image sets were rejected if s was undefined or nonpositive. Quantiles were calculated by NumPy’s default linear method. All operations were completed before outcome modelling; physical geometry and elapsed contrast time were not incorporated.</w:t>
      </w:r>
    </w:p>
    <w:p>
      <w:pPr>
        <w:keepNext/>
      </w:pPr>
      <w:r>
        <w:rPr>
          <w:b/>
        </w:rPr>
        <w:t>Table S1. The twelve fixed signal features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2736"/>
        <w:gridCol w:w="3528"/>
        <w:gridCol w:w="3168"/>
      </w:tblGrid>
      <w:tr>
        <w:trPr>
          <w:cantSplit/>
          <w:tblHeader/>
        </w:trPr>
        <w:tc>
          <w:tcPr>
            <w:tcW w:type="dxa" w:w="2736"/>
            <w:vAlign w:val="center"/>
          </w:tcPr>
          <w:p>
            <w:pPr>
              <w:keepNext/>
              <w:spacing w:line="252" w:lineRule="auto" w:after="0"/>
            </w:pPr>
            <w:r>
              <w:rPr>
                <w:b/>
                <w:sz w:val="20"/>
              </w:rPr>
              <w:t>Feature</w:t>
            </w:r>
          </w:p>
        </w:tc>
        <w:tc>
          <w:tcPr>
            <w:tcW w:type="dxa" w:w="3528"/>
            <w:vAlign w:val="center"/>
          </w:tcPr>
          <w:p>
            <w:pPr>
              <w:keepNext/>
              <w:spacing w:line="252" w:lineRule="auto" w:after="0"/>
            </w:pPr>
            <w:r>
              <w:rPr>
                <w:b/>
                <w:sz w:val="20"/>
              </w:rPr>
              <w:t>Definition</w:t>
            </w:r>
          </w:p>
        </w:tc>
        <w:tc>
          <w:tcPr>
            <w:tcW w:type="dxa" w:w="3168"/>
            <w:vAlign w:val="center"/>
          </w:tcPr>
          <w:p>
            <w:pPr>
              <w:keepNext/>
              <w:spacing w:line="252" w:lineRule="auto" w:after="0"/>
            </w:pPr>
            <w:r>
              <w:rPr>
                <w:b/>
                <w:sz w:val="20"/>
              </w:rPr>
              <w:t>Transform</w:t>
            </w:r>
          </w:p>
        </w:tc>
      </w:tr>
      <w:tr>
        <w:trPr>
          <w:cantSplit/>
        </w:trPr>
        <w:tc>
          <w:tcPr>
            <w:tcW w:type="dxa" w:w="2736"/>
            <w:vAlign w:val="center"/>
          </w:tcPr>
          <w:p>
            <w:pPr>
              <w:keepNext/>
              <w:spacing w:line="252" w:lineRule="auto" w:after="0"/>
            </w:pPr>
            <w:r>
              <w:rPr>
                <w:b w:val="0"/>
                <w:sz w:val="20"/>
              </w:rPr>
              <w:t>Precontrast, q10</w:t>
            </w:r>
          </w:p>
        </w:tc>
        <w:tc>
          <w:tcPr>
            <w:tcW w:type="dxa" w:w="3528"/>
            <w:vAlign w:val="center"/>
          </w:tcPr>
          <w:p>
            <w:pPr>
              <w:keepNext/>
              <w:spacing w:line="252" w:lineRule="auto" w:after="0"/>
            </w:pPr>
            <w:r>
              <w:rPr>
                <w:b w:val="0"/>
                <w:sz w:val="20"/>
              </w:rPr>
              <w:t>10th percentile of P / s</w:t>
            </w:r>
          </w:p>
        </w:tc>
        <w:tc>
          <w:tcPr>
            <w:tcW w:type="dxa" w:w="3168"/>
            <w:vAlign w:val="center"/>
          </w:tcPr>
          <w:p>
            <w:pPr>
              <w:keepNext/>
              <w:spacing w:line="252" w:lineRule="auto" w:after="0"/>
            </w:pPr>
            <w:r>
              <w:rPr>
                <w:b w:val="0"/>
                <w:sz w:val="20"/>
              </w:rPr>
              <w:t>arcsinh, then training-fold scaling</w:t>
            </w:r>
          </w:p>
        </w:tc>
      </w:tr>
      <w:tr>
        <w:trPr>
          <w:cantSplit/>
        </w:trPr>
        <w:tc>
          <w:tcPr>
            <w:tcW w:type="dxa" w:w="2736"/>
            <w:vAlign w:val="center"/>
          </w:tcPr>
          <w:p>
            <w:pPr>
              <w:keepNext/>
              <w:spacing w:line="252" w:lineRule="auto" w:after="0"/>
            </w:pPr>
            <w:r>
              <w:rPr>
                <w:b w:val="0"/>
                <w:sz w:val="20"/>
              </w:rPr>
              <w:t>Precontrast, q90</w:t>
            </w:r>
          </w:p>
        </w:tc>
        <w:tc>
          <w:tcPr>
            <w:tcW w:type="dxa" w:w="3528"/>
            <w:vAlign w:val="center"/>
          </w:tcPr>
          <w:p>
            <w:pPr>
              <w:keepNext/>
              <w:spacing w:line="252" w:lineRule="auto" w:after="0"/>
            </w:pPr>
            <w:r>
              <w:rPr>
                <w:b w:val="0"/>
                <w:sz w:val="20"/>
              </w:rPr>
              <w:t>90th percentile of P / s</w:t>
            </w:r>
          </w:p>
        </w:tc>
        <w:tc>
          <w:tcPr>
            <w:tcW w:type="dxa" w:w="3168"/>
            <w:vAlign w:val="center"/>
          </w:tcPr>
          <w:p>
            <w:pPr>
              <w:keepNext/>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Early enhancement, q10</w:t>
            </w:r>
          </w:p>
        </w:tc>
        <w:tc>
          <w:tcPr>
            <w:tcW w:type="dxa" w:w="3528"/>
            <w:vAlign w:val="center"/>
          </w:tcPr>
          <w:p>
            <w:pPr>
              <w:keepNext w:val="0"/>
              <w:spacing w:line="252" w:lineRule="auto" w:after="0"/>
            </w:pPr>
            <w:r>
              <w:rPr>
                <w:b w:val="0"/>
                <w:sz w:val="20"/>
              </w:rPr>
              <w:t>10th percentile of (E − P)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Early enhancement, q50</w:t>
            </w:r>
          </w:p>
        </w:tc>
        <w:tc>
          <w:tcPr>
            <w:tcW w:type="dxa" w:w="3528"/>
            <w:vAlign w:val="center"/>
          </w:tcPr>
          <w:p>
            <w:pPr>
              <w:keepNext w:val="0"/>
              <w:spacing w:line="252" w:lineRule="auto" w:after="0"/>
            </w:pPr>
            <w:r>
              <w:rPr>
                <w:b w:val="0"/>
                <w:sz w:val="20"/>
              </w:rPr>
              <w:t>50th percentile of (E − P)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Early enhancement, q90</w:t>
            </w:r>
          </w:p>
        </w:tc>
        <w:tc>
          <w:tcPr>
            <w:tcW w:type="dxa" w:w="3528"/>
            <w:vAlign w:val="center"/>
          </w:tcPr>
          <w:p>
            <w:pPr>
              <w:keepNext w:val="0"/>
              <w:spacing w:line="252" w:lineRule="auto" w:after="0"/>
            </w:pPr>
            <w:r>
              <w:rPr>
                <w:b w:val="0"/>
                <w:sz w:val="20"/>
              </w:rPr>
              <w:t>90th percentile of (E − P)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Late enhancement, q10</w:t>
            </w:r>
          </w:p>
        </w:tc>
        <w:tc>
          <w:tcPr>
            <w:tcW w:type="dxa" w:w="3528"/>
            <w:vAlign w:val="center"/>
          </w:tcPr>
          <w:p>
            <w:pPr>
              <w:keepNext w:val="0"/>
              <w:spacing w:line="252" w:lineRule="auto" w:after="0"/>
            </w:pPr>
            <w:r>
              <w:rPr>
                <w:b w:val="0"/>
                <w:sz w:val="20"/>
              </w:rPr>
              <w:t>10th percentile of (L − P)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Late enhancement, q50</w:t>
            </w:r>
          </w:p>
        </w:tc>
        <w:tc>
          <w:tcPr>
            <w:tcW w:type="dxa" w:w="3528"/>
            <w:vAlign w:val="center"/>
          </w:tcPr>
          <w:p>
            <w:pPr>
              <w:keepNext w:val="0"/>
              <w:spacing w:line="252" w:lineRule="auto" w:after="0"/>
            </w:pPr>
            <w:r>
              <w:rPr>
                <w:b w:val="0"/>
                <w:sz w:val="20"/>
              </w:rPr>
              <w:t>50th percentile of (L − P)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Late enhancement, q90</w:t>
            </w:r>
          </w:p>
        </w:tc>
        <w:tc>
          <w:tcPr>
            <w:tcW w:type="dxa" w:w="3528"/>
            <w:vAlign w:val="center"/>
          </w:tcPr>
          <w:p>
            <w:pPr>
              <w:keepNext w:val="0"/>
              <w:spacing w:line="252" w:lineRule="auto" w:after="0"/>
            </w:pPr>
            <w:r>
              <w:rPr>
                <w:b w:val="0"/>
                <w:sz w:val="20"/>
              </w:rPr>
              <w:t>90th percentile of (L − P)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Delayed change, q10</w:t>
            </w:r>
          </w:p>
        </w:tc>
        <w:tc>
          <w:tcPr>
            <w:tcW w:type="dxa" w:w="3528"/>
            <w:vAlign w:val="center"/>
          </w:tcPr>
          <w:p>
            <w:pPr>
              <w:keepNext w:val="0"/>
              <w:spacing w:line="252" w:lineRule="auto" w:after="0"/>
            </w:pPr>
            <w:r>
              <w:rPr>
                <w:b w:val="0"/>
                <w:sz w:val="20"/>
              </w:rPr>
              <w:t>10th percentile of (L − E)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Delayed change, q50</w:t>
            </w:r>
          </w:p>
        </w:tc>
        <w:tc>
          <w:tcPr>
            <w:tcW w:type="dxa" w:w="3528"/>
            <w:vAlign w:val="center"/>
          </w:tcPr>
          <w:p>
            <w:pPr>
              <w:keepNext w:val="0"/>
              <w:spacing w:line="252" w:lineRule="auto" w:after="0"/>
            </w:pPr>
            <w:r>
              <w:rPr>
                <w:b w:val="0"/>
                <w:sz w:val="20"/>
              </w:rPr>
              <w:t>50th percentile of (L − E)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Delayed change, q90</w:t>
            </w:r>
          </w:p>
        </w:tc>
        <w:tc>
          <w:tcPr>
            <w:tcW w:type="dxa" w:w="3528"/>
            <w:vAlign w:val="center"/>
          </w:tcPr>
          <w:p>
            <w:pPr>
              <w:keepNext w:val="0"/>
              <w:spacing w:line="252" w:lineRule="auto" w:after="0"/>
            </w:pPr>
            <w:r>
              <w:rPr>
                <w:b w:val="0"/>
                <w:sz w:val="20"/>
              </w:rPr>
              <w:t>90th percentile of (L − E) / d</w:t>
            </w:r>
          </w:p>
        </w:tc>
        <w:tc>
          <w:tcPr>
            <w:tcW w:type="dxa" w:w="3168"/>
            <w:vAlign w:val="center"/>
          </w:tcPr>
          <w:p>
            <w:pPr>
              <w:keepNext w:val="0"/>
              <w:spacing w:line="252" w:lineRule="auto" w:after="0"/>
            </w:pPr>
            <w:r>
              <w:rPr>
                <w:b w:val="0"/>
                <w:sz w:val="20"/>
              </w:rPr>
              <w:t>arcsinh, then training-fold scaling</w:t>
            </w:r>
          </w:p>
        </w:tc>
      </w:tr>
      <w:tr>
        <w:trPr>
          <w:cantSplit/>
        </w:trPr>
        <w:tc>
          <w:tcPr>
            <w:tcW w:type="dxa" w:w="2736"/>
            <w:vAlign w:val="center"/>
          </w:tcPr>
          <w:p>
            <w:pPr>
              <w:keepNext w:val="0"/>
              <w:spacing w:line="252" w:lineRule="auto" w:after="0"/>
            </w:pPr>
            <w:r>
              <w:rPr>
                <w:b w:val="0"/>
                <w:sz w:val="20"/>
              </w:rPr>
              <w:t>Late below early</w:t>
            </w:r>
          </w:p>
        </w:tc>
        <w:tc>
          <w:tcPr>
            <w:tcW w:type="dxa" w:w="3528"/>
            <w:vAlign w:val="center"/>
          </w:tcPr>
          <w:p>
            <w:pPr>
              <w:keepNext w:val="0"/>
              <w:spacing w:line="252" w:lineRule="auto" w:after="0"/>
            </w:pPr>
            <w:r>
              <w:rPr>
                <w:b w:val="0"/>
                <w:sz w:val="20"/>
              </w:rPr>
              <w:t>Fraction of mask voxels with L &lt; E</w:t>
            </w:r>
          </w:p>
        </w:tc>
        <w:tc>
          <w:tcPr>
            <w:tcW w:type="dxa" w:w="3168"/>
            <w:vAlign w:val="center"/>
          </w:tcPr>
          <w:p>
            <w:pPr>
              <w:keepNext w:val="0"/>
              <w:spacing w:line="252" w:lineRule="auto" w:after="0"/>
            </w:pPr>
            <w:r>
              <w:rPr>
                <w:b w:val="0"/>
                <w:sz w:val="20"/>
              </w:rPr>
              <w:t>Training-fold scaling only</w:t>
            </w:r>
          </w:p>
        </w:tc>
      </w:tr>
    </w:tbl>
    <w:p>
      <w:r>
        <w:t>The first 11 features were stored after arcsinh transformation. The transformation must not be reapplied when feature CSV files are loaded. Scaling was performed with training-fold means and standard deviations.</w:t>
      </w:r>
    </w:p>
    <w:p>
      <w:pPr>
        <w:pStyle w:val="Heading1"/>
      </w:pPr>
      <w:r>
        <w:t>S3 Model implementation</w:t>
      </w:r>
    </w:p>
    <w:p>
      <w:r>
        <w:t>All primary models were implemented in scikit-learn pipelines with lbfgs logistic regression and a maximum of 5000 iterations. Age was represented by five output columns from a degree-three SplineTransformer with four quantile knots, include_bias=False and linear extrapolation. Median imputation was applied before spline transformation, followed by standardization. Receptors were modally imputed; HR, HER2 and HR×HER2 were then generated by an interaction-only degree-two expansion. Receptor outputs were not standardized; MRI outputs were standardized. Dense one-hot encoding was applied to Arm, with unknown categories ignored. The final estimator’s intercept was retained.</w:t>
      </w:r>
    </w:p>
    <w:p>
      <w:r>
        <w:t>In each outer fold, four fifths were used for training and one fifth for assessment, with selection performed in five inner stratified folds. Actual training and assessment counts and selected penalties are recorded for every fit. Training-dependent preprocessing was performed inside GridSearchCV. The largest candidate C was 100 and the smallest 0.01; the first, smallest value was selected in exact ties. Primary sample sizes and events were 982/316 in development and 166/48 externally. Conventional and restricted-treatment models were fitted in 384/113 and 209/39, respectively.</w:t>
      </w:r>
    </w:p>
    <w:p>
      <w:pPr>
        <w:keepNext/>
      </w:pPr>
      <w:r>
        <w:rPr>
          <w:b/>
        </w:rPr>
        <w:t>Table S2. Additional internal performance metrics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3672"/>
        <w:gridCol w:w="1584"/>
        <w:gridCol w:w="2520"/>
        <w:gridCol w:w="1656"/>
      </w:tblGrid>
      <w:tr>
        <w:trPr>
          <w:cantSplit/>
          <w:tblHeader/>
        </w:trPr>
        <w:tc>
          <w:tcPr>
            <w:tcW w:type="dxa" w:w="3672"/>
            <w:vAlign w:val="center"/>
          </w:tcPr>
          <w:p>
            <w:pPr>
              <w:keepNext/>
              <w:spacing w:line="252" w:lineRule="auto" w:after="0"/>
            </w:pPr>
            <w:r>
              <w:rPr>
                <w:b/>
                <w:sz w:val="20"/>
              </w:rPr>
              <w:t>Model</w:t>
            </w:r>
          </w:p>
        </w:tc>
        <w:tc>
          <w:tcPr>
            <w:tcW w:type="dxa" w:w="1584"/>
            <w:vAlign w:val="center"/>
          </w:tcPr>
          <w:p>
            <w:pPr>
              <w:keepNext/>
              <w:spacing w:line="252" w:lineRule="auto" w:after="0"/>
            </w:pPr>
            <w:r>
              <w:rPr>
                <w:b/>
                <w:sz w:val="20"/>
              </w:rPr>
              <w:t>Log loss</w:t>
            </w:r>
          </w:p>
        </w:tc>
        <w:tc>
          <w:tcPr>
            <w:tcW w:type="dxa" w:w="2520"/>
            <w:vAlign w:val="center"/>
          </w:tcPr>
          <w:p>
            <w:pPr>
              <w:keepNext/>
              <w:spacing w:line="252" w:lineRule="auto" w:after="0"/>
            </w:pPr>
            <w:r>
              <w:rPr>
                <w:b/>
                <w:sz w:val="20"/>
              </w:rPr>
              <w:t>Calibration-in-the-large</w:t>
            </w:r>
          </w:p>
        </w:tc>
        <w:tc>
          <w:tcPr>
            <w:tcW w:type="dxa" w:w="1656"/>
            <w:vAlign w:val="center"/>
          </w:tcPr>
          <w:p>
            <w:pPr>
              <w:keepNext/>
              <w:spacing w:line="252" w:lineRule="auto" w:after="0"/>
            </w:pPr>
            <w:r>
              <w:rPr>
                <w:b/>
                <w:sz w:val="20"/>
              </w:rPr>
              <w:t>Slope</w:t>
            </w:r>
          </w:p>
        </w:tc>
      </w:tr>
      <w:tr>
        <w:trPr>
          <w:cantSplit/>
        </w:trPr>
        <w:tc>
          <w:tcPr>
            <w:tcW w:type="dxa" w:w="3672"/>
            <w:vAlign w:val="center"/>
          </w:tcPr>
          <w:p>
            <w:pPr>
              <w:keepNext/>
              <w:spacing w:line="252" w:lineRule="auto" w:after="0"/>
            </w:pPr>
            <w:r>
              <w:rPr>
                <w:b w:val="0"/>
                <w:sz w:val="20"/>
              </w:rPr>
              <w:t>Clinical</w:t>
            </w:r>
          </w:p>
        </w:tc>
        <w:tc>
          <w:tcPr>
            <w:tcW w:type="dxa" w:w="1584"/>
            <w:vAlign w:val="center"/>
          </w:tcPr>
          <w:p>
            <w:pPr>
              <w:keepNext/>
              <w:spacing w:line="252" w:lineRule="auto" w:after="0"/>
            </w:pPr>
            <w:r>
              <w:rPr>
                <w:b w:val="0"/>
                <w:sz w:val="20"/>
              </w:rPr>
              <w:t>0.58935</w:t>
            </w:r>
          </w:p>
        </w:tc>
        <w:tc>
          <w:tcPr>
            <w:tcW w:type="dxa" w:w="2520"/>
            <w:vAlign w:val="center"/>
          </w:tcPr>
          <w:p>
            <w:pPr>
              <w:keepNext/>
              <w:spacing w:line="252" w:lineRule="auto" w:after="0"/>
            </w:pPr>
            <w:r>
              <w:rPr>
                <w:b w:val="0"/>
                <w:sz w:val="20"/>
              </w:rPr>
              <w:t>0.001</w:t>
            </w:r>
          </w:p>
        </w:tc>
        <w:tc>
          <w:tcPr>
            <w:tcW w:type="dxa" w:w="1656"/>
            <w:vAlign w:val="center"/>
          </w:tcPr>
          <w:p>
            <w:pPr>
              <w:keepNext/>
              <w:spacing w:line="252" w:lineRule="auto" w:after="0"/>
            </w:pPr>
            <w:r>
              <w:rPr>
                <w:b w:val="0"/>
                <w:sz w:val="20"/>
              </w:rPr>
              <w:t>0.981</w:t>
            </w:r>
          </w:p>
        </w:tc>
      </w:tr>
      <w:tr>
        <w:trPr>
          <w:cantSplit/>
        </w:trPr>
        <w:tc>
          <w:tcPr>
            <w:tcW w:type="dxa" w:w="3672"/>
            <w:vAlign w:val="center"/>
          </w:tcPr>
          <w:p>
            <w:pPr>
              <w:keepNext/>
              <w:spacing w:line="252" w:lineRule="auto" w:after="0"/>
            </w:pPr>
            <w:r>
              <w:rPr>
                <w:b w:val="0"/>
                <w:sz w:val="20"/>
              </w:rPr>
              <w:t>MRI signal</w:t>
            </w:r>
          </w:p>
        </w:tc>
        <w:tc>
          <w:tcPr>
            <w:tcW w:type="dxa" w:w="1584"/>
            <w:vAlign w:val="center"/>
          </w:tcPr>
          <w:p>
            <w:pPr>
              <w:keepNext/>
              <w:spacing w:line="252" w:lineRule="auto" w:after="0"/>
            </w:pPr>
            <w:r>
              <w:rPr>
                <w:b w:val="0"/>
                <w:sz w:val="20"/>
              </w:rPr>
              <w:t>0.62341</w:t>
            </w:r>
          </w:p>
        </w:tc>
        <w:tc>
          <w:tcPr>
            <w:tcW w:type="dxa" w:w="2520"/>
            <w:vAlign w:val="center"/>
          </w:tcPr>
          <w:p>
            <w:pPr>
              <w:keepNext/>
              <w:spacing w:line="252" w:lineRule="auto" w:after="0"/>
            </w:pPr>
            <w:r>
              <w:rPr>
                <w:b w:val="0"/>
                <w:sz w:val="20"/>
              </w:rPr>
              <w:t>-0.002</w:t>
            </w:r>
          </w:p>
        </w:tc>
        <w:tc>
          <w:tcPr>
            <w:tcW w:type="dxa" w:w="1656"/>
            <w:vAlign w:val="center"/>
          </w:tcPr>
          <w:p>
            <w:pPr>
              <w:keepNext/>
              <w:spacing w:line="252" w:lineRule="auto" w:after="0"/>
            </w:pPr>
            <w:r>
              <w:rPr>
                <w:b w:val="0"/>
                <w:sz w:val="20"/>
              </w:rPr>
              <w:t>0.732</w:t>
            </w:r>
          </w:p>
        </w:tc>
      </w:tr>
      <w:tr>
        <w:trPr>
          <w:cantSplit/>
        </w:trPr>
        <w:tc>
          <w:tcPr>
            <w:tcW w:type="dxa" w:w="3672"/>
            <w:vAlign w:val="center"/>
          </w:tcPr>
          <w:p>
            <w:pPr>
              <w:keepNext w:val="0"/>
              <w:spacing w:line="252" w:lineRule="auto" w:after="0"/>
            </w:pPr>
            <w:r>
              <w:rPr>
                <w:b w:val="0"/>
                <w:sz w:val="20"/>
              </w:rPr>
              <w:t>Clinical + MRI signal</w:t>
            </w:r>
          </w:p>
        </w:tc>
        <w:tc>
          <w:tcPr>
            <w:tcW w:type="dxa" w:w="1584"/>
            <w:vAlign w:val="center"/>
          </w:tcPr>
          <w:p>
            <w:pPr>
              <w:keepNext w:val="0"/>
              <w:spacing w:line="252" w:lineRule="auto" w:after="0"/>
            </w:pPr>
            <w:r>
              <w:rPr>
                <w:b w:val="0"/>
                <w:sz w:val="20"/>
              </w:rPr>
              <w:t>0.58397</w:t>
            </w:r>
          </w:p>
        </w:tc>
        <w:tc>
          <w:tcPr>
            <w:tcW w:type="dxa" w:w="2520"/>
            <w:vAlign w:val="center"/>
          </w:tcPr>
          <w:p>
            <w:pPr>
              <w:keepNext w:val="0"/>
              <w:spacing w:line="252" w:lineRule="auto" w:after="0"/>
            </w:pPr>
            <w:r>
              <w:rPr>
                <w:b w:val="0"/>
                <w:sz w:val="20"/>
              </w:rPr>
              <w:t>0.004</w:t>
            </w:r>
          </w:p>
        </w:tc>
        <w:tc>
          <w:tcPr>
            <w:tcW w:type="dxa" w:w="1656"/>
            <w:vAlign w:val="center"/>
          </w:tcPr>
          <w:p>
            <w:pPr>
              <w:keepNext w:val="0"/>
              <w:spacing w:line="252" w:lineRule="auto" w:after="0"/>
            </w:pPr>
            <w:r>
              <w:rPr>
                <w:b w:val="0"/>
                <w:sz w:val="20"/>
              </w:rPr>
              <w:t>1.036</w:t>
            </w:r>
          </w:p>
        </w:tc>
      </w:tr>
      <w:tr>
        <w:trPr>
          <w:cantSplit/>
        </w:trPr>
        <w:tc>
          <w:tcPr>
            <w:tcW w:type="dxa" w:w="3672"/>
            <w:vAlign w:val="center"/>
          </w:tcPr>
          <w:p>
            <w:pPr>
              <w:keepNext w:val="0"/>
              <w:spacing w:line="252" w:lineRule="auto" w:after="0"/>
            </w:pPr>
            <w:r>
              <w:rPr>
                <w:b w:val="0"/>
                <w:sz w:val="20"/>
              </w:rPr>
              <w:t>Clinical + Arm</w:t>
            </w:r>
          </w:p>
        </w:tc>
        <w:tc>
          <w:tcPr>
            <w:tcW w:type="dxa" w:w="1584"/>
            <w:vAlign w:val="center"/>
          </w:tcPr>
          <w:p>
            <w:pPr>
              <w:keepNext w:val="0"/>
              <w:spacing w:line="252" w:lineRule="auto" w:after="0"/>
            </w:pPr>
            <w:r>
              <w:rPr>
                <w:b w:val="0"/>
                <w:sz w:val="20"/>
              </w:rPr>
              <w:t>0.58134</w:t>
            </w:r>
          </w:p>
        </w:tc>
        <w:tc>
          <w:tcPr>
            <w:tcW w:type="dxa" w:w="2520"/>
            <w:vAlign w:val="center"/>
          </w:tcPr>
          <w:p>
            <w:pPr>
              <w:keepNext w:val="0"/>
              <w:spacing w:line="252" w:lineRule="auto" w:after="0"/>
            </w:pPr>
            <w:r>
              <w:rPr>
                <w:b w:val="0"/>
                <w:sz w:val="20"/>
              </w:rPr>
              <w:t>0.001</w:t>
            </w:r>
          </w:p>
        </w:tc>
        <w:tc>
          <w:tcPr>
            <w:tcW w:type="dxa" w:w="1656"/>
            <w:vAlign w:val="center"/>
          </w:tcPr>
          <w:p>
            <w:pPr>
              <w:keepNext w:val="0"/>
              <w:spacing w:line="252" w:lineRule="auto" w:after="0"/>
            </w:pPr>
            <w:r>
              <w:rPr>
                <w:b w:val="0"/>
                <w:sz w:val="20"/>
              </w:rPr>
              <w:t>0.937</w:t>
            </w:r>
          </w:p>
        </w:tc>
      </w:tr>
      <w:tr>
        <w:trPr>
          <w:cantSplit/>
        </w:trPr>
        <w:tc>
          <w:tcPr>
            <w:tcW w:type="dxa" w:w="3672"/>
            <w:vAlign w:val="center"/>
          </w:tcPr>
          <w:p>
            <w:pPr>
              <w:keepNext w:val="0"/>
              <w:spacing w:line="252" w:lineRule="auto" w:after="0"/>
            </w:pPr>
            <w:r>
              <w:rPr>
                <w:b w:val="0"/>
                <w:sz w:val="20"/>
              </w:rPr>
              <w:t>Clinical + MRI signal + Arm</w:t>
            </w:r>
          </w:p>
        </w:tc>
        <w:tc>
          <w:tcPr>
            <w:tcW w:type="dxa" w:w="1584"/>
            <w:vAlign w:val="center"/>
          </w:tcPr>
          <w:p>
            <w:pPr>
              <w:keepNext w:val="0"/>
              <w:spacing w:line="252" w:lineRule="auto" w:after="0"/>
            </w:pPr>
            <w:r>
              <w:rPr>
                <w:b w:val="0"/>
                <w:sz w:val="20"/>
              </w:rPr>
              <w:t>0.57387</w:t>
            </w:r>
          </w:p>
        </w:tc>
        <w:tc>
          <w:tcPr>
            <w:tcW w:type="dxa" w:w="2520"/>
            <w:vAlign w:val="center"/>
          </w:tcPr>
          <w:p>
            <w:pPr>
              <w:keepNext w:val="0"/>
              <w:spacing w:line="252" w:lineRule="auto" w:after="0"/>
            </w:pPr>
            <w:r>
              <w:rPr>
                <w:b w:val="0"/>
                <w:sz w:val="20"/>
              </w:rPr>
              <w:t>0.001</w:t>
            </w:r>
          </w:p>
        </w:tc>
        <w:tc>
          <w:tcPr>
            <w:tcW w:type="dxa" w:w="1656"/>
            <w:vAlign w:val="center"/>
          </w:tcPr>
          <w:p>
            <w:pPr>
              <w:keepNext w:val="0"/>
              <w:spacing w:line="252" w:lineRule="auto" w:after="0"/>
            </w:pPr>
            <w:r>
              <w:rPr>
                <w:b w:val="0"/>
                <w:sz w:val="20"/>
              </w:rPr>
              <w:t>1.090</w:t>
            </w:r>
          </w:p>
        </w:tc>
      </w:tr>
    </w:tbl>
    <w:p>
      <w:r>
        <w:t>One outer-fold prediction per I-SPY2 participant. Results are descriptive. Final C values: clinical 0.1; MRI 1; fusion 0.1; clinical + Arm 0.1; fusion + Arm 1.</w:t>
      </w:r>
    </w:p>
    <w:p>
      <w:r>
        <w:t>The exact fitted pipelines are defined by the model objects and development_model_freeze.json. Coefficients, intercepts, imputation values, spline parameters, scaling parameters and treatment encoding are also exported in model_parameters_readable.json in Additional file 2. This human-readable file is provided alongside the authoritative saved pipelines. The models were developed for research; neither performance on new patients nor a safe clinical implementation has been established.</w:t>
      </w:r>
    </w:p>
    <w:p>
      <w:pPr>
        <w:pStyle w:val="Heading1"/>
      </w:pPr>
      <w:r>
        <w:t>S4 External uncertainty</w:t>
      </w:r>
    </w:p>
    <w:p>
      <w:r>
        <w:t>The primary difference was calculated as the mean paired loss difference: (y − p_clinical)² − (y − p_fusion)². The percentile interval was estimated from 2000 resamples of external patients with replacement. The same fixed-prediction principle was applied to descriptive metric intervals; diagnostic regression failure was retained in the audit. Intervals were conditioned on fitted models, without development refitting, site clustering or multiplicity adjustment. Equivalence was not tested.</w:t>
      </w:r>
    </w:p>
    <w:p>
      <w:pPr>
        <w:keepNext/>
      </w:pPr>
      <w:r>
        <w:rPr>
          <w:b/>
        </w:rPr>
        <w:t>Table S3. External metrics and conditional bootstrap intervals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2088"/>
        <w:gridCol w:w="2592"/>
        <w:gridCol w:w="1296"/>
        <w:gridCol w:w="2376"/>
        <w:gridCol w:w="1080"/>
      </w:tblGrid>
      <w:tr>
        <w:trPr>
          <w:cantSplit/>
          <w:tblHeader/>
        </w:trPr>
        <w:tc>
          <w:tcPr>
            <w:tcW w:type="dxa" w:w="2088"/>
            <w:vAlign w:val="center"/>
          </w:tcPr>
          <w:p>
            <w:pPr>
              <w:keepNext/>
              <w:spacing w:line="252" w:lineRule="auto" w:after="0"/>
            </w:pPr>
            <w:r>
              <w:rPr>
                <w:b/>
                <w:sz w:val="20"/>
              </w:rPr>
              <w:t>Model</w:t>
            </w:r>
          </w:p>
        </w:tc>
        <w:tc>
          <w:tcPr>
            <w:tcW w:type="dxa" w:w="2592"/>
            <w:vAlign w:val="center"/>
          </w:tcPr>
          <w:p>
            <w:pPr>
              <w:keepNext/>
              <w:spacing w:line="252" w:lineRule="auto" w:after="0"/>
            </w:pPr>
            <w:r>
              <w:rPr>
                <w:b/>
                <w:sz w:val="20"/>
              </w:rPr>
              <w:t>Metric</w:t>
            </w:r>
          </w:p>
        </w:tc>
        <w:tc>
          <w:tcPr>
            <w:tcW w:type="dxa" w:w="1296"/>
            <w:vAlign w:val="center"/>
          </w:tcPr>
          <w:p>
            <w:pPr>
              <w:keepNext/>
              <w:spacing w:line="252" w:lineRule="auto" w:after="0"/>
            </w:pPr>
            <w:r>
              <w:rPr>
                <w:b/>
                <w:sz w:val="20"/>
              </w:rPr>
              <w:t>Estimate</w:t>
            </w:r>
          </w:p>
        </w:tc>
        <w:tc>
          <w:tcPr>
            <w:tcW w:type="dxa" w:w="2376"/>
            <w:vAlign w:val="center"/>
          </w:tcPr>
          <w:p>
            <w:pPr>
              <w:keepNext/>
              <w:spacing w:line="252" w:lineRule="auto" w:after="0"/>
            </w:pPr>
            <w:r>
              <w:rPr>
                <w:b/>
                <w:sz w:val="20"/>
              </w:rPr>
              <w:t>95% interval</w:t>
            </w:r>
          </w:p>
        </w:tc>
        <w:tc>
          <w:tcPr>
            <w:tcW w:type="dxa" w:w="1080"/>
            <w:vAlign w:val="center"/>
          </w:tcPr>
          <w:p>
            <w:pPr>
              <w:keepNext/>
              <w:spacing w:line="252" w:lineRule="auto" w:after="0"/>
            </w:pPr>
            <w:r>
              <w:rPr>
                <w:b/>
                <w:sz w:val="20"/>
              </w:rPr>
              <w:t>Valid draws</w:t>
            </w:r>
          </w:p>
        </w:tc>
      </w:tr>
      <w:tr>
        <w:trPr>
          <w:cantSplit/>
        </w:trPr>
        <w:tc>
          <w:tcPr>
            <w:tcW w:type="dxa" w:w="2088"/>
            <w:vAlign w:val="center"/>
          </w:tcPr>
          <w:p>
            <w:pPr>
              <w:keepNext/>
              <w:spacing w:line="252" w:lineRule="auto" w:after="0"/>
            </w:pPr>
            <w:r>
              <w:rPr>
                <w:b w:val="0"/>
                <w:sz w:val="20"/>
              </w:rPr>
              <w:t>Clinical</w:t>
            </w:r>
          </w:p>
        </w:tc>
        <w:tc>
          <w:tcPr>
            <w:tcW w:type="dxa" w:w="2592"/>
            <w:vAlign w:val="center"/>
          </w:tcPr>
          <w:p>
            <w:pPr>
              <w:keepNext/>
              <w:spacing w:line="252" w:lineRule="auto" w:after="0"/>
            </w:pPr>
            <w:r>
              <w:rPr>
                <w:b w:val="0"/>
                <w:sz w:val="20"/>
              </w:rPr>
              <w:t>Brier</w:t>
            </w:r>
          </w:p>
        </w:tc>
        <w:tc>
          <w:tcPr>
            <w:tcW w:type="dxa" w:w="1296"/>
            <w:vAlign w:val="center"/>
          </w:tcPr>
          <w:p>
            <w:pPr>
              <w:keepNext/>
              <w:spacing w:line="252" w:lineRule="auto" w:after="0"/>
            </w:pPr>
            <w:r>
              <w:rPr>
                <w:b w:val="0"/>
                <w:sz w:val="20"/>
              </w:rPr>
              <w:t>0.17543</w:t>
            </w:r>
          </w:p>
        </w:tc>
        <w:tc>
          <w:tcPr>
            <w:tcW w:type="dxa" w:w="2376"/>
            <w:vAlign w:val="center"/>
          </w:tcPr>
          <w:p>
            <w:pPr>
              <w:keepNext/>
              <w:spacing w:line="252" w:lineRule="auto" w:after="0"/>
            </w:pPr>
            <w:r>
              <w:rPr>
                <w:b w:val="0"/>
                <w:sz w:val="20"/>
              </w:rPr>
              <w:t>0.15264 to 0.20120</w:t>
            </w:r>
          </w:p>
        </w:tc>
        <w:tc>
          <w:tcPr>
            <w:tcW w:type="dxa" w:w="1080"/>
            <w:vAlign w:val="center"/>
          </w:tcPr>
          <w:p>
            <w:pPr>
              <w:keepNext/>
              <w:spacing w:line="252" w:lineRule="auto" w:after="0"/>
            </w:pPr>
            <w:r>
              <w:rPr>
                <w:b w:val="0"/>
                <w:sz w:val="20"/>
              </w:rPr>
              <w:t>2000</w:t>
            </w:r>
          </w:p>
        </w:tc>
      </w:tr>
      <w:tr>
        <w:trPr>
          <w:cantSplit/>
        </w:trPr>
        <w:tc>
          <w:tcPr>
            <w:tcW w:type="dxa" w:w="2088"/>
            <w:vAlign w:val="center"/>
          </w:tcPr>
          <w:p>
            <w:pPr>
              <w:keepNext/>
              <w:spacing w:line="252" w:lineRule="auto" w:after="0"/>
            </w:pPr>
            <w:r>
              <w:rPr>
                <w:b w:val="0"/>
                <w:sz w:val="20"/>
              </w:rPr>
              <w:t>Clinical</w:t>
            </w:r>
          </w:p>
        </w:tc>
        <w:tc>
          <w:tcPr>
            <w:tcW w:type="dxa" w:w="2592"/>
            <w:vAlign w:val="center"/>
          </w:tcPr>
          <w:p>
            <w:pPr>
              <w:keepNext/>
              <w:spacing w:line="252" w:lineRule="auto" w:after="0"/>
            </w:pPr>
            <w:r>
              <w:rPr>
                <w:b w:val="0"/>
                <w:sz w:val="20"/>
              </w:rPr>
              <w:t>AUROC</w:t>
            </w:r>
          </w:p>
        </w:tc>
        <w:tc>
          <w:tcPr>
            <w:tcW w:type="dxa" w:w="1296"/>
            <w:vAlign w:val="center"/>
          </w:tcPr>
          <w:p>
            <w:pPr>
              <w:keepNext/>
              <w:spacing w:line="252" w:lineRule="auto" w:after="0"/>
            </w:pPr>
            <w:r>
              <w:rPr>
                <w:b w:val="0"/>
                <w:sz w:val="20"/>
              </w:rPr>
              <w:t>0.773</w:t>
            </w:r>
          </w:p>
        </w:tc>
        <w:tc>
          <w:tcPr>
            <w:tcW w:type="dxa" w:w="2376"/>
            <w:vAlign w:val="center"/>
          </w:tcPr>
          <w:p>
            <w:pPr>
              <w:keepNext/>
              <w:spacing w:line="252" w:lineRule="auto" w:after="0"/>
            </w:pPr>
            <w:r>
              <w:rPr>
                <w:b w:val="0"/>
                <w:sz w:val="20"/>
              </w:rPr>
              <w:t>0.696 to 0.845</w:t>
            </w:r>
          </w:p>
        </w:tc>
        <w:tc>
          <w:tcPr>
            <w:tcW w:type="dxa" w:w="1080"/>
            <w:vAlign w:val="center"/>
          </w:tcPr>
          <w:p>
            <w:pPr>
              <w:keepNext/>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w:t>
            </w:r>
          </w:p>
        </w:tc>
        <w:tc>
          <w:tcPr>
            <w:tcW w:type="dxa" w:w="2592"/>
            <w:vAlign w:val="center"/>
          </w:tcPr>
          <w:p>
            <w:pPr>
              <w:keepNext w:val="0"/>
              <w:spacing w:line="252" w:lineRule="auto" w:after="0"/>
            </w:pPr>
            <w:r>
              <w:rPr>
                <w:b w:val="0"/>
                <w:sz w:val="20"/>
              </w:rPr>
              <w:t>Average precision</w:t>
            </w:r>
          </w:p>
        </w:tc>
        <w:tc>
          <w:tcPr>
            <w:tcW w:type="dxa" w:w="1296"/>
            <w:vAlign w:val="center"/>
          </w:tcPr>
          <w:p>
            <w:pPr>
              <w:keepNext w:val="0"/>
              <w:spacing w:line="252" w:lineRule="auto" w:after="0"/>
            </w:pPr>
            <w:r>
              <w:rPr>
                <w:b w:val="0"/>
                <w:sz w:val="20"/>
              </w:rPr>
              <w:t>0.546</w:t>
            </w:r>
          </w:p>
        </w:tc>
        <w:tc>
          <w:tcPr>
            <w:tcW w:type="dxa" w:w="2376"/>
            <w:vAlign w:val="center"/>
          </w:tcPr>
          <w:p>
            <w:pPr>
              <w:keepNext w:val="0"/>
              <w:spacing w:line="252" w:lineRule="auto" w:after="0"/>
            </w:pPr>
            <w:r>
              <w:rPr>
                <w:b w:val="0"/>
                <w:sz w:val="20"/>
              </w:rPr>
              <w:t>0.425 to 0.710</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w:t>
            </w:r>
          </w:p>
        </w:tc>
        <w:tc>
          <w:tcPr>
            <w:tcW w:type="dxa" w:w="2592"/>
            <w:vAlign w:val="center"/>
          </w:tcPr>
          <w:p>
            <w:pPr>
              <w:keepNext w:val="0"/>
              <w:spacing w:line="252" w:lineRule="auto" w:after="0"/>
            </w:pPr>
            <w:r>
              <w:rPr>
                <w:b w:val="0"/>
                <w:sz w:val="20"/>
              </w:rPr>
              <w:t>Log loss</w:t>
            </w:r>
          </w:p>
        </w:tc>
        <w:tc>
          <w:tcPr>
            <w:tcW w:type="dxa" w:w="1296"/>
            <w:vAlign w:val="center"/>
          </w:tcPr>
          <w:p>
            <w:pPr>
              <w:keepNext w:val="0"/>
              <w:spacing w:line="252" w:lineRule="auto" w:after="0"/>
            </w:pPr>
            <w:r>
              <w:rPr>
                <w:b w:val="0"/>
                <w:sz w:val="20"/>
              </w:rPr>
              <w:t>0.52995</w:t>
            </w:r>
          </w:p>
        </w:tc>
        <w:tc>
          <w:tcPr>
            <w:tcW w:type="dxa" w:w="2376"/>
            <w:vAlign w:val="center"/>
          </w:tcPr>
          <w:p>
            <w:pPr>
              <w:keepNext w:val="0"/>
              <w:spacing w:line="252" w:lineRule="auto" w:after="0"/>
            </w:pPr>
            <w:r>
              <w:rPr>
                <w:b w:val="0"/>
                <w:sz w:val="20"/>
              </w:rPr>
              <w:t>0.47929 to 0.58773</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w:t>
            </w:r>
          </w:p>
        </w:tc>
        <w:tc>
          <w:tcPr>
            <w:tcW w:type="dxa" w:w="2592"/>
            <w:vAlign w:val="center"/>
          </w:tcPr>
          <w:p>
            <w:pPr>
              <w:keepNext w:val="0"/>
              <w:spacing w:line="252" w:lineRule="auto" w:after="0"/>
            </w:pPr>
            <w:r>
              <w:rPr>
                <w:b w:val="0"/>
                <w:sz w:val="20"/>
              </w:rPr>
              <w:t>Calibration-in-the-large</w:t>
            </w:r>
          </w:p>
        </w:tc>
        <w:tc>
          <w:tcPr>
            <w:tcW w:type="dxa" w:w="1296"/>
            <w:vAlign w:val="center"/>
          </w:tcPr>
          <w:p>
            <w:pPr>
              <w:keepNext w:val="0"/>
              <w:spacing w:line="252" w:lineRule="auto" w:after="0"/>
            </w:pPr>
            <w:r>
              <w:rPr>
                <w:b w:val="0"/>
                <w:sz w:val="20"/>
              </w:rPr>
              <w:t>-0.236</w:t>
            </w:r>
          </w:p>
        </w:tc>
        <w:tc>
          <w:tcPr>
            <w:tcW w:type="dxa" w:w="2376"/>
            <w:vAlign w:val="center"/>
          </w:tcPr>
          <w:p>
            <w:pPr>
              <w:keepNext w:val="0"/>
              <w:spacing w:line="252" w:lineRule="auto" w:after="0"/>
            </w:pPr>
            <w:r>
              <w:rPr>
                <w:b w:val="0"/>
                <w:sz w:val="20"/>
              </w:rPr>
              <w:t>-0.585 to 0.086</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w:t>
            </w:r>
          </w:p>
        </w:tc>
        <w:tc>
          <w:tcPr>
            <w:tcW w:type="dxa" w:w="2592"/>
            <w:vAlign w:val="center"/>
          </w:tcPr>
          <w:p>
            <w:pPr>
              <w:keepNext w:val="0"/>
              <w:spacing w:line="252" w:lineRule="auto" w:after="0"/>
            </w:pPr>
            <w:r>
              <w:rPr>
                <w:b w:val="0"/>
                <w:sz w:val="20"/>
              </w:rPr>
              <w:t>Slope</w:t>
            </w:r>
          </w:p>
        </w:tc>
        <w:tc>
          <w:tcPr>
            <w:tcW w:type="dxa" w:w="1296"/>
            <w:vAlign w:val="center"/>
          </w:tcPr>
          <w:p>
            <w:pPr>
              <w:keepNext w:val="0"/>
              <w:spacing w:line="252" w:lineRule="auto" w:after="0"/>
            </w:pPr>
            <w:r>
              <w:rPr>
                <w:b w:val="0"/>
                <w:sz w:val="20"/>
              </w:rPr>
              <w:t>1.652</w:t>
            </w:r>
          </w:p>
        </w:tc>
        <w:tc>
          <w:tcPr>
            <w:tcW w:type="dxa" w:w="2376"/>
            <w:vAlign w:val="center"/>
          </w:tcPr>
          <w:p>
            <w:pPr>
              <w:keepNext w:val="0"/>
              <w:spacing w:line="252" w:lineRule="auto" w:after="0"/>
            </w:pPr>
            <w:r>
              <w:rPr>
                <w:b w:val="0"/>
                <w:sz w:val="20"/>
              </w:rPr>
              <w:t>1.076 to 2.456</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MRI signal</w:t>
            </w:r>
          </w:p>
        </w:tc>
        <w:tc>
          <w:tcPr>
            <w:tcW w:type="dxa" w:w="2592"/>
            <w:vAlign w:val="center"/>
          </w:tcPr>
          <w:p>
            <w:pPr>
              <w:keepNext w:val="0"/>
              <w:spacing w:line="252" w:lineRule="auto" w:after="0"/>
            </w:pPr>
            <w:r>
              <w:rPr>
                <w:b w:val="0"/>
                <w:sz w:val="20"/>
              </w:rPr>
              <w:t>Brier</w:t>
            </w:r>
          </w:p>
        </w:tc>
        <w:tc>
          <w:tcPr>
            <w:tcW w:type="dxa" w:w="1296"/>
            <w:vAlign w:val="center"/>
          </w:tcPr>
          <w:p>
            <w:pPr>
              <w:keepNext w:val="0"/>
              <w:spacing w:line="252" w:lineRule="auto" w:after="0"/>
            </w:pPr>
            <w:r>
              <w:rPr>
                <w:b w:val="0"/>
                <w:sz w:val="20"/>
              </w:rPr>
              <w:t>0.21918</w:t>
            </w:r>
          </w:p>
        </w:tc>
        <w:tc>
          <w:tcPr>
            <w:tcW w:type="dxa" w:w="2376"/>
            <w:vAlign w:val="center"/>
          </w:tcPr>
          <w:p>
            <w:pPr>
              <w:keepNext w:val="0"/>
              <w:spacing w:line="252" w:lineRule="auto" w:after="0"/>
            </w:pPr>
            <w:r>
              <w:rPr>
                <w:b w:val="0"/>
                <w:sz w:val="20"/>
              </w:rPr>
              <w:t>0.19085 to 0.25001</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MRI signal</w:t>
            </w:r>
          </w:p>
        </w:tc>
        <w:tc>
          <w:tcPr>
            <w:tcW w:type="dxa" w:w="2592"/>
            <w:vAlign w:val="center"/>
          </w:tcPr>
          <w:p>
            <w:pPr>
              <w:keepNext w:val="0"/>
              <w:spacing w:line="252" w:lineRule="auto" w:after="0"/>
            </w:pPr>
            <w:r>
              <w:rPr>
                <w:b w:val="0"/>
                <w:sz w:val="20"/>
              </w:rPr>
              <w:t>AUROC</w:t>
            </w:r>
          </w:p>
        </w:tc>
        <w:tc>
          <w:tcPr>
            <w:tcW w:type="dxa" w:w="1296"/>
            <w:vAlign w:val="center"/>
          </w:tcPr>
          <w:p>
            <w:pPr>
              <w:keepNext w:val="0"/>
              <w:spacing w:line="252" w:lineRule="auto" w:after="0"/>
            </w:pPr>
            <w:r>
              <w:rPr>
                <w:b w:val="0"/>
                <w:sz w:val="20"/>
              </w:rPr>
              <w:t>0.528</w:t>
            </w:r>
          </w:p>
        </w:tc>
        <w:tc>
          <w:tcPr>
            <w:tcW w:type="dxa" w:w="2376"/>
            <w:vAlign w:val="center"/>
          </w:tcPr>
          <w:p>
            <w:pPr>
              <w:keepNext w:val="0"/>
              <w:spacing w:line="252" w:lineRule="auto" w:after="0"/>
            </w:pPr>
            <w:r>
              <w:rPr>
                <w:b w:val="0"/>
                <w:sz w:val="20"/>
              </w:rPr>
              <w:t>0.426 to 0.629</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MRI signal</w:t>
            </w:r>
          </w:p>
        </w:tc>
        <w:tc>
          <w:tcPr>
            <w:tcW w:type="dxa" w:w="2592"/>
            <w:vAlign w:val="center"/>
          </w:tcPr>
          <w:p>
            <w:pPr>
              <w:keepNext w:val="0"/>
              <w:spacing w:line="252" w:lineRule="auto" w:after="0"/>
            </w:pPr>
            <w:r>
              <w:rPr>
                <w:b w:val="0"/>
                <w:sz w:val="20"/>
              </w:rPr>
              <w:t>Average precision</w:t>
            </w:r>
          </w:p>
        </w:tc>
        <w:tc>
          <w:tcPr>
            <w:tcW w:type="dxa" w:w="1296"/>
            <w:vAlign w:val="center"/>
          </w:tcPr>
          <w:p>
            <w:pPr>
              <w:keepNext w:val="0"/>
              <w:spacing w:line="252" w:lineRule="auto" w:after="0"/>
            </w:pPr>
            <w:r>
              <w:rPr>
                <w:b w:val="0"/>
                <w:sz w:val="20"/>
              </w:rPr>
              <w:t>0.348</w:t>
            </w:r>
          </w:p>
        </w:tc>
        <w:tc>
          <w:tcPr>
            <w:tcW w:type="dxa" w:w="2376"/>
            <w:vAlign w:val="center"/>
          </w:tcPr>
          <w:p>
            <w:pPr>
              <w:keepNext w:val="0"/>
              <w:spacing w:line="252" w:lineRule="auto" w:after="0"/>
            </w:pPr>
            <w:r>
              <w:rPr>
                <w:b w:val="0"/>
                <w:sz w:val="20"/>
              </w:rPr>
              <w:t>0.252 to 0.497</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MRI signal</w:t>
            </w:r>
          </w:p>
        </w:tc>
        <w:tc>
          <w:tcPr>
            <w:tcW w:type="dxa" w:w="2592"/>
            <w:vAlign w:val="center"/>
          </w:tcPr>
          <w:p>
            <w:pPr>
              <w:keepNext w:val="0"/>
              <w:spacing w:line="252" w:lineRule="auto" w:after="0"/>
            </w:pPr>
            <w:r>
              <w:rPr>
                <w:b w:val="0"/>
                <w:sz w:val="20"/>
              </w:rPr>
              <w:t>Log loss</w:t>
            </w:r>
          </w:p>
        </w:tc>
        <w:tc>
          <w:tcPr>
            <w:tcW w:type="dxa" w:w="1296"/>
            <w:vAlign w:val="center"/>
          </w:tcPr>
          <w:p>
            <w:pPr>
              <w:keepNext w:val="0"/>
              <w:spacing w:line="252" w:lineRule="auto" w:after="0"/>
            </w:pPr>
            <w:r>
              <w:rPr>
                <w:b w:val="0"/>
                <w:sz w:val="20"/>
              </w:rPr>
              <w:t>0.64278</w:t>
            </w:r>
          </w:p>
        </w:tc>
        <w:tc>
          <w:tcPr>
            <w:tcW w:type="dxa" w:w="2376"/>
            <w:vAlign w:val="center"/>
          </w:tcPr>
          <w:p>
            <w:pPr>
              <w:keepNext w:val="0"/>
              <w:spacing w:line="252" w:lineRule="auto" w:after="0"/>
            </w:pPr>
            <w:r>
              <w:rPr>
                <w:b w:val="0"/>
                <w:sz w:val="20"/>
              </w:rPr>
              <w:t>0.57390 to 0.72443</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MRI signal</w:t>
            </w:r>
          </w:p>
        </w:tc>
        <w:tc>
          <w:tcPr>
            <w:tcW w:type="dxa" w:w="2592"/>
            <w:vAlign w:val="center"/>
          </w:tcPr>
          <w:p>
            <w:pPr>
              <w:keepNext w:val="0"/>
              <w:spacing w:line="252" w:lineRule="auto" w:after="0"/>
            </w:pPr>
            <w:r>
              <w:rPr>
                <w:b w:val="0"/>
                <w:sz w:val="20"/>
              </w:rPr>
              <w:t>Calibration-in-the-large</w:t>
            </w:r>
          </w:p>
        </w:tc>
        <w:tc>
          <w:tcPr>
            <w:tcW w:type="dxa" w:w="1296"/>
            <w:vAlign w:val="center"/>
          </w:tcPr>
          <w:p>
            <w:pPr>
              <w:keepNext w:val="0"/>
              <w:spacing w:line="252" w:lineRule="auto" w:after="0"/>
            </w:pPr>
            <w:r>
              <w:rPr>
                <w:b w:val="0"/>
                <w:sz w:val="20"/>
              </w:rPr>
              <w:t>-0.330</w:t>
            </w:r>
          </w:p>
        </w:tc>
        <w:tc>
          <w:tcPr>
            <w:tcW w:type="dxa" w:w="2376"/>
            <w:vAlign w:val="center"/>
          </w:tcPr>
          <w:p>
            <w:pPr>
              <w:keepNext w:val="0"/>
              <w:spacing w:line="252" w:lineRule="auto" w:after="0"/>
            </w:pPr>
            <w:r>
              <w:rPr>
                <w:b w:val="0"/>
                <w:sz w:val="20"/>
              </w:rPr>
              <w:t>-0.723 to 0.022</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MRI signal</w:t>
            </w:r>
          </w:p>
        </w:tc>
        <w:tc>
          <w:tcPr>
            <w:tcW w:type="dxa" w:w="2592"/>
            <w:vAlign w:val="center"/>
          </w:tcPr>
          <w:p>
            <w:pPr>
              <w:keepNext w:val="0"/>
              <w:spacing w:line="252" w:lineRule="auto" w:after="0"/>
            </w:pPr>
            <w:r>
              <w:rPr>
                <w:b w:val="0"/>
                <w:sz w:val="20"/>
              </w:rPr>
              <w:t>Slope</w:t>
            </w:r>
          </w:p>
        </w:tc>
        <w:tc>
          <w:tcPr>
            <w:tcW w:type="dxa" w:w="1296"/>
            <w:vAlign w:val="center"/>
          </w:tcPr>
          <w:p>
            <w:pPr>
              <w:keepNext w:val="0"/>
              <w:spacing w:line="252" w:lineRule="auto" w:after="0"/>
            </w:pPr>
            <w:r>
              <w:rPr>
                <w:b w:val="0"/>
                <w:sz w:val="20"/>
              </w:rPr>
              <w:t>0.138</w:t>
            </w:r>
          </w:p>
        </w:tc>
        <w:tc>
          <w:tcPr>
            <w:tcW w:type="dxa" w:w="2376"/>
            <w:vAlign w:val="center"/>
          </w:tcPr>
          <w:p>
            <w:pPr>
              <w:keepNext w:val="0"/>
              <w:spacing w:line="252" w:lineRule="auto" w:after="0"/>
            </w:pPr>
            <w:r>
              <w:rPr>
                <w:b w:val="0"/>
                <w:sz w:val="20"/>
              </w:rPr>
              <w:t>-0.397 to 0.820</w:t>
            </w:r>
          </w:p>
        </w:tc>
        <w:tc>
          <w:tcPr>
            <w:tcW w:type="dxa" w:w="1080"/>
            <w:vAlign w:val="center"/>
          </w:tcPr>
          <w:p>
            <w:pPr>
              <w:keepNext w:val="0"/>
              <w:spacing w:line="252" w:lineRule="auto" w:after="0"/>
            </w:pPr>
            <w:r>
              <w:rPr>
                <w:b w:val="0"/>
                <w:sz w:val="20"/>
              </w:rPr>
              <w:t>1999</w:t>
            </w:r>
          </w:p>
        </w:tc>
      </w:tr>
      <w:tr>
        <w:trPr>
          <w:cantSplit/>
        </w:trPr>
        <w:tc>
          <w:tcPr>
            <w:tcW w:type="dxa" w:w="2088"/>
            <w:vAlign w:val="center"/>
          </w:tcPr>
          <w:p>
            <w:pPr>
              <w:keepNext w:val="0"/>
              <w:spacing w:line="252" w:lineRule="auto" w:after="0"/>
            </w:pPr>
            <w:r>
              <w:rPr>
                <w:b w:val="0"/>
                <w:sz w:val="20"/>
              </w:rPr>
              <w:t>Clinical + MRI signal</w:t>
            </w:r>
          </w:p>
        </w:tc>
        <w:tc>
          <w:tcPr>
            <w:tcW w:type="dxa" w:w="2592"/>
            <w:vAlign w:val="center"/>
          </w:tcPr>
          <w:p>
            <w:pPr>
              <w:keepNext w:val="0"/>
              <w:spacing w:line="252" w:lineRule="auto" w:after="0"/>
            </w:pPr>
            <w:r>
              <w:rPr>
                <w:b w:val="0"/>
                <w:sz w:val="20"/>
              </w:rPr>
              <w:t>Brier</w:t>
            </w:r>
          </w:p>
        </w:tc>
        <w:tc>
          <w:tcPr>
            <w:tcW w:type="dxa" w:w="1296"/>
            <w:vAlign w:val="center"/>
          </w:tcPr>
          <w:p>
            <w:pPr>
              <w:keepNext w:val="0"/>
              <w:spacing w:line="252" w:lineRule="auto" w:after="0"/>
            </w:pPr>
            <w:r>
              <w:rPr>
                <w:b w:val="0"/>
                <w:sz w:val="20"/>
              </w:rPr>
              <w:t>0.18454</w:t>
            </w:r>
          </w:p>
        </w:tc>
        <w:tc>
          <w:tcPr>
            <w:tcW w:type="dxa" w:w="2376"/>
            <w:vAlign w:val="center"/>
          </w:tcPr>
          <w:p>
            <w:pPr>
              <w:keepNext w:val="0"/>
              <w:spacing w:line="252" w:lineRule="auto" w:after="0"/>
            </w:pPr>
            <w:r>
              <w:rPr>
                <w:b w:val="0"/>
                <w:sz w:val="20"/>
              </w:rPr>
              <w:t>0.15896 to 0.21284</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 + MRI signal</w:t>
            </w:r>
          </w:p>
        </w:tc>
        <w:tc>
          <w:tcPr>
            <w:tcW w:type="dxa" w:w="2592"/>
            <w:vAlign w:val="center"/>
          </w:tcPr>
          <w:p>
            <w:pPr>
              <w:keepNext w:val="0"/>
              <w:spacing w:line="252" w:lineRule="auto" w:after="0"/>
            </w:pPr>
            <w:r>
              <w:rPr>
                <w:b w:val="0"/>
                <w:sz w:val="20"/>
              </w:rPr>
              <w:t>AUROC</w:t>
            </w:r>
          </w:p>
        </w:tc>
        <w:tc>
          <w:tcPr>
            <w:tcW w:type="dxa" w:w="1296"/>
            <w:vAlign w:val="center"/>
          </w:tcPr>
          <w:p>
            <w:pPr>
              <w:keepNext w:val="0"/>
              <w:spacing w:line="252" w:lineRule="auto" w:after="0"/>
            </w:pPr>
            <w:r>
              <w:rPr>
                <w:b w:val="0"/>
                <w:sz w:val="20"/>
              </w:rPr>
              <w:t>0.707</w:t>
            </w:r>
          </w:p>
        </w:tc>
        <w:tc>
          <w:tcPr>
            <w:tcW w:type="dxa" w:w="2376"/>
            <w:vAlign w:val="center"/>
          </w:tcPr>
          <w:p>
            <w:pPr>
              <w:keepNext w:val="0"/>
              <w:spacing w:line="252" w:lineRule="auto" w:after="0"/>
            </w:pPr>
            <w:r>
              <w:rPr>
                <w:b w:val="0"/>
                <w:sz w:val="20"/>
              </w:rPr>
              <w:t>0.616 to 0.792</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 + MRI signal</w:t>
            </w:r>
          </w:p>
        </w:tc>
        <w:tc>
          <w:tcPr>
            <w:tcW w:type="dxa" w:w="2592"/>
            <w:vAlign w:val="center"/>
          </w:tcPr>
          <w:p>
            <w:pPr>
              <w:keepNext w:val="0"/>
              <w:spacing w:line="252" w:lineRule="auto" w:after="0"/>
            </w:pPr>
            <w:r>
              <w:rPr>
                <w:b w:val="0"/>
                <w:sz w:val="20"/>
              </w:rPr>
              <w:t>Average precision</w:t>
            </w:r>
          </w:p>
        </w:tc>
        <w:tc>
          <w:tcPr>
            <w:tcW w:type="dxa" w:w="1296"/>
            <w:vAlign w:val="center"/>
          </w:tcPr>
          <w:p>
            <w:pPr>
              <w:keepNext w:val="0"/>
              <w:spacing w:line="252" w:lineRule="auto" w:after="0"/>
            </w:pPr>
            <w:r>
              <w:rPr>
                <w:b w:val="0"/>
                <w:sz w:val="20"/>
              </w:rPr>
              <w:t>0.537</w:t>
            </w:r>
          </w:p>
        </w:tc>
        <w:tc>
          <w:tcPr>
            <w:tcW w:type="dxa" w:w="2376"/>
            <w:vAlign w:val="center"/>
          </w:tcPr>
          <w:p>
            <w:pPr>
              <w:keepNext w:val="0"/>
              <w:spacing w:line="252" w:lineRule="auto" w:after="0"/>
            </w:pPr>
            <w:r>
              <w:rPr>
                <w:b w:val="0"/>
                <w:sz w:val="20"/>
              </w:rPr>
              <w:t>0.408 to 0.673</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 + MRI signal</w:t>
            </w:r>
          </w:p>
        </w:tc>
        <w:tc>
          <w:tcPr>
            <w:tcW w:type="dxa" w:w="2592"/>
            <w:vAlign w:val="center"/>
          </w:tcPr>
          <w:p>
            <w:pPr>
              <w:keepNext w:val="0"/>
              <w:spacing w:line="252" w:lineRule="auto" w:after="0"/>
            </w:pPr>
            <w:r>
              <w:rPr>
                <w:b w:val="0"/>
                <w:sz w:val="20"/>
              </w:rPr>
              <w:t>Log loss</w:t>
            </w:r>
          </w:p>
        </w:tc>
        <w:tc>
          <w:tcPr>
            <w:tcW w:type="dxa" w:w="1296"/>
            <w:vAlign w:val="center"/>
          </w:tcPr>
          <w:p>
            <w:pPr>
              <w:keepNext w:val="0"/>
              <w:spacing w:line="252" w:lineRule="auto" w:after="0"/>
            </w:pPr>
            <w:r>
              <w:rPr>
                <w:b w:val="0"/>
                <w:sz w:val="20"/>
              </w:rPr>
              <w:t>0.54757</w:t>
            </w:r>
          </w:p>
        </w:tc>
        <w:tc>
          <w:tcPr>
            <w:tcW w:type="dxa" w:w="2376"/>
            <w:vAlign w:val="center"/>
          </w:tcPr>
          <w:p>
            <w:pPr>
              <w:keepNext w:val="0"/>
              <w:spacing w:line="252" w:lineRule="auto" w:after="0"/>
            </w:pPr>
            <w:r>
              <w:rPr>
                <w:b w:val="0"/>
                <w:sz w:val="20"/>
              </w:rPr>
              <w:t>0.48973 to 0.61235</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 + MRI signal</w:t>
            </w:r>
          </w:p>
        </w:tc>
        <w:tc>
          <w:tcPr>
            <w:tcW w:type="dxa" w:w="2592"/>
            <w:vAlign w:val="center"/>
          </w:tcPr>
          <w:p>
            <w:pPr>
              <w:keepNext w:val="0"/>
              <w:spacing w:line="252" w:lineRule="auto" w:after="0"/>
            </w:pPr>
            <w:r>
              <w:rPr>
                <w:b w:val="0"/>
                <w:sz w:val="20"/>
              </w:rPr>
              <w:t>Calibration-in-the-large</w:t>
            </w:r>
          </w:p>
        </w:tc>
        <w:tc>
          <w:tcPr>
            <w:tcW w:type="dxa" w:w="1296"/>
            <w:vAlign w:val="center"/>
          </w:tcPr>
          <w:p>
            <w:pPr>
              <w:keepNext w:val="0"/>
              <w:spacing w:line="252" w:lineRule="auto" w:after="0"/>
            </w:pPr>
            <w:r>
              <w:rPr>
                <w:b w:val="0"/>
                <w:sz w:val="20"/>
              </w:rPr>
              <w:t>-0.297</w:t>
            </w:r>
          </w:p>
        </w:tc>
        <w:tc>
          <w:tcPr>
            <w:tcW w:type="dxa" w:w="2376"/>
            <w:vAlign w:val="center"/>
          </w:tcPr>
          <w:p>
            <w:pPr>
              <w:keepNext w:val="0"/>
              <w:spacing w:line="252" w:lineRule="auto" w:after="0"/>
            </w:pPr>
            <w:r>
              <w:rPr>
                <w:b w:val="0"/>
                <w:sz w:val="20"/>
              </w:rPr>
              <w:t>-0.665 to 0.040</w:t>
            </w:r>
          </w:p>
        </w:tc>
        <w:tc>
          <w:tcPr>
            <w:tcW w:type="dxa" w:w="1080"/>
            <w:vAlign w:val="center"/>
          </w:tcPr>
          <w:p>
            <w:pPr>
              <w:keepNext w:val="0"/>
              <w:spacing w:line="252" w:lineRule="auto" w:after="0"/>
            </w:pPr>
            <w:r>
              <w:rPr>
                <w:b w:val="0"/>
                <w:sz w:val="20"/>
              </w:rPr>
              <w:t>2000</w:t>
            </w:r>
          </w:p>
        </w:tc>
      </w:tr>
      <w:tr>
        <w:trPr>
          <w:cantSplit/>
        </w:trPr>
        <w:tc>
          <w:tcPr>
            <w:tcW w:type="dxa" w:w="2088"/>
            <w:vAlign w:val="center"/>
          </w:tcPr>
          <w:p>
            <w:pPr>
              <w:keepNext w:val="0"/>
              <w:spacing w:line="252" w:lineRule="auto" w:after="0"/>
            </w:pPr>
            <w:r>
              <w:rPr>
                <w:b w:val="0"/>
                <w:sz w:val="20"/>
              </w:rPr>
              <w:t>Clinical + MRI signal</w:t>
            </w:r>
          </w:p>
        </w:tc>
        <w:tc>
          <w:tcPr>
            <w:tcW w:type="dxa" w:w="2592"/>
            <w:vAlign w:val="center"/>
          </w:tcPr>
          <w:p>
            <w:pPr>
              <w:keepNext w:val="0"/>
              <w:spacing w:line="252" w:lineRule="auto" w:after="0"/>
            </w:pPr>
            <w:r>
              <w:rPr>
                <w:b w:val="0"/>
                <w:sz w:val="20"/>
              </w:rPr>
              <w:t>Slope</w:t>
            </w:r>
          </w:p>
        </w:tc>
        <w:tc>
          <w:tcPr>
            <w:tcW w:type="dxa" w:w="1296"/>
            <w:vAlign w:val="center"/>
          </w:tcPr>
          <w:p>
            <w:pPr>
              <w:keepNext w:val="0"/>
              <w:spacing w:line="252" w:lineRule="auto" w:after="0"/>
            </w:pPr>
            <w:r>
              <w:rPr>
                <w:b w:val="0"/>
                <w:sz w:val="20"/>
              </w:rPr>
              <w:t>1.079</w:t>
            </w:r>
          </w:p>
        </w:tc>
        <w:tc>
          <w:tcPr>
            <w:tcW w:type="dxa" w:w="2376"/>
            <w:vAlign w:val="center"/>
          </w:tcPr>
          <w:p>
            <w:pPr>
              <w:keepNext w:val="0"/>
              <w:spacing w:line="252" w:lineRule="auto" w:after="0"/>
            </w:pPr>
            <w:r>
              <w:rPr>
                <w:b w:val="0"/>
                <w:sz w:val="20"/>
              </w:rPr>
              <w:t>0.614 to 1.629</w:t>
            </w:r>
          </w:p>
        </w:tc>
        <w:tc>
          <w:tcPr>
            <w:tcW w:type="dxa" w:w="1080"/>
            <w:vAlign w:val="center"/>
          </w:tcPr>
          <w:p>
            <w:pPr>
              <w:keepNext w:val="0"/>
              <w:spacing w:line="252" w:lineRule="auto" w:after="0"/>
            </w:pPr>
            <w:r>
              <w:rPr>
                <w:b w:val="0"/>
                <w:sz w:val="20"/>
              </w:rPr>
              <w:t>2000</w:t>
            </w:r>
          </w:p>
        </w:tc>
      </w:tr>
    </w:tbl>
    <w:p>
      <w:r>
        <w:t>Clinical and fusion models were evaluated in the same 166 patients. After one MRI slope optimization failed, its interval was estimated from 1999 valid estimates; 2000 were used for all other listed intervals. Full failure records are provided in the archive.</w:t>
      </w:r>
    </w:p>
    <w:p>
      <w:pPr>
        <w:pStyle w:val="Heading1"/>
      </w:pPr>
      <w:r>
        <w:t>S5 Recorded treatments</w:t>
      </w:r>
    </w:p>
    <w:p>
      <w:pPr>
        <w:keepNext/>
      </w:pPr>
      <w:r>
        <w:rPr>
          <w:b/>
        </w:rPr>
        <w:t>Table S4. Recorded I-SPY2 treatment groups and response frequencies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5400"/>
        <w:gridCol w:w="648"/>
        <w:gridCol w:w="720"/>
        <w:gridCol w:w="2664"/>
      </w:tblGrid>
      <w:tr>
        <w:trPr>
          <w:cantSplit/>
          <w:tblHeader/>
        </w:trPr>
        <w:tc>
          <w:tcPr>
            <w:tcW w:type="dxa" w:w="5400"/>
            <w:vAlign w:val="center"/>
          </w:tcPr>
          <w:p>
            <w:pPr>
              <w:keepNext/>
              <w:spacing w:line="252" w:lineRule="auto" w:after="0"/>
            </w:pPr>
            <w:r>
              <w:rPr>
                <w:b/>
                <w:sz w:val="20"/>
              </w:rPr>
              <w:t>Recorded Arm</w:t>
            </w:r>
          </w:p>
        </w:tc>
        <w:tc>
          <w:tcPr>
            <w:tcW w:type="dxa" w:w="648"/>
            <w:vAlign w:val="center"/>
          </w:tcPr>
          <w:p>
            <w:pPr>
              <w:keepNext/>
              <w:spacing w:line="252" w:lineRule="auto" w:after="0"/>
            </w:pPr>
            <w:r>
              <w:rPr>
                <w:b/>
                <w:sz w:val="20"/>
              </w:rPr>
              <w:t>n</w:t>
            </w:r>
          </w:p>
        </w:tc>
        <w:tc>
          <w:tcPr>
            <w:tcW w:type="dxa" w:w="720"/>
            <w:vAlign w:val="center"/>
          </w:tcPr>
          <w:p>
            <w:pPr>
              <w:keepNext/>
              <w:spacing w:line="252" w:lineRule="auto" w:after="0"/>
            </w:pPr>
            <w:r>
              <w:rPr>
                <w:b/>
                <w:sz w:val="20"/>
              </w:rPr>
              <w:t>pCR</w:t>
            </w:r>
          </w:p>
        </w:tc>
        <w:tc>
          <w:tcPr>
            <w:tcW w:type="dxa" w:w="2664"/>
            <w:vAlign w:val="center"/>
          </w:tcPr>
          <w:p>
            <w:pPr>
              <w:keepNext/>
              <w:spacing w:line="252" w:lineRule="auto" w:after="0"/>
            </w:pPr>
            <w:r>
              <w:rPr>
                <w:b/>
                <w:sz w:val="20"/>
              </w:rPr>
              <w:t>Response %, 95% interval</w:t>
            </w:r>
          </w:p>
        </w:tc>
      </w:tr>
      <w:tr>
        <w:trPr>
          <w:cantSplit/>
        </w:trPr>
        <w:tc>
          <w:tcPr>
            <w:tcW w:type="dxa" w:w="5400"/>
            <w:vAlign w:val="center"/>
          </w:tcPr>
          <w:p>
            <w:pPr>
              <w:keepNext/>
              <w:spacing w:line="252" w:lineRule="auto" w:after="0"/>
            </w:pPr>
            <w:r>
              <w:rPr>
                <w:b w:val="0"/>
                <w:sz w:val="20"/>
              </w:rPr>
              <w:t>Paclitaxel</w:t>
            </w:r>
          </w:p>
        </w:tc>
        <w:tc>
          <w:tcPr>
            <w:tcW w:type="dxa" w:w="648"/>
            <w:vAlign w:val="center"/>
          </w:tcPr>
          <w:p>
            <w:pPr>
              <w:keepNext/>
              <w:spacing w:line="252" w:lineRule="auto" w:after="0"/>
            </w:pPr>
            <w:r>
              <w:rPr>
                <w:b w:val="0"/>
                <w:sz w:val="20"/>
              </w:rPr>
              <w:t>178</w:t>
            </w:r>
          </w:p>
        </w:tc>
        <w:tc>
          <w:tcPr>
            <w:tcW w:type="dxa" w:w="720"/>
            <w:vAlign w:val="center"/>
          </w:tcPr>
          <w:p>
            <w:pPr>
              <w:keepNext/>
              <w:spacing w:line="252" w:lineRule="auto" w:after="0"/>
            </w:pPr>
            <w:r>
              <w:rPr>
                <w:b w:val="0"/>
                <w:sz w:val="20"/>
              </w:rPr>
              <w:t>31</w:t>
            </w:r>
          </w:p>
        </w:tc>
        <w:tc>
          <w:tcPr>
            <w:tcW w:type="dxa" w:w="2664"/>
            <w:vAlign w:val="center"/>
          </w:tcPr>
          <w:p>
            <w:pPr>
              <w:keepNext/>
              <w:spacing w:line="252" w:lineRule="auto" w:after="0"/>
            </w:pPr>
            <w:r>
              <w:rPr>
                <w:b w:val="0"/>
                <w:sz w:val="20"/>
              </w:rPr>
              <w:t>17.4 (12.5–23.7)</w:t>
            </w:r>
          </w:p>
        </w:tc>
      </w:tr>
      <w:tr>
        <w:trPr>
          <w:cantSplit/>
        </w:trPr>
        <w:tc>
          <w:tcPr>
            <w:tcW w:type="dxa" w:w="5400"/>
            <w:vAlign w:val="center"/>
          </w:tcPr>
          <w:p>
            <w:pPr>
              <w:keepNext/>
              <w:spacing w:line="252" w:lineRule="auto" w:after="0"/>
            </w:pPr>
            <w:r>
              <w:rPr>
                <w:b w:val="0"/>
                <w:sz w:val="20"/>
              </w:rPr>
              <w:t>Paclitaxel + ABT 888 + Carboplatin</w:t>
            </w:r>
          </w:p>
        </w:tc>
        <w:tc>
          <w:tcPr>
            <w:tcW w:type="dxa" w:w="648"/>
            <w:vAlign w:val="center"/>
          </w:tcPr>
          <w:p>
            <w:pPr>
              <w:keepNext/>
              <w:spacing w:line="252" w:lineRule="auto" w:after="0"/>
            </w:pPr>
            <w:r>
              <w:rPr>
                <w:b w:val="0"/>
                <w:sz w:val="20"/>
              </w:rPr>
              <w:t>70</w:t>
            </w:r>
          </w:p>
        </w:tc>
        <w:tc>
          <w:tcPr>
            <w:tcW w:type="dxa" w:w="720"/>
            <w:vAlign w:val="center"/>
          </w:tcPr>
          <w:p>
            <w:pPr>
              <w:keepNext/>
              <w:spacing w:line="252" w:lineRule="auto" w:after="0"/>
            </w:pPr>
            <w:r>
              <w:rPr>
                <w:b w:val="0"/>
                <w:sz w:val="20"/>
              </w:rPr>
              <w:t>26</w:t>
            </w:r>
          </w:p>
        </w:tc>
        <w:tc>
          <w:tcPr>
            <w:tcW w:type="dxa" w:w="2664"/>
            <w:vAlign w:val="center"/>
          </w:tcPr>
          <w:p>
            <w:pPr>
              <w:keepNext/>
              <w:spacing w:line="252" w:lineRule="auto" w:after="0"/>
            </w:pPr>
            <w:r>
              <w:rPr>
                <w:b w:val="0"/>
                <w:sz w:val="20"/>
              </w:rPr>
              <w:t>37.1 (26.8–48.9)</w:t>
            </w:r>
          </w:p>
        </w:tc>
      </w:tr>
      <w:tr>
        <w:trPr>
          <w:cantSplit/>
        </w:trPr>
        <w:tc>
          <w:tcPr>
            <w:tcW w:type="dxa" w:w="5400"/>
            <w:vAlign w:val="center"/>
          </w:tcPr>
          <w:p>
            <w:pPr>
              <w:keepNext w:val="0"/>
              <w:spacing w:line="252" w:lineRule="auto" w:after="0"/>
            </w:pPr>
            <w:r>
              <w:rPr>
                <w:b w:val="0"/>
                <w:sz w:val="20"/>
              </w:rPr>
              <w:t>Paclitaxel + AMG 386</w:t>
            </w:r>
          </w:p>
        </w:tc>
        <w:tc>
          <w:tcPr>
            <w:tcW w:type="dxa" w:w="648"/>
            <w:vAlign w:val="center"/>
          </w:tcPr>
          <w:p>
            <w:pPr>
              <w:keepNext w:val="0"/>
              <w:spacing w:line="252" w:lineRule="auto" w:after="0"/>
            </w:pPr>
            <w:r>
              <w:rPr>
                <w:b w:val="0"/>
                <w:sz w:val="20"/>
              </w:rPr>
              <w:t>115</w:t>
            </w:r>
          </w:p>
        </w:tc>
        <w:tc>
          <w:tcPr>
            <w:tcW w:type="dxa" w:w="720"/>
            <w:vAlign w:val="center"/>
          </w:tcPr>
          <w:p>
            <w:pPr>
              <w:keepNext w:val="0"/>
              <w:spacing w:line="252" w:lineRule="auto" w:after="0"/>
            </w:pPr>
            <w:r>
              <w:rPr>
                <w:b w:val="0"/>
                <w:sz w:val="20"/>
              </w:rPr>
              <w:t>33</w:t>
            </w:r>
          </w:p>
        </w:tc>
        <w:tc>
          <w:tcPr>
            <w:tcW w:type="dxa" w:w="2664"/>
            <w:vAlign w:val="center"/>
          </w:tcPr>
          <w:p>
            <w:pPr>
              <w:keepNext w:val="0"/>
              <w:spacing w:line="252" w:lineRule="auto" w:after="0"/>
            </w:pPr>
            <w:r>
              <w:rPr>
                <w:b w:val="0"/>
                <w:sz w:val="20"/>
              </w:rPr>
              <w:t>28.7 (21.2–37.5)</w:t>
            </w:r>
          </w:p>
        </w:tc>
      </w:tr>
      <w:tr>
        <w:trPr>
          <w:cantSplit/>
        </w:trPr>
        <w:tc>
          <w:tcPr>
            <w:tcW w:type="dxa" w:w="5400"/>
            <w:vAlign w:val="center"/>
          </w:tcPr>
          <w:p>
            <w:pPr>
              <w:keepNext w:val="0"/>
              <w:spacing w:line="252" w:lineRule="auto" w:after="0"/>
            </w:pPr>
            <w:r>
              <w:rPr>
                <w:b w:val="0"/>
                <w:sz w:val="20"/>
              </w:rPr>
              <w:t>Paclitaxel + AMG 386 + Trastuzumab</w:t>
            </w:r>
          </w:p>
        </w:tc>
        <w:tc>
          <w:tcPr>
            <w:tcW w:type="dxa" w:w="648"/>
            <w:vAlign w:val="center"/>
          </w:tcPr>
          <w:p>
            <w:pPr>
              <w:keepNext w:val="0"/>
              <w:spacing w:line="252" w:lineRule="auto" w:after="0"/>
            </w:pPr>
            <w:r>
              <w:rPr>
                <w:b w:val="0"/>
                <w:sz w:val="20"/>
              </w:rPr>
              <w:t>19</w:t>
            </w:r>
          </w:p>
        </w:tc>
        <w:tc>
          <w:tcPr>
            <w:tcW w:type="dxa" w:w="720"/>
            <w:vAlign w:val="center"/>
          </w:tcPr>
          <w:p>
            <w:pPr>
              <w:keepNext w:val="0"/>
              <w:spacing w:line="252" w:lineRule="auto" w:after="0"/>
            </w:pPr>
            <w:r>
              <w:rPr>
                <w:b w:val="0"/>
                <w:sz w:val="20"/>
              </w:rPr>
              <w:t>6</w:t>
            </w:r>
          </w:p>
        </w:tc>
        <w:tc>
          <w:tcPr>
            <w:tcW w:type="dxa" w:w="2664"/>
            <w:vAlign w:val="center"/>
          </w:tcPr>
          <w:p>
            <w:pPr>
              <w:keepNext w:val="0"/>
              <w:spacing w:line="252" w:lineRule="auto" w:after="0"/>
            </w:pPr>
            <w:r>
              <w:rPr>
                <w:b w:val="0"/>
                <w:sz w:val="20"/>
              </w:rPr>
              <w:t>31.6 (15.4–54.0)</w:t>
            </w:r>
          </w:p>
        </w:tc>
      </w:tr>
      <w:tr>
        <w:trPr>
          <w:cantSplit/>
        </w:trPr>
        <w:tc>
          <w:tcPr>
            <w:tcW w:type="dxa" w:w="5400"/>
            <w:vAlign w:val="center"/>
          </w:tcPr>
          <w:p>
            <w:pPr>
              <w:keepNext w:val="0"/>
              <w:spacing w:line="252" w:lineRule="auto" w:after="0"/>
            </w:pPr>
            <w:r>
              <w:rPr>
                <w:b w:val="0"/>
                <w:sz w:val="20"/>
              </w:rPr>
              <w:t>Paclitaxel + Ganetespib</w:t>
            </w:r>
          </w:p>
        </w:tc>
        <w:tc>
          <w:tcPr>
            <w:tcW w:type="dxa" w:w="648"/>
            <w:vAlign w:val="center"/>
          </w:tcPr>
          <w:p>
            <w:pPr>
              <w:keepNext w:val="0"/>
              <w:spacing w:line="252" w:lineRule="auto" w:after="0"/>
            </w:pPr>
            <w:r>
              <w:rPr>
                <w:b w:val="0"/>
                <w:sz w:val="20"/>
              </w:rPr>
              <w:t>93</w:t>
            </w:r>
          </w:p>
        </w:tc>
        <w:tc>
          <w:tcPr>
            <w:tcW w:type="dxa" w:w="720"/>
            <w:vAlign w:val="center"/>
          </w:tcPr>
          <w:p>
            <w:pPr>
              <w:keepNext w:val="0"/>
              <w:spacing w:line="252" w:lineRule="auto" w:after="0"/>
            </w:pPr>
            <w:r>
              <w:rPr>
                <w:b w:val="0"/>
                <w:sz w:val="20"/>
              </w:rPr>
              <w:t>26</w:t>
            </w:r>
          </w:p>
        </w:tc>
        <w:tc>
          <w:tcPr>
            <w:tcW w:type="dxa" w:w="2664"/>
            <w:vAlign w:val="center"/>
          </w:tcPr>
          <w:p>
            <w:pPr>
              <w:keepNext w:val="0"/>
              <w:spacing w:line="252" w:lineRule="auto" w:after="0"/>
            </w:pPr>
            <w:r>
              <w:rPr>
                <w:b w:val="0"/>
                <w:sz w:val="20"/>
              </w:rPr>
              <w:t>28.0 (19.9–37.8)</w:t>
            </w:r>
          </w:p>
        </w:tc>
      </w:tr>
      <w:tr>
        <w:trPr>
          <w:cantSplit/>
        </w:trPr>
        <w:tc>
          <w:tcPr>
            <w:tcW w:type="dxa" w:w="5400"/>
            <w:vAlign w:val="center"/>
          </w:tcPr>
          <w:p>
            <w:pPr>
              <w:keepNext w:val="0"/>
              <w:spacing w:line="252" w:lineRule="auto" w:after="0"/>
            </w:pPr>
            <w:r>
              <w:rPr>
                <w:b w:val="0"/>
                <w:sz w:val="20"/>
              </w:rPr>
              <w:t>Paclitaxel + Ganitumab</w:t>
            </w:r>
          </w:p>
        </w:tc>
        <w:tc>
          <w:tcPr>
            <w:tcW w:type="dxa" w:w="648"/>
            <w:vAlign w:val="center"/>
          </w:tcPr>
          <w:p>
            <w:pPr>
              <w:keepNext w:val="0"/>
              <w:spacing w:line="252" w:lineRule="auto" w:after="0"/>
            </w:pPr>
            <w:r>
              <w:rPr>
                <w:b w:val="0"/>
                <w:sz w:val="20"/>
              </w:rPr>
              <w:t>106</w:t>
            </w:r>
          </w:p>
        </w:tc>
        <w:tc>
          <w:tcPr>
            <w:tcW w:type="dxa" w:w="720"/>
            <w:vAlign w:val="center"/>
          </w:tcPr>
          <w:p>
            <w:pPr>
              <w:keepNext w:val="0"/>
              <w:spacing w:line="252" w:lineRule="auto" w:after="0"/>
            </w:pPr>
            <w:r>
              <w:rPr>
                <w:b w:val="0"/>
                <w:sz w:val="20"/>
              </w:rPr>
              <w:t>24</w:t>
            </w:r>
          </w:p>
        </w:tc>
        <w:tc>
          <w:tcPr>
            <w:tcW w:type="dxa" w:w="2664"/>
            <w:vAlign w:val="center"/>
          </w:tcPr>
          <w:p>
            <w:pPr>
              <w:keepNext w:val="0"/>
              <w:spacing w:line="252" w:lineRule="auto" w:after="0"/>
            </w:pPr>
            <w:r>
              <w:rPr>
                <w:b w:val="0"/>
                <w:sz w:val="20"/>
              </w:rPr>
              <w:t>22.6 (15.7–31.5)</w:t>
            </w:r>
          </w:p>
        </w:tc>
      </w:tr>
      <w:tr>
        <w:trPr>
          <w:cantSplit/>
        </w:trPr>
        <w:tc>
          <w:tcPr>
            <w:tcW w:type="dxa" w:w="5400"/>
            <w:vAlign w:val="center"/>
          </w:tcPr>
          <w:p>
            <w:pPr>
              <w:keepNext w:val="0"/>
              <w:spacing w:line="252" w:lineRule="auto" w:after="0"/>
            </w:pPr>
            <w:r>
              <w:rPr>
                <w:b w:val="0"/>
                <w:sz w:val="20"/>
              </w:rPr>
              <w:t>Paclitaxel + MK-2206</w:t>
            </w:r>
          </w:p>
        </w:tc>
        <w:tc>
          <w:tcPr>
            <w:tcW w:type="dxa" w:w="648"/>
            <w:vAlign w:val="center"/>
          </w:tcPr>
          <w:p>
            <w:pPr>
              <w:keepNext w:val="0"/>
              <w:spacing w:line="252" w:lineRule="auto" w:after="0"/>
            </w:pPr>
            <w:r>
              <w:rPr>
                <w:b w:val="0"/>
                <w:sz w:val="20"/>
              </w:rPr>
              <w:t>59</w:t>
            </w:r>
          </w:p>
        </w:tc>
        <w:tc>
          <w:tcPr>
            <w:tcW w:type="dxa" w:w="720"/>
            <w:vAlign w:val="center"/>
          </w:tcPr>
          <w:p>
            <w:pPr>
              <w:keepNext w:val="0"/>
              <w:spacing w:line="252" w:lineRule="auto" w:after="0"/>
            </w:pPr>
            <w:r>
              <w:rPr>
                <w:b w:val="0"/>
                <w:sz w:val="20"/>
              </w:rPr>
              <w:t>18</w:t>
            </w:r>
          </w:p>
        </w:tc>
        <w:tc>
          <w:tcPr>
            <w:tcW w:type="dxa" w:w="2664"/>
            <w:vAlign w:val="center"/>
          </w:tcPr>
          <w:p>
            <w:pPr>
              <w:keepNext w:val="0"/>
              <w:spacing w:line="252" w:lineRule="auto" w:after="0"/>
            </w:pPr>
            <w:r>
              <w:rPr>
                <w:b w:val="0"/>
                <w:sz w:val="20"/>
              </w:rPr>
              <w:t>30.5 (20.3–43.1)</w:t>
            </w:r>
          </w:p>
        </w:tc>
      </w:tr>
      <w:tr>
        <w:trPr>
          <w:cantSplit/>
        </w:trPr>
        <w:tc>
          <w:tcPr>
            <w:tcW w:type="dxa" w:w="5400"/>
            <w:vAlign w:val="center"/>
          </w:tcPr>
          <w:p>
            <w:pPr>
              <w:keepNext w:val="0"/>
              <w:spacing w:line="252" w:lineRule="auto" w:after="0"/>
            </w:pPr>
            <w:r>
              <w:rPr>
                <w:b w:val="0"/>
                <w:sz w:val="20"/>
              </w:rPr>
              <w:t>Paclitaxel + MK-2206 + Trastuzumab</w:t>
            </w:r>
          </w:p>
        </w:tc>
        <w:tc>
          <w:tcPr>
            <w:tcW w:type="dxa" w:w="648"/>
            <w:vAlign w:val="center"/>
          </w:tcPr>
          <w:p>
            <w:pPr>
              <w:keepNext w:val="0"/>
              <w:spacing w:line="252" w:lineRule="auto" w:after="0"/>
            </w:pPr>
            <w:r>
              <w:rPr>
                <w:b w:val="0"/>
                <w:sz w:val="20"/>
              </w:rPr>
              <w:t>33</w:t>
            </w:r>
          </w:p>
        </w:tc>
        <w:tc>
          <w:tcPr>
            <w:tcW w:type="dxa" w:w="720"/>
            <w:vAlign w:val="center"/>
          </w:tcPr>
          <w:p>
            <w:pPr>
              <w:keepNext w:val="0"/>
              <w:spacing w:line="252" w:lineRule="auto" w:after="0"/>
            </w:pPr>
            <w:r>
              <w:rPr>
                <w:b w:val="0"/>
                <w:sz w:val="20"/>
              </w:rPr>
              <w:t>17</w:t>
            </w:r>
          </w:p>
        </w:tc>
        <w:tc>
          <w:tcPr>
            <w:tcW w:type="dxa" w:w="2664"/>
            <w:vAlign w:val="center"/>
          </w:tcPr>
          <w:p>
            <w:pPr>
              <w:keepNext w:val="0"/>
              <w:spacing w:line="252" w:lineRule="auto" w:after="0"/>
            </w:pPr>
            <w:r>
              <w:rPr>
                <w:b w:val="0"/>
                <w:sz w:val="20"/>
              </w:rPr>
              <w:t>51.5 (35.2–67.5)</w:t>
            </w:r>
          </w:p>
        </w:tc>
      </w:tr>
      <w:tr>
        <w:trPr>
          <w:cantSplit/>
        </w:trPr>
        <w:tc>
          <w:tcPr>
            <w:tcW w:type="dxa" w:w="5400"/>
            <w:vAlign w:val="center"/>
          </w:tcPr>
          <w:p>
            <w:pPr>
              <w:keepNext w:val="0"/>
              <w:spacing w:line="252" w:lineRule="auto" w:after="0"/>
            </w:pPr>
            <w:r>
              <w:rPr>
                <w:b w:val="0"/>
                <w:sz w:val="20"/>
              </w:rPr>
              <w:t>Paclitaxel + Neratinib</w:t>
            </w:r>
          </w:p>
        </w:tc>
        <w:tc>
          <w:tcPr>
            <w:tcW w:type="dxa" w:w="648"/>
            <w:vAlign w:val="center"/>
          </w:tcPr>
          <w:p>
            <w:pPr>
              <w:keepNext w:val="0"/>
              <w:spacing w:line="252" w:lineRule="auto" w:after="0"/>
            </w:pPr>
            <w:r>
              <w:rPr>
                <w:b w:val="0"/>
                <w:sz w:val="20"/>
              </w:rPr>
              <w:t>113</w:t>
            </w:r>
          </w:p>
        </w:tc>
        <w:tc>
          <w:tcPr>
            <w:tcW w:type="dxa" w:w="720"/>
            <w:vAlign w:val="center"/>
          </w:tcPr>
          <w:p>
            <w:pPr>
              <w:keepNext w:val="0"/>
              <w:spacing w:line="252" w:lineRule="auto" w:after="0"/>
            </w:pPr>
            <w:r>
              <w:rPr>
                <w:b w:val="0"/>
                <w:sz w:val="20"/>
              </w:rPr>
              <w:t>40</w:t>
            </w:r>
          </w:p>
        </w:tc>
        <w:tc>
          <w:tcPr>
            <w:tcW w:type="dxa" w:w="2664"/>
            <w:vAlign w:val="center"/>
          </w:tcPr>
          <w:p>
            <w:pPr>
              <w:keepNext w:val="0"/>
              <w:spacing w:line="252" w:lineRule="auto" w:after="0"/>
            </w:pPr>
            <w:r>
              <w:rPr>
                <w:b w:val="0"/>
                <w:sz w:val="20"/>
              </w:rPr>
              <w:t>35.4 (27.2–44.6)</w:t>
            </w:r>
          </w:p>
        </w:tc>
      </w:tr>
      <w:tr>
        <w:trPr>
          <w:cantSplit/>
        </w:trPr>
        <w:tc>
          <w:tcPr>
            <w:tcW w:type="dxa" w:w="5400"/>
            <w:vAlign w:val="center"/>
          </w:tcPr>
          <w:p>
            <w:pPr>
              <w:keepNext w:val="0"/>
              <w:spacing w:line="252" w:lineRule="auto" w:after="0"/>
            </w:pPr>
            <w:r>
              <w:rPr>
                <w:b w:val="0"/>
                <w:sz w:val="20"/>
              </w:rPr>
              <w:t>Paclitaxel + Pembrolizumab</w:t>
            </w:r>
          </w:p>
        </w:tc>
        <w:tc>
          <w:tcPr>
            <w:tcW w:type="dxa" w:w="648"/>
            <w:vAlign w:val="center"/>
          </w:tcPr>
          <w:p>
            <w:pPr>
              <w:keepNext w:val="0"/>
              <w:spacing w:line="252" w:lineRule="auto" w:after="0"/>
            </w:pPr>
            <w:r>
              <w:rPr>
                <w:b w:val="0"/>
                <w:sz w:val="20"/>
              </w:rPr>
              <w:t>69</w:t>
            </w:r>
          </w:p>
        </w:tc>
        <w:tc>
          <w:tcPr>
            <w:tcW w:type="dxa" w:w="720"/>
            <w:vAlign w:val="center"/>
          </w:tcPr>
          <w:p>
            <w:pPr>
              <w:keepNext w:val="0"/>
              <w:spacing w:line="252" w:lineRule="auto" w:after="0"/>
            </w:pPr>
            <w:r>
              <w:rPr>
                <w:b w:val="0"/>
                <w:sz w:val="20"/>
              </w:rPr>
              <w:t>31</w:t>
            </w:r>
          </w:p>
        </w:tc>
        <w:tc>
          <w:tcPr>
            <w:tcW w:type="dxa" w:w="2664"/>
            <w:vAlign w:val="center"/>
          </w:tcPr>
          <w:p>
            <w:pPr>
              <w:keepNext w:val="0"/>
              <w:spacing w:line="252" w:lineRule="auto" w:after="0"/>
            </w:pPr>
            <w:r>
              <w:rPr>
                <w:b w:val="0"/>
                <w:sz w:val="20"/>
              </w:rPr>
              <w:t>44.9 (33.8–56.6)</w:t>
            </w:r>
          </w:p>
        </w:tc>
      </w:tr>
      <w:tr>
        <w:trPr>
          <w:cantSplit/>
        </w:trPr>
        <w:tc>
          <w:tcPr>
            <w:tcW w:type="dxa" w:w="5400"/>
            <w:vAlign w:val="center"/>
          </w:tcPr>
          <w:p>
            <w:pPr>
              <w:keepNext w:val="0"/>
              <w:spacing w:line="252" w:lineRule="auto" w:after="0"/>
            </w:pPr>
            <w:r>
              <w:rPr>
                <w:b w:val="0"/>
                <w:sz w:val="20"/>
              </w:rPr>
              <w:t>Paclitaxel + Pertuzumab + Trastuzumab</w:t>
            </w:r>
          </w:p>
        </w:tc>
        <w:tc>
          <w:tcPr>
            <w:tcW w:type="dxa" w:w="648"/>
            <w:vAlign w:val="center"/>
          </w:tcPr>
          <w:p>
            <w:pPr>
              <w:keepNext w:val="0"/>
              <w:spacing w:line="252" w:lineRule="auto" w:after="0"/>
            </w:pPr>
            <w:r>
              <w:rPr>
                <w:b w:val="0"/>
                <w:sz w:val="20"/>
              </w:rPr>
              <w:t>44</w:t>
            </w:r>
          </w:p>
        </w:tc>
        <w:tc>
          <w:tcPr>
            <w:tcW w:type="dxa" w:w="720"/>
            <w:vAlign w:val="center"/>
          </w:tcPr>
          <w:p>
            <w:pPr>
              <w:keepNext w:val="0"/>
              <w:spacing w:line="252" w:lineRule="auto" w:after="0"/>
            </w:pPr>
            <w:r>
              <w:rPr>
                <w:b w:val="0"/>
                <w:sz w:val="20"/>
              </w:rPr>
              <w:t>26</w:t>
            </w:r>
          </w:p>
        </w:tc>
        <w:tc>
          <w:tcPr>
            <w:tcW w:type="dxa" w:w="2664"/>
            <w:vAlign w:val="center"/>
          </w:tcPr>
          <w:p>
            <w:pPr>
              <w:keepNext w:val="0"/>
              <w:spacing w:line="252" w:lineRule="auto" w:after="0"/>
            </w:pPr>
            <w:r>
              <w:rPr>
                <w:b w:val="0"/>
                <w:sz w:val="20"/>
              </w:rPr>
              <w:t>59.1 (44.4–72.3)</w:t>
            </w:r>
          </w:p>
        </w:tc>
      </w:tr>
      <w:tr>
        <w:trPr>
          <w:cantSplit/>
        </w:trPr>
        <w:tc>
          <w:tcPr>
            <w:tcW w:type="dxa" w:w="5400"/>
            <w:vAlign w:val="center"/>
          </w:tcPr>
          <w:p>
            <w:pPr>
              <w:keepNext w:val="0"/>
              <w:spacing w:line="252" w:lineRule="auto" w:after="0"/>
            </w:pPr>
            <w:r>
              <w:rPr>
                <w:b w:val="0"/>
                <w:sz w:val="20"/>
              </w:rPr>
              <w:t>Paclitaxel + Trastuzumab</w:t>
            </w:r>
          </w:p>
        </w:tc>
        <w:tc>
          <w:tcPr>
            <w:tcW w:type="dxa" w:w="648"/>
            <w:vAlign w:val="center"/>
          </w:tcPr>
          <w:p>
            <w:pPr>
              <w:keepNext w:val="0"/>
              <w:spacing w:line="252" w:lineRule="auto" w:after="0"/>
            </w:pPr>
            <w:r>
              <w:rPr>
                <w:b w:val="0"/>
                <w:sz w:val="20"/>
              </w:rPr>
              <w:t>31</w:t>
            </w:r>
          </w:p>
        </w:tc>
        <w:tc>
          <w:tcPr>
            <w:tcW w:type="dxa" w:w="720"/>
            <w:vAlign w:val="center"/>
          </w:tcPr>
          <w:p>
            <w:pPr>
              <w:keepNext w:val="0"/>
              <w:spacing w:line="252" w:lineRule="auto" w:after="0"/>
            </w:pPr>
            <w:r>
              <w:rPr>
                <w:b w:val="0"/>
                <w:sz w:val="20"/>
              </w:rPr>
              <w:t>8</w:t>
            </w:r>
          </w:p>
        </w:tc>
        <w:tc>
          <w:tcPr>
            <w:tcW w:type="dxa" w:w="2664"/>
            <w:vAlign w:val="center"/>
          </w:tcPr>
          <w:p>
            <w:pPr>
              <w:keepNext w:val="0"/>
              <w:spacing w:line="252" w:lineRule="auto" w:after="0"/>
            </w:pPr>
            <w:r>
              <w:rPr>
                <w:b w:val="0"/>
                <w:sz w:val="20"/>
              </w:rPr>
              <w:t>25.8 (13.7–43.2)</w:t>
            </w:r>
          </w:p>
        </w:tc>
      </w:tr>
      <w:tr>
        <w:trPr>
          <w:cantSplit/>
        </w:trPr>
        <w:tc>
          <w:tcPr>
            <w:tcW w:type="dxa" w:w="5400"/>
            <w:vAlign w:val="center"/>
          </w:tcPr>
          <w:p>
            <w:pPr>
              <w:keepNext w:val="0"/>
              <w:spacing w:line="252" w:lineRule="auto" w:after="0"/>
            </w:pPr>
            <w:r>
              <w:rPr>
                <w:b w:val="0"/>
                <w:sz w:val="20"/>
              </w:rPr>
              <w:t>T-DM1 + Pertuzumab</w:t>
            </w:r>
          </w:p>
        </w:tc>
        <w:tc>
          <w:tcPr>
            <w:tcW w:type="dxa" w:w="648"/>
            <w:vAlign w:val="center"/>
          </w:tcPr>
          <w:p>
            <w:pPr>
              <w:keepNext w:val="0"/>
              <w:spacing w:line="252" w:lineRule="auto" w:after="0"/>
            </w:pPr>
            <w:r>
              <w:rPr>
                <w:b w:val="0"/>
                <w:sz w:val="20"/>
              </w:rPr>
              <w:t>52</w:t>
            </w:r>
          </w:p>
        </w:tc>
        <w:tc>
          <w:tcPr>
            <w:tcW w:type="dxa" w:w="720"/>
            <w:vAlign w:val="center"/>
          </w:tcPr>
          <w:p>
            <w:pPr>
              <w:keepNext w:val="0"/>
              <w:spacing w:line="252" w:lineRule="auto" w:after="0"/>
            </w:pPr>
            <w:r>
              <w:rPr>
                <w:b w:val="0"/>
                <w:sz w:val="20"/>
              </w:rPr>
              <w:t>30</w:t>
            </w:r>
          </w:p>
        </w:tc>
        <w:tc>
          <w:tcPr>
            <w:tcW w:type="dxa" w:w="2664"/>
            <w:vAlign w:val="center"/>
          </w:tcPr>
          <w:p>
            <w:pPr>
              <w:keepNext w:val="0"/>
              <w:spacing w:line="252" w:lineRule="auto" w:after="0"/>
            </w:pPr>
            <w:r>
              <w:rPr>
                <w:b w:val="0"/>
                <w:sz w:val="20"/>
              </w:rPr>
              <w:t>57.7 (44.2–70.1)</w:t>
            </w:r>
          </w:p>
        </w:tc>
      </w:tr>
    </w:tbl>
    <w:p>
      <w:r>
        <w:t>Source workbook labels are preserved. Veliparib is denoted by ABT 888, trebananib by AMG 386, and trastuzumab emtansine by T-DM1. Wilson binomial intervals are reported. Causal treatment comparisons cannot be inferred from these frequencies because of adaptive assignment, subtype eligibility, treatment eras and subsequent therapy. A complete longitudinal drug-administration history is not represented by source Arm labels.</w:t>
      </w:r>
    </w:p>
    <w:p>
      <w:pPr>
        <w:pStyle w:val="Heading1"/>
      </w:pPr>
      <w:r>
        <w:t>S6 Prespecified sensitivity results</w:t>
      </w:r>
    </w:p>
    <w:p>
      <w:pPr>
        <w:keepNext/>
      </w:pPr>
      <w:r>
        <w:rPr>
          <w:b/>
        </w:rPr>
        <w:t>Table S5. Conventional MRI comparison on the same selected subset</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3888"/>
        <w:gridCol w:w="1152"/>
        <w:gridCol w:w="1440"/>
        <w:gridCol w:w="1584"/>
        <w:gridCol w:w="1368"/>
      </w:tblGrid>
      <w:tr>
        <w:trPr>
          <w:cantSplit/>
          <w:tblHeader/>
        </w:trPr>
        <w:tc>
          <w:tcPr>
            <w:tcW w:type="dxa" w:w="3888"/>
            <w:vAlign w:val="center"/>
          </w:tcPr>
          <w:p>
            <w:pPr>
              <w:keepNext/>
              <w:spacing w:line="252" w:lineRule="auto" w:after="0"/>
            </w:pPr>
            <w:r>
              <w:rPr>
                <w:b/>
                <w:sz w:val="20"/>
              </w:rPr>
              <w:t>Model</w:t>
            </w:r>
          </w:p>
        </w:tc>
        <w:tc>
          <w:tcPr>
            <w:tcW w:type="dxa" w:w="1152"/>
            <w:vAlign w:val="center"/>
          </w:tcPr>
          <w:p>
            <w:pPr>
              <w:keepNext/>
              <w:spacing w:line="252" w:lineRule="auto" w:after="0"/>
            </w:pPr>
            <w:r>
              <w:rPr>
                <w:b/>
                <w:sz w:val="20"/>
              </w:rPr>
              <w:t>AUROC</w:t>
            </w:r>
          </w:p>
        </w:tc>
        <w:tc>
          <w:tcPr>
            <w:tcW w:type="dxa" w:w="1440"/>
            <w:vAlign w:val="center"/>
          </w:tcPr>
          <w:p>
            <w:pPr>
              <w:keepNext/>
              <w:spacing w:line="252" w:lineRule="auto" w:after="0"/>
            </w:pPr>
            <w:r>
              <w:rPr>
                <w:b/>
                <w:sz w:val="20"/>
              </w:rPr>
              <w:t>Brier</w:t>
            </w:r>
          </w:p>
        </w:tc>
        <w:tc>
          <w:tcPr>
            <w:tcW w:type="dxa" w:w="1584"/>
            <w:vAlign w:val="center"/>
          </w:tcPr>
          <w:p>
            <w:pPr>
              <w:keepNext/>
              <w:spacing w:line="252" w:lineRule="auto" w:after="0"/>
            </w:pPr>
            <w:r>
              <w:rPr>
                <w:b/>
                <w:sz w:val="20"/>
              </w:rPr>
              <w:t>Average precision</w:t>
            </w:r>
          </w:p>
        </w:tc>
        <w:tc>
          <w:tcPr>
            <w:tcW w:type="dxa" w:w="1368"/>
            <w:vAlign w:val="center"/>
          </w:tcPr>
          <w:p>
            <w:pPr>
              <w:keepNext/>
              <w:spacing w:line="252" w:lineRule="auto" w:after="0"/>
            </w:pPr>
            <w:r>
              <w:rPr>
                <w:b/>
                <w:sz w:val="20"/>
              </w:rPr>
              <w:t>Slope</w:t>
            </w:r>
          </w:p>
        </w:tc>
      </w:tr>
      <w:tr>
        <w:trPr>
          <w:cantSplit/>
        </w:trPr>
        <w:tc>
          <w:tcPr>
            <w:tcW w:type="dxa" w:w="3888"/>
            <w:vAlign w:val="center"/>
          </w:tcPr>
          <w:p>
            <w:pPr>
              <w:keepNext/>
              <w:spacing w:line="252" w:lineRule="auto" w:after="0"/>
            </w:pPr>
            <w:r>
              <w:rPr>
                <w:b w:val="0"/>
                <w:sz w:val="20"/>
              </w:rPr>
              <w:t>Clinical</w:t>
            </w:r>
          </w:p>
        </w:tc>
        <w:tc>
          <w:tcPr>
            <w:tcW w:type="dxa" w:w="1152"/>
            <w:vAlign w:val="center"/>
          </w:tcPr>
          <w:p>
            <w:pPr>
              <w:keepNext/>
              <w:spacing w:line="252" w:lineRule="auto" w:after="0"/>
            </w:pPr>
            <w:r>
              <w:rPr>
                <w:b w:val="0"/>
                <w:sz w:val="20"/>
              </w:rPr>
              <w:t>0.642</w:t>
            </w:r>
          </w:p>
        </w:tc>
        <w:tc>
          <w:tcPr>
            <w:tcW w:type="dxa" w:w="1440"/>
            <w:vAlign w:val="center"/>
          </w:tcPr>
          <w:p>
            <w:pPr>
              <w:keepNext/>
              <w:spacing w:line="252" w:lineRule="auto" w:after="0"/>
            </w:pPr>
            <w:r>
              <w:rPr>
                <w:b w:val="0"/>
                <w:sz w:val="20"/>
              </w:rPr>
              <w:t>0.19379</w:t>
            </w:r>
          </w:p>
        </w:tc>
        <w:tc>
          <w:tcPr>
            <w:tcW w:type="dxa" w:w="1584"/>
            <w:vAlign w:val="center"/>
          </w:tcPr>
          <w:p>
            <w:pPr>
              <w:keepNext/>
              <w:spacing w:line="252" w:lineRule="auto" w:after="0"/>
            </w:pPr>
            <w:r>
              <w:rPr>
                <w:b w:val="0"/>
                <w:sz w:val="20"/>
              </w:rPr>
              <w:t>0.458</w:t>
            </w:r>
          </w:p>
        </w:tc>
        <w:tc>
          <w:tcPr>
            <w:tcW w:type="dxa" w:w="1368"/>
            <w:vAlign w:val="center"/>
          </w:tcPr>
          <w:p>
            <w:pPr>
              <w:keepNext/>
              <w:spacing w:line="252" w:lineRule="auto" w:after="0"/>
            </w:pPr>
            <w:r>
              <w:rPr>
                <w:b w:val="0"/>
                <w:sz w:val="20"/>
              </w:rPr>
              <w:t>0.824</w:t>
            </w:r>
          </w:p>
        </w:tc>
      </w:tr>
      <w:tr>
        <w:trPr>
          <w:cantSplit/>
        </w:trPr>
        <w:tc>
          <w:tcPr>
            <w:tcW w:type="dxa" w:w="3888"/>
            <w:vAlign w:val="center"/>
          </w:tcPr>
          <w:p>
            <w:pPr>
              <w:keepNext/>
              <w:spacing w:line="252" w:lineRule="auto" w:after="0"/>
            </w:pPr>
            <w:r>
              <w:rPr>
                <w:b w:val="0"/>
                <w:sz w:val="20"/>
              </w:rPr>
              <w:t>Clinical + diameter</w:t>
            </w:r>
          </w:p>
        </w:tc>
        <w:tc>
          <w:tcPr>
            <w:tcW w:type="dxa" w:w="1152"/>
            <w:vAlign w:val="center"/>
          </w:tcPr>
          <w:p>
            <w:pPr>
              <w:keepNext/>
              <w:spacing w:line="252" w:lineRule="auto" w:after="0"/>
            </w:pPr>
            <w:r>
              <w:rPr>
                <w:b w:val="0"/>
                <w:sz w:val="20"/>
              </w:rPr>
              <w:t>0.675</w:t>
            </w:r>
          </w:p>
        </w:tc>
        <w:tc>
          <w:tcPr>
            <w:tcW w:type="dxa" w:w="1440"/>
            <w:vAlign w:val="center"/>
          </w:tcPr>
          <w:p>
            <w:pPr>
              <w:keepNext/>
              <w:spacing w:line="252" w:lineRule="auto" w:after="0"/>
            </w:pPr>
            <w:r>
              <w:rPr>
                <w:b w:val="0"/>
                <w:sz w:val="20"/>
              </w:rPr>
              <w:t>0.18857</w:t>
            </w:r>
          </w:p>
        </w:tc>
        <w:tc>
          <w:tcPr>
            <w:tcW w:type="dxa" w:w="1584"/>
            <w:vAlign w:val="center"/>
          </w:tcPr>
          <w:p>
            <w:pPr>
              <w:keepNext/>
              <w:spacing w:line="252" w:lineRule="auto" w:after="0"/>
            </w:pPr>
            <w:r>
              <w:rPr>
                <w:b w:val="0"/>
                <w:sz w:val="20"/>
              </w:rPr>
              <w:t>0.494</w:t>
            </w:r>
          </w:p>
        </w:tc>
        <w:tc>
          <w:tcPr>
            <w:tcW w:type="dxa" w:w="1368"/>
            <w:vAlign w:val="center"/>
          </w:tcPr>
          <w:p>
            <w:pPr>
              <w:keepNext/>
              <w:spacing w:line="252" w:lineRule="auto" w:after="0"/>
            </w:pPr>
            <w:r>
              <w:rPr>
                <w:b w:val="0"/>
                <w:sz w:val="20"/>
              </w:rPr>
              <w:t>0.863</w:t>
            </w:r>
          </w:p>
        </w:tc>
      </w:tr>
      <w:tr>
        <w:trPr>
          <w:cantSplit/>
        </w:trPr>
        <w:tc>
          <w:tcPr>
            <w:tcW w:type="dxa" w:w="3888"/>
            <w:vAlign w:val="center"/>
          </w:tcPr>
          <w:p>
            <w:pPr>
              <w:keepNext w:val="0"/>
              <w:spacing w:line="252" w:lineRule="auto" w:after="0"/>
            </w:pPr>
            <w:r>
              <w:rPr>
                <w:b w:val="0"/>
                <w:sz w:val="20"/>
              </w:rPr>
              <w:t>Clinical + four MRI measures</w:t>
            </w:r>
          </w:p>
        </w:tc>
        <w:tc>
          <w:tcPr>
            <w:tcW w:type="dxa" w:w="1152"/>
            <w:vAlign w:val="center"/>
          </w:tcPr>
          <w:p>
            <w:pPr>
              <w:keepNext w:val="0"/>
              <w:spacing w:line="252" w:lineRule="auto" w:after="0"/>
            </w:pPr>
            <w:r>
              <w:rPr>
                <w:b w:val="0"/>
                <w:sz w:val="20"/>
              </w:rPr>
              <w:t>0.666</w:t>
            </w:r>
          </w:p>
        </w:tc>
        <w:tc>
          <w:tcPr>
            <w:tcW w:type="dxa" w:w="1440"/>
            <w:vAlign w:val="center"/>
          </w:tcPr>
          <w:p>
            <w:pPr>
              <w:keepNext w:val="0"/>
              <w:spacing w:line="252" w:lineRule="auto" w:after="0"/>
            </w:pPr>
            <w:r>
              <w:rPr>
                <w:b w:val="0"/>
                <w:sz w:val="20"/>
              </w:rPr>
              <w:t>0.19252</w:t>
            </w:r>
          </w:p>
        </w:tc>
        <w:tc>
          <w:tcPr>
            <w:tcW w:type="dxa" w:w="1584"/>
            <w:vAlign w:val="center"/>
          </w:tcPr>
          <w:p>
            <w:pPr>
              <w:keepNext w:val="0"/>
              <w:spacing w:line="252" w:lineRule="auto" w:after="0"/>
            </w:pPr>
            <w:r>
              <w:rPr>
                <w:b w:val="0"/>
                <w:sz w:val="20"/>
              </w:rPr>
              <w:t>0.473</w:t>
            </w:r>
          </w:p>
        </w:tc>
        <w:tc>
          <w:tcPr>
            <w:tcW w:type="dxa" w:w="1368"/>
            <w:vAlign w:val="center"/>
          </w:tcPr>
          <w:p>
            <w:pPr>
              <w:keepNext w:val="0"/>
              <w:spacing w:line="252" w:lineRule="auto" w:after="0"/>
            </w:pPr>
            <w:r>
              <w:rPr>
                <w:b w:val="0"/>
                <w:sz w:val="20"/>
              </w:rPr>
              <w:t>0.751</w:t>
            </w:r>
          </w:p>
        </w:tc>
      </w:tr>
      <w:tr>
        <w:trPr>
          <w:cantSplit/>
        </w:trPr>
        <w:tc>
          <w:tcPr>
            <w:tcW w:type="dxa" w:w="3888"/>
            <w:vAlign w:val="center"/>
          </w:tcPr>
          <w:p>
            <w:pPr>
              <w:keepNext w:val="0"/>
              <w:spacing w:line="252" w:lineRule="auto" w:after="0"/>
            </w:pPr>
            <w:r>
              <w:rPr>
                <w:b w:val="0"/>
                <w:sz w:val="20"/>
              </w:rPr>
              <w:t>MRI signal</w:t>
            </w:r>
          </w:p>
        </w:tc>
        <w:tc>
          <w:tcPr>
            <w:tcW w:type="dxa" w:w="1152"/>
            <w:vAlign w:val="center"/>
          </w:tcPr>
          <w:p>
            <w:pPr>
              <w:keepNext w:val="0"/>
              <w:spacing w:line="252" w:lineRule="auto" w:after="0"/>
            </w:pPr>
            <w:r>
              <w:rPr>
                <w:b w:val="0"/>
                <w:sz w:val="20"/>
              </w:rPr>
              <w:t>0.556</w:t>
            </w:r>
          </w:p>
        </w:tc>
        <w:tc>
          <w:tcPr>
            <w:tcW w:type="dxa" w:w="1440"/>
            <w:vAlign w:val="center"/>
          </w:tcPr>
          <w:p>
            <w:pPr>
              <w:keepNext w:val="0"/>
              <w:spacing w:line="252" w:lineRule="auto" w:after="0"/>
            </w:pPr>
            <w:r>
              <w:rPr>
                <w:b w:val="0"/>
                <w:sz w:val="20"/>
              </w:rPr>
              <w:t>0.20756</w:t>
            </w:r>
          </w:p>
        </w:tc>
        <w:tc>
          <w:tcPr>
            <w:tcW w:type="dxa" w:w="1584"/>
            <w:vAlign w:val="center"/>
          </w:tcPr>
          <w:p>
            <w:pPr>
              <w:keepNext w:val="0"/>
              <w:spacing w:line="252" w:lineRule="auto" w:after="0"/>
            </w:pPr>
            <w:r>
              <w:rPr>
                <w:b w:val="0"/>
                <w:sz w:val="20"/>
              </w:rPr>
              <w:t>0.332</w:t>
            </w:r>
          </w:p>
        </w:tc>
        <w:tc>
          <w:tcPr>
            <w:tcW w:type="dxa" w:w="1368"/>
            <w:vAlign w:val="center"/>
          </w:tcPr>
          <w:p>
            <w:pPr>
              <w:keepNext w:val="0"/>
              <w:spacing w:line="252" w:lineRule="auto" w:after="0"/>
            </w:pPr>
            <w:r>
              <w:rPr>
                <w:b w:val="0"/>
                <w:sz w:val="20"/>
              </w:rPr>
              <w:t>0.540</w:t>
            </w:r>
          </w:p>
        </w:tc>
      </w:tr>
      <w:tr>
        <w:trPr>
          <w:cantSplit/>
        </w:trPr>
        <w:tc>
          <w:tcPr>
            <w:tcW w:type="dxa" w:w="3888"/>
            <w:vAlign w:val="center"/>
          </w:tcPr>
          <w:p>
            <w:pPr>
              <w:keepNext w:val="0"/>
              <w:spacing w:line="252" w:lineRule="auto" w:after="0"/>
            </w:pPr>
            <w:r>
              <w:rPr>
                <w:b w:val="0"/>
                <w:sz w:val="20"/>
              </w:rPr>
              <w:t>Clinical + MRI signal</w:t>
            </w:r>
          </w:p>
        </w:tc>
        <w:tc>
          <w:tcPr>
            <w:tcW w:type="dxa" w:w="1152"/>
            <w:vAlign w:val="center"/>
          </w:tcPr>
          <w:p>
            <w:pPr>
              <w:keepNext w:val="0"/>
              <w:spacing w:line="252" w:lineRule="auto" w:after="0"/>
            </w:pPr>
            <w:r>
              <w:rPr>
                <w:b w:val="0"/>
                <w:sz w:val="20"/>
              </w:rPr>
              <w:t>0.666</w:t>
            </w:r>
          </w:p>
        </w:tc>
        <w:tc>
          <w:tcPr>
            <w:tcW w:type="dxa" w:w="1440"/>
            <w:vAlign w:val="center"/>
          </w:tcPr>
          <w:p>
            <w:pPr>
              <w:keepNext w:val="0"/>
              <w:spacing w:line="252" w:lineRule="auto" w:after="0"/>
            </w:pPr>
            <w:r>
              <w:rPr>
                <w:b w:val="0"/>
                <w:sz w:val="20"/>
              </w:rPr>
              <w:t>0.19657</w:t>
            </w:r>
          </w:p>
        </w:tc>
        <w:tc>
          <w:tcPr>
            <w:tcW w:type="dxa" w:w="1584"/>
            <w:vAlign w:val="center"/>
          </w:tcPr>
          <w:p>
            <w:pPr>
              <w:keepNext w:val="0"/>
              <w:spacing w:line="252" w:lineRule="auto" w:after="0"/>
            </w:pPr>
            <w:r>
              <w:rPr>
                <w:b w:val="0"/>
                <w:sz w:val="20"/>
              </w:rPr>
              <w:t>0.436</w:t>
            </w:r>
          </w:p>
        </w:tc>
        <w:tc>
          <w:tcPr>
            <w:tcW w:type="dxa" w:w="1368"/>
            <w:vAlign w:val="center"/>
          </w:tcPr>
          <w:p>
            <w:pPr>
              <w:keepNext w:val="0"/>
              <w:spacing w:line="252" w:lineRule="auto" w:after="0"/>
            </w:pPr>
            <w:r>
              <w:rPr>
                <w:b w:val="0"/>
                <w:sz w:val="20"/>
              </w:rPr>
              <w:t>0.745</w:t>
            </w:r>
          </w:p>
        </w:tc>
      </w:tr>
    </w:tbl>
    <w:p>
      <w:r>
        <w:t>Nested internal validation was performed in 384 participants with 113 pCR events. Separate models were fitted within these subsets; full-cohort models were not externally tested.</w:t>
      </w:r>
    </w:p>
    <w:p>
      <w:r>
        <w:t>LD_T0, VOLUME_TUM_BLU_V10, SPHERICITY_T0 and BPE_5slice_mean_T0 were used as conventional fields, with log1p applied to volume. The source cohort was selected for longitudinal measurement completeness; response-related selection could have been introduced. In the original source, 113 events were recorded versus 114 in the published report, with 50/132 versus 51/132 in the triple-negative subgroup. The cause was unresolved; no labels were changed. The prior same-subset analysis was reproduced to floating-point precision for three comparator models.</w:t>
      </w:r>
    </w:p>
    <w:p>
      <w:pPr>
        <w:keepNext/>
      </w:pPr>
      <w:r>
        <w:rPr>
          <w:b/>
        </w:rPr>
        <w:t>Table S6. Paclitaxel with or without trastuzumab sensitivity</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3888"/>
        <w:gridCol w:w="1152"/>
        <w:gridCol w:w="1440"/>
        <w:gridCol w:w="1584"/>
        <w:gridCol w:w="1368"/>
      </w:tblGrid>
      <w:tr>
        <w:trPr>
          <w:cantSplit/>
          <w:tblHeader/>
        </w:trPr>
        <w:tc>
          <w:tcPr>
            <w:tcW w:type="dxa" w:w="3888"/>
            <w:vAlign w:val="center"/>
          </w:tcPr>
          <w:p>
            <w:pPr>
              <w:keepNext/>
              <w:spacing w:line="252" w:lineRule="auto" w:after="0"/>
            </w:pPr>
            <w:r>
              <w:rPr>
                <w:b/>
                <w:sz w:val="20"/>
              </w:rPr>
              <w:t>Model</w:t>
            </w:r>
          </w:p>
        </w:tc>
        <w:tc>
          <w:tcPr>
            <w:tcW w:type="dxa" w:w="1152"/>
            <w:vAlign w:val="center"/>
          </w:tcPr>
          <w:p>
            <w:pPr>
              <w:keepNext/>
              <w:spacing w:line="252" w:lineRule="auto" w:after="0"/>
            </w:pPr>
            <w:r>
              <w:rPr>
                <w:b/>
                <w:sz w:val="20"/>
              </w:rPr>
              <w:t>AUROC</w:t>
            </w:r>
          </w:p>
        </w:tc>
        <w:tc>
          <w:tcPr>
            <w:tcW w:type="dxa" w:w="1440"/>
            <w:vAlign w:val="center"/>
          </w:tcPr>
          <w:p>
            <w:pPr>
              <w:keepNext/>
              <w:spacing w:line="252" w:lineRule="auto" w:after="0"/>
            </w:pPr>
            <w:r>
              <w:rPr>
                <w:b/>
                <w:sz w:val="20"/>
              </w:rPr>
              <w:t>Brier</w:t>
            </w:r>
          </w:p>
        </w:tc>
        <w:tc>
          <w:tcPr>
            <w:tcW w:type="dxa" w:w="1584"/>
            <w:vAlign w:val="center"/>
          </w:tcPr>
          <w:p>
            <w:pPr>
              <w:keepNext/>
              <w:spacing w:line="252" w:lineRule="auto" w:after="0"/>
            </w:pPr>
            <w:r>
              <w:rPr>
                <w:b/>
                <w:sz w:val="20"/>
              </w:rPr>
              <w:t>Average precision</w:t>
            </w:r>
          </w:p>
        </w:tc>
        <w:tc>
          <w:tcPr>
            <w:tcW w:type="dxa" w:w="1368"/>
            <w:vAlign w:val="center"/>
          </w:tcPr>
          <w:p>
            <w:pPr>
              <w:keepNext/>
              <w:spacing w:line="252" w:lineRule="auto" w:after="0"/>
            </w:pPr>
            <w:r>
              <w:rPr>
                <w:b/>
                <w:sz w:val="20"/>
              </w:rPr>
              <w:t>Slope</w:t>
            </w:r>
          </w:p>
        </w:tc>
      </w:tr>
      <w:tr>
        <w:trPr>
          <w:cantSplit/>
        </w:trPr>
        <w:tc>
          <w:tcPr>
            <w:tcW w:type="dxa" w:w="3888"/>
            <w:vAlign w:val="center"/>
          </w:tcPr>
          <w:p>
            <w:pPr>
              <w:keepNext/>
              <w:spacing w:line="252" w:lineRule="auto" w:after="0"/>
            </w:pPr>
            <w:r>
              <w:rPr>
                <w:b w:val="0"/>
                <w:sz w:val="20"/>
              </w:rPr>
              <w:t>Clinical</w:t>
            </w:r>
          </w:p>
        </w:tc>
        <w:tc>
          <w:tcPr>
            <w:tcW w:type="dxa" w:w="1152"/>
            <w:vAlign w:val="center"/>
          </w:tcPr>
          <w:p>
            <w:pPr>
              <w:keepNext/>
              <w:spacing w:line="252" w:lineRule="auto" w:after="0"/>
            </w:pPr>
            <w:r>
              <w:rPr>
                <w:b w:val="0"/>
                <w:sz w:val="20"/>
              </w:rPr>
              <w:t>0.381</w:t>
            </w:r>
          </w:p>
        </w:tc>
        <w:tc>
          <w:tcPr>
            <w:tcW w:type="dxa" w:w="1440"/>
            <w:vAlign w:val="center"/>
          </w:tcPr>
          <w:p>
            <w:pPr>
              <w:keepNext/>
              <w:spacing w:line="252" w:lineRule="auto" w:after="0"/>
            </w:pPr>
            <w:r>
              <w:rPr>
                <w:b w:val="0"/>
                <w:sz w:val="20"/>
              </w:rPr>
              <w:t>0.15360</w:t>
            </w:r>
          </w:p>
        </w:tc>
        <w:tc>
          <w:tcPr>
            <w:tcW w:type="dxa" w:w="1584"/>
            <w:vAlign w:val="center"/>
          </w:tcPr>
          <w:p>
            <w:pPr>
              <w:keepNext/>
              <w:spacing w:line="252" w:lineRule="auto" w:after="0"/>
            </w:pPr>
            <w:r>
              <w:rPr>
                <w:b w:val="0"/>
                <w:sz w:val="20"/>
              </w:rPr>
              <w:t>0.165</w:t>
            </w:r>
          </w:p>
        </w:tc>
        <w:tc>
          <w:tcPr>
            <w:tcW w:type="dxa" w:w="1368"/>
            <w:vAlign w:val="center"/>
          </w:tcPr>
          <w:p>
            <w:pPr>
              <w:keepNext/>
              <w:spacing w:line="252" w:lineRule="auto" w:after="0"/>
            </w:pPr>
            <w:r>
              <w:rPr>
                <w:b w:val="0"/>
                <w:sz w:val="20"/>
              </w:rPr>
              <w:t>-3.583</w:t>
            </w:r>
          </w:p>
        </w:tc>
      </w:tr>
      <w:tr>
        <w:trPr>
          <w:cantSplit/>
        </w:trPr>
        <w:tc>
          <w:tcPr>
            <w:tcW w:type="dxa" w:w="3888"/>
            <w:vAlign w:val="center"/>
          </w:tcPr>
          <w:p>
            <w:pPr>
              <w:keepNext/>
              <w:spacing w:line="252" w:lineRule="auto" w:after="0"/>
            </w:pPr>
            <w:r>
              <w:rPr>
                <w:b w:val="0"/>
                <w:sz w:val="20"/>
              </w:rPr>
              <w:t>MRI signal</w:t>
            </w:r>
          </w:p>
        </w:tc>
        <w:tc>
          <w:tcPr>
            <w:tcW w:type="dxa" w:w="1152"/>
            <w:vAlign w:val="center"/>
          </w:tcPr>
          <w:p>
            <w:pPr>
              <w:keepNext/>
              <w:spacing w:line="252" w:lineRule="auto" w:after="0"/>
            </w:pPr>
            <w:r>
              <w:rPr>
                <w:b w:val="0"/>
                <w:sz w:val="20"/>
              </w:rPr>
              <w:t>0.497</w:t>
            </w:r>
          </w:p>
        </w:tc>
        <w:tc>
          <w:tcPr>
            <w:tcW w:type="dxa" w:w="1440"/>
            <w:vAlign w:val="center"/>
          </w:tcPr>
          <w:p>
            <w:pPr>
              <w:keepNext/>
              <w:spacing w:line="252" w:lineRule="auto" w:after="0"/>
            </w:pPr>
            <w:r>
              <w:rPr>
                <w:b w:val="0"/>
                <w:sz w:val="20"/>
              </w:rPr>
              <w:t>0.15269</w:t>
            </w:r>
          </w:p>
        </w:tc>
        <w:tc>
          <w:tcPr>
            <w:tcW w:type="dxa" w:w="1584"/>
            <w:vAlign w:val="center"/>
          </w:tcPr>
          <w:p>
            <w:pPr>
              <w:keepNext/>
              <w:spacing w:line="252" w:lineRule="auto" w:after="0"/>
            </w:pPr>
            <w:r>
              <w:rPr>
                <w:b w:val="0"/>
                <w:sz w:val="20"/>
              </w:rPr>
              <w:t>0.190</w:t>
            </w:r>
          </w:p>
        </w:tc>
        <w:tc>
          <w:tcPr>
            <w:tcW w:type="dxa" w:w="1368"/>
            <w:vAlign w:val="center"/>
          </w:tcPr>
          <w:p>
            <w:pPr>
              <w:keepNext/>
              <w:spacing w:line="252" w:lineRule="auto" w:after="0"/>
            </w:pPr>
            <w:r>
              <w:rPr>
                <w:b w:val="0"/>
                <w:sz w:val="20"/>
              </w:rPr>
              <w:t>-0.334</w:t>
            </w:r>
          </w:p>
        </w:tc>
      </w:tr>
      <w:tr>
        <w:trPr>
          <w:cantSplit/>
        </w:trPr>
        <w:tc>
          <w:tcPr>
            <w:tcW w:type="dxa" w:w="3888"/>
            <w:vAlign w:val="center"/>
          </w:tcPr>
          <w:p>
            <w:pPr>
              <w:keepNext w:val="0"/>
              <w:spacing w:line="252" w:lineRule="auto" w:after="0"/>
            </w:pPr>
            <w:r>
              <w:rPr>
                <w:b w:val="0"/>
                <w:sz w:val="20"/>
              </w:rPr>
              <w:t>Clinical + MRI signal</w:t>
            </w:r>
          </w:p>
        </w:tc>
        <w:tc>
          <w:tcPr>
            <w:tcW w:type="dxa" w:w="1152"/>
            <w:vAlign w:val="center"/>
          </w:tcPr>
          <w:p>
            <w:pPr>
              <w:keepNext w:val="0"/>
              <w:spacing w:line="252" w:lineRule="auto" w:after="0"/>
            </w:pPr>
            <w:r>
              <w:rPr>
                <w:b w:val="0"/>
                <w:sz w:val="20"/>
              </w:rPr>
              <w:t>0.429</w:t>
            </w:r>
          </w:p>
        </w:tc>
        <w:tc>
          <w:tcPr>
            <w:tcW w:type="dxa" w:w="1440"/>
            <w:vAlign w:val="center"/>
          </w:tcPr>
          <w:p>
            <w:pPr>
              <w:keepNext w:val="0"/>
              <w:spacing w:line="252" w:lineRule="auto" w:after="0"/>
            </w:pPr>
            <w:r>
              <w:rPr>
                <w:b w:val="0"/>
                <w:sz w:val="20"/>
              </w:rPr>
              <w:t>0.15408</w:t>
            </w:r>
          </w:p>
        </w:tc>
        <w:tc>
          <w:tcPr>
            <w:tcW w:type="dxa" w:w="1584"/>
            <w:vAlign w:val="center"/>
          </w:tcPr>
          <w:p>
            <w:pPr>
              <w:keepNext w:val="0"/>
              <w:spacing w:line="252" w:lineRule="auto" w:after="0"/>
            </w:pPr>
            <w:r>
              <w:rPr>
                <w:b w:val="0"/>
                <w:sz w:val="20"/>
              </w:rPr>
              <w:t>0.188</w:t>
            </w:r>
          </w:p>
        </w:tc>
        <w:tc>
          <w:tcPr>
            <w:tcW w:type="dxa" w:w="1368"/>
            <w:vAlign w:val="center"/>
          </w:tcPr>
          <w:p>
            <w:pPr>
              <w:keepNext w:val="0"/>
              <w:spacing w:line="252" w:lineRule="auto" w:after="0"/>
            </w:pPr>
            <w:r>
              <w:rPr>
                <w:b w:val="0"/>
                <w:sz w:val="20"/>
              </w:rPr>
              <w:t>-1.085</w:t>
            </w:r>
          </w:p>
        </w:tc>
      </w:tr>
    </w:tbl>
    <w:p>
      <w:r>
        <w:t>Nested internal validation was performed in 209 participants with 39 pCR events. Separate models were fitted within these subsets; full-cohort models were not externally tested.</w:t>
      </w:r>
    </w:p>
    <w:p>
      <w:r>
        <w:t>C=0.01 was selected in all 15 outer-fold fits. Narrow predicted probabilities, weak ranking and a negative clinical-model calibration slope were observed. No implementation error was identified through label and row alignment checks. Interpretation is limited by the restricted sample and strong shrinkage. No post-result tuning was performed to improve these findings.</w:t>
      </w:r>
    </w:p>
    <w:p>
      <w:pPr>
        <w:keepNext/>
      </w:pPr>
      <w:r>
        <w:rPr>
          <w:b/>
        </w:rPr>
        <w:t>Table S7. Paired external eligibility sensitivities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3168"/>
        <w:gridCol w:w="792"/>
        <w:gridCol w:w="1944"/>
        <w:gridCol w:w="3528"/>
      </w:tblGrid>
      <w:tr>
        <w:trPr>
          <w:cantSplit/>
          <w:tblHeader/>
        </w:trPr>
        <w:tc>
          <w:tcPr>
            <w:tcW w:type="dxa" w:w="3168"/>
            <w:vAlign w:val="center"/>
          </w:tcPr>
          <w:p>
            <w:pPr>
              <w:keepNext/>
              <w:spacing w:line="252" w:lineRule="auto" w:after="0"/>
            </w:pPr>
            <w:r>
              <w:rPr>
                <w:b/>
                <w:sz w:val="20"/>
              </w:rPr>
              <w:t>Analysis</w:t>
            </w:r>
          </w:p>
        </w:tc>
        <w:tc>
          <w:tcPr>
            <w:tcW w:type="dxa" w:w="792"/>
            <w:vAlign w:val="center"/>
          </w:tcPr>
          <w:p>
            <w:pPr>
              <w:keepNext/>
              <w:spacing w:line="252" w:lineRule="auto" w:after="0"/>
            </w:pPr>
            <w:r>
              <w:rPr>
                <w:b/>
                <w:sz w:val="20"/>
              </w:rPr>
              <w:t>n</w:t>
            </w:r>
          </w:p>
        </w:tc>
        <w:tc>
          <w:tcPr>
            <w:tcW w:type="dxa" w:w="1944"/>
            <w:vAlign w:val="center"/>
          </w:tcPr>
          <w:p>
            <w:pPr>
              <w:keepNext/>
              <w:spacing w:line="252" w:lineRule="auto" w:after="0"/>
            </w:pPr>
            <w:r>
              <w:rPr>
                <w:b/>
                <w:sz w:val="20"/>
              </w:rPr>
              <w:t>Brier difference</w:t>
            </w:r>
          </w:p>
        </w:tc>
        <w:tc>
          <w:tcPr>
            <w:tcW w:type="dxa" w:w="3528"/>
            <w:vAlign w:val="center"/>
          </w:tcPr>
          <w:p>
            <w:pPr>
              <w:keepNext/>
              <w:spacing w:line="252" w:lineRule="auto" w:after="0"/>
            </w:pPr>
            <w:r>
              <w:rPr>
                <w:b/>
                <w:sz w:val="20"/>
              </w:rPr>
              <w:t>95% interval</w:t>
            </w:r>
          </w:p>
        </w:tc>
      </w:tr>
      <w:tr>
        <w:trPr>
          <w:cantSplit/>
        </w:trPr>
        <w:tc>
          <w:tcPr>
            <w:tcW w:type="dxa" w:w="3168"/>
            <w:vAlign w:val="center"/>
          </w:tcPr>
          <w:p>
            <w:pPr>
              <w:keepNext/>
              <w:spacing w:line="252" w:lineRule="auto" w:after="0"/>
            </w:pPr>
            <w:r>
              <w:rPr>
                <w:b w:val="0"/>
                <w:sz w:val="20"/>
              </w:rPr>
              <w:t>Primary</w:t>
            </w:r>
          </w:p>
        </w:tc>
        <w:tc>
          <w:tcPr>
            <w:tcW w:type="dxa" w:w="792"/>
            <w:vAlign w:val="center"/>
          </w:tcPr>
          <w:p>
            <w:pPr>
              <w:keepNext/>
              <w:spacing w:line="252" w:lineRule="auto" w:after="0"/>
            </w:pPr>
            <w:r>
              <w:rPr>
                <w:b w:val="0"/>
                <w:sz w:val="20"/>
              </w:rPr>
              <w:t>166</w:t>
            </w:r>
          </w:p>
        </w:tc>
        <w:tc>
          <w:tcPr>
            <w:tcW w:type="dxa" w:w="1944"/>
            <w:vAlign w:val="center"/>
          </w:tcPr>
          <w:p>
            <w:pPr>
              <w:keepNext/>
              <w:spacing w:line="252" w:lineRule="auto" w:after="0"/>
            </w:pPr>
            <w:r>
              <w:rPr>
                <w:b w:val="0"/>
                <w:sz w:val="20"/>
              </w:rPr>
              <w:t>-0.00911</w:t>
            </w:r>
          </w:p>
        </w:tc>
        <w:tc>
          <w:tcPr>
            <w:tcW w:type="dxa" w:w="3528"/>
            <w:vAlign w:val="center"/>
          </w:tcPr>
          <w:p>
            <w:pPr>
              <w:keepNext/>
              <w:spacing w:line="252" w:lineRule="auto" w:after="0"/>
            </w:pPr>
            <w:r>
              <w:rPr>
                <w:b w:val="0"/>
                <w:sz w:val="20"/>
              </w:rPr>
              <w:t>-0.02087 to 0.00218</w:t>
            </w:r>
          </w:p>
        </w:tc>
      </w:tr>
      <w:tr>
        <w:trPr>
          <w:cantSplit/>
        </w:trPr>
        <w:tc>
          <w:tcPr>
            <w:tcW w:type="dxa" w:w="3168"/>
            <w:vAlign w:val="center"/>
          </w:tcPr>
          <w:p>
            <w:pPr>
              <w:keepNext/>
              <w:spacing w:line="252" w:lineRule="auto" w:after="0"/>
            </w:pPr>
            <w:r>
              <w:rPr>
                <w:b w:val="0"/>
                <w:sz w:val="20"/>
              </w:rPr>
              <w:t>Complete receptors</w:t>
            </w:r>
          </w:p>
        </w:tc>
        <w:tc>
          <w:tcPr>
            <w:tcW w:type="dxa" w:w="792"/>
            <w:vAlign w:val="center"/>
          </w:tcPr>
          <w:p>
            <w:pPr>
              <w:keepNext/>
              <w:spacing w:line="252" w:lineRule="auto" w:after="0"/>
            </w:pPr>
            <w:r>
              <w:rPr>
                <w:b w:val="0"/>
                <w:sz w:val="20"/>
              </w:rPr>
              <w:t>161</w:t>
            </w:r>
          </w:p>
        </w:tc>
        <w:tc>
          <w:tcPr>
            <w:tcW w:type="dxa" w:w="1944"/>
            <w:vAlign w:val="center"/>
          </w:tcPr>
          <w:p>
            <w:pPr>
              <w:keepNext/>
              <w:spacing w:line="252" w:lineRule="auto" w:after="0"/>
            </w:pPr>
            <w:r>
              <w:rPr>
                <w:b w:val="0"/>
                <w:sz w:val="20"/>
              </w:rPr>
              <w:t>-0.01077</w:t>
            </w:r>
          </w:p>
        </w:tc>
        <w:tc>
          <w:tcPr>
            <w:tcW w:type="dxa" w:w="3528"/>
            <w:vAlign w:val="center"/>
          </w:tcPr>
          <w:p>
            <w:pPr>
              <w:keepNext/>
              <w:spacing w:line="252" w:lineRule="auto" w:after="0"/>
            </w:pPr>
            <w:r>
              <w:rPr>
                <w:b w:val="0"/>
                <w:sz w:val="20"/>
              </w:rPr>
              <w:t>-0.02233 to 0.00050</w:t>
            </w:r>
          </w:p>
        </w:tc>
      </w:tr>
      <w:tr>
        <w:trPr>
          <w:cantSplit/>
        </w:trPr>
        <w:tc>
          <w:tcPr>
            <w:tcW w:type="dxa" w:w="3168"/>
            <w:vAlign w:val="center"/>
          </w:tcPr>
          <w:p>
            <w:pPr>
              <w:keepNext w:val="0"/>
              <w:spacing w:line="252" w:lineRule="auto" w:after="0"/>
            </w:pPr>
            <w:r>
              <w:rPr>
                <w:b w:val="0"/>
                <w:sz w:val="20"/>
              </w:rPr>
              <w:t>Alternative phase</w:t>
            </w:r>
          </w:p>
        </w:tc>
        <w:tc>
          <w:tcPr>
            <w:tcW w:type="dxa" w:w="792"/>
            <w:vAlign w:val="center"/>
          </w:tcPr>
          <w:p>
            <w:pPr>
              <w:keepNext w:val="0"/>
              <w:spacing w:line="252" w:lineRule="auto" w:after="0"/>
            </w:pPr>
            <w:r>
              <w:rPr>
                <w:b w:val="0"/>
                <w:sz w:val="20"/>
              </w:rPr>
              <w:t>167</w:t>
            </w:r>
          </w:p>
        </w:tc>
        <w:tc>
          <w:tcPr>
            <w:tcW w:type="dxa" w:w="1944"/>
            <w:vAlign w:val="center"/>
          </w:tcPr>
          <w:p>
            <w:pPr>
              <w:keepNext w:val="0"/>
              <w:spacing w:line="252" w:lineRule="auto" w:after="0"/>
            </w:pPr>
            <w:r>
              <w:rPr>
                <w:b w:val="0"/>
                <w:sz w:val="20"/>
              </w:rPr>
              <w:t>-0.00828</w:t>
            </w:r>
          </w:p>
        </w:tc>
        <w:tc>
          <w:tcPr>
            <w:tcW w:type="dxa" w:w="3528"/>
            <w:vAlign w:val="center"/>
          </w:tcPr>
          <w:p>
            <w:pPr>
              <w:keepNext w:val="0"/>
              <w:spacing w:line="252" w:lineRule="auto" w:after="0"/>
            </w:pPr>
            <w:r>
              <w:rPr>
                <w:b w:val="0"/>
                <w:sz w:val="20"/>
              </w:rPr>
              <w:t>-0.02047 to 0.00303</w:t>
            </w:r>
          </w:p>
        </w:tc>
      </w:tr>
    </w:tbl>
    <w:p>
      <w:r>
        <w:t>Difference is defined as clinical minus fusion, with positive values favouring fusion. In the complete-receptor and alternative-phase populations, 46 and 49 events were recorded, respectively. Missing original pCR records are excluded throughout.</w:t>
      </w:r>
    </w:p>
    <w:p>
      <w:pPr>
        <w:pStyle w:val="Heading1"/>
      </w:pPr>
      <w:r>
        <w:t>S7 Receptor subgroup performance</w:t>
      </w:r>
    </w:p>
    <w:p>
      <w:pPr>
        <w:keepNext/>
      </w:pPr>
      <w:r>
        <w:rPr>
          <w:b/>
        </w:rPr>
        <w:t>Table S8. Development receptor subgroup metrics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1152"/>
        <w:gridCol w:w="3528"/>
        <w:gridCol w:w="1224"/>
        <w:gridCol w:w="1656"/>
        <w:gridCol w:w="1872"/>
      </w:tblGrid>
      <w:tr>
        <w:trPr>
          <w:cantSplit/>
          <w:tblHeader/>
        </w:trPr>
        <w:tc>
          <w:tcPr>
            <w:tcW w:type="dxa" w:w="1152"/>
            <w:vAlign w:val="center"/>
          </w:tcPr>
          <w:p>
            <w:pPr>
              <w:keepNext/>
              <w:spacing w:line="252" w:lineRule="auto" w:after="0"/>
            </w:pPr>
            <w:r>
              <w:rPr>
                <w:b/>
                <w:sz w:val="20"/>
              </w:rPr>
              <w:t>HR/HER2</w:t>
            </w:r>
          </w:p>
        </w:tc>
        <w:tc>
          <w:tcPr>
            <w:tcW w:type="dxa" w:w="3528"/>
            <w:vAlign w:val="center"/>
          </w:tcPr>
          <w:p>
            <w:pPr>
              <w:keepNext/>
              <w:spacing w:line="252" w:lineRule="auto" w:after="0"/>
            </w:pPr>
            <w:r>
              <w:rPr>
                <w:b/>
                <w:sz w:val="20"/>
              </w:rPr>
              <w:t>Model</w:t>
            </w:r>
          </w:p>
        </w:tc>
        <w:tc>
          <w:tcPr>
            <w:tcW w:type="dxa" w:w="1224"/>
            <w:vAlign w:val="center"/>
          </w:tcPr>
          <w:p>
            <w:pPr>
              <w:keepNext/>
              <w:spacing w:line="252" w:lineRule="auto" w:after="0"/>
            </w:pPr>
            <w:r>
              <w:rPr>
                <w:b/>
                <w:sz w:val="20"/>
              </w:rPr>
              <w:t>n/events</w:t>
            </w:r>
          </w:p>
        </w:tc>
        <w:tc>
          <w:tcPr>
            <w:tcW w:type="dxa" w:w="1656"/>
            <w:vAlign w:val="center"/>
          </w:tcPr>
          <w:p>
            <w:pPr>
              <w:keepNext/>
              <w:spacing w:line="252" w:lineRule="auto" w:after="0"/>
            </w:pPr>
            <w:r>
              <w:rPr>
                <w:b/>
                <w:sz w:val="20"/>
              </w:rPr>
              <w:t>Brier</w:t>
            </w:r>
          </w:p>
        </w:tc>
        <w:tc>
          <w:tcPr>
            <w:tcW w:type="dxa" w:w="1872"/>
            <w:vAlign w:val="center"/>
          </w:tcPr>
          <w:p>
            <w:pPr>
              <w:keepNext/>
              <w:spacing w:line="252" w:lineRule="auto" w:after="0"/>
            </w:pPr>
            <w:r>
              <w:rPr>
                <w:b/>
                <w:sz w:val="20"/>
              </w:rPr>
              <w:t>AUROC</w:t>
            </w:r>
          </w:p>
        </w:tc>
      </w:tr>
      <w:tr>
        <w:trPr>
          <w:cantSplit/>
        </w:trPr>
        <w:tc>
          <w:tcPr>
            <w:tcW w:type="dxa" w:w="1152"/>
            <w:vAlign w:val="center"/>
          </w:tcPr>
          <w:p>
            <w:pPr>
              <w:keepNext/>
              <w:spacing w:line="252" w:lineRule="auto" w:after="0"/>
            </w:pPr>
            <w:r>
              <w:rPr>
                <w:b w:val="0"/>
                <w:sz w:val="20"/>
              </w:rPr>
              <w:t>0/0</w:t>
            </w:r>
          </w:p>
        </w:tc>
        <w:tc>
          <w:tcPr>
            <w:tcW w:type="dxa" w:w="3528"/>
            <w:vAlign w:val="center"/>
          </w:tcPr>
          <w:p>
            <w:pPr>
              <w:keepNext/>
              <w:spacing w:line="252" w:lineRule="auto" w:after="0"/>
            </w:pPr>
            <w:r>
              <w:rPr>
                <w:b w:val="0"/>
                <w:sz w:val="20"/>
              </w:rPr>
              <w:t>Clinical</w:t>
            </w:r>
          </w:p>
        </w:tc>
        <w:tc>
          <w:tcPr>
            <w:tcW w:type="dxa" w:w="1224"/>
            <w:vAlign w:val="center"/>
          </w:tcPr>
          <w:p>
            <w:pPr>
              <w:keepNext/>
              <w:spacing w:line="252" w:lineRule="auto" w:after="0"/>
            </w:pPr>
            <w:r>
              <w:rPr>
                <w:b w:val="0"/>
                <w:sz w:val="20"/>
              </w:rPr>
              <w:t>359/141</w:t>
            </w:r>
          </w:p>
        </w:tc>
        <w:tc>
          <w:tcPr>
            <w:tcW w:type="dxa" w:w="1656"/>
            <w:vAlign w:val="center"/>
          </w:tcPr>
          <w:p>
            <w:pPr>
              <w:keepNext/>
              <w:spacing w:line="252" w:lineRule="auto" w:after="0"/>
            </w:pPr>
            <w:r>
              <w:rPr>
                <w:b w:val="0"/>
                <w:sz w:val="20"/>
              </w:rPr>
              <w:t>0.24031</w:t>
            </w:r>
          </w:p>
        </w:tc>
        <w:tc>
          <w:tcPr>
            <w:tcW w:type="dxa" w:w="1872"/>
            <w:vAlign w:val="center"/>
          </w:tcPr>
          <w:p>
            <w:pPr>
              <w:keepNext/>
              <w:spacing w:line="252" w:lineRule="auto" w:after="0"/>
            </w:pPr>
            <w:r>
              <w:rPr>
                <w:b w:val="0"/>
                <w:sz w:val="20"/>
              </w:rPr>
              <w:t>0.472</w:t>
            </w:r>
          </w:p>
        </w:tc>
      </w:tr>
      <w:tr>
        <w:trPr>
          <w:cantSplit/>
        </w:trPr>
        <w:tc>
          <w:tcPr>
            <w:tcW w:type="dxa" w:w="1152"/>
            <w:vAlign w:val="center"/>
          </w:tcPr>
          <w:p>
            <w:pPr>
              <w:keepNext/>
              <w:spacing w:line="252" w:lineRule="auto" w:after="0"/>
            </w:pPr>
            <w:r>
              <w:rPr>
                <w:b w:val="0"/>
                <w:sz w:val="20"/>
              </w:rPr>
              <w:t>0/0</w:t>
            </w:r>
          </w:p>
        </w:tc>
        <w:tc>
          <w:tcPr>
            <w:tcW w:type="dxa" w:w="3528"/>
            <w:vAlign w:val="center"/>
          </w:tcPr>
          <w:p>
            <w:pPr>
              <w:keepNext/>
              <w:spacing w:line="252" w:lineRule="auto" w:after="0"/>
            </w:pPr>
            <w:r>
              <w:rPr>
                <w:b w:val="0"/>
                <w:sz w:val="20"/>
              </w:rPr>
              <w:t>MRI signal</w:t>
            </w:r>
          </w:p>
        </w:tc>
        <w:tc>
          <w:tcPr>
            <w:tcW w:type="dxa" w:w="1224"/>
            <w:vAlign w:val="center"/>
          </w:tcPr>
          <w:p>
            <w:pPr>
              <w:keepNext/>
              <w:spacing w:line="252" w:lineRule="auto" w:after="0"/>
            </w:pPr>
            <w:r>
              <w:rPr>
                <w:b w:val="0"/>
                <w:sz w:val="20"/>
              </w:rPr>
              <w:t>359/141</w:t>
            </w:r>
          </w:p>
        </w:tc>
        <w:tc>
          <w:tcPr>
            <w:tcW w:type="dxa" w:w="1656"/>
            <w:vAlign w:val="center"/>
          </w:tcPr>
          <w:p>
            <w:pPr>
              <w:keepNext/>
              <w:spacing w:line="252" w:lineRule="auto" w:after="0"/>
            </w:pPr>
            <w:r>
              <w:rPr>
                <w:b w:val="0"/>
                <w:sz w:val="20"/>
              </w:rPr>
              <w:t>0.24468</w:t>
            </w:r>
          </w:p>
        </w:tc>
        <w:tc>
          <w:tcPr>
            <w:tcW w:type="dxa" w:w="1872"/>
            <w:vAlign w:val="center"/>
          </w:tcPr>
          <w:p>
            <w:pPr>
              <w:keepNext/>
              <w:spacing w:line="252" w:lineRule="auto" w:after="0"/>
            </w:pPr>
            <w:r>
              <w:rPr>
                <w:b w:val="0"/>
                <w:sz w:val="20"/>
              </w:rPr>
              <w:t>0.521</w:t>
            </w:r>
          </w:p>
        </w:tc>
      </w:tr>
      <w:tr>
        <w:trPr>
          <w:cantSplit/>
        </w:trPr>
        <w:tc>
          <w:tcPr>
            <w:tcW w:type="dxa" w:w="1152"/>
            <w:vAlign w:val="center"/>
          </w:tcPr>
          <w:p>
            <w:pPr>
              <w:keepNext w:val="0"/>
              <w:spacing w:line="252" w:lineRule="auto" w:after="0"/>
            </w:pPr>
            <w:r>
              <w:rPr>
                <w:b w:val="0"/>
                <w:sz w:val="20"/>
              </w:rPr>
              <w:t>0/0</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359/141</w:t>
            </w:r>
          </w:p>
        </w:tc>
        <w:tc>
          <w:tcPr>
            <w:tcW w:type="dxa" w:w="1656"/>
            <w:vAlign w:val="center"/>
          </w:tcPr>
          <w:p>
            <w:pPr>
              <w:keepNext w:val="0"/>
              <w:spacing w:line="252" w:lineRule="auto" w:after="0"/>
            </w:pPr>
            <w:r>
              <w:rPr>
                <w:b w:val="0"/>
                <w:sz w:val="20"/>
              </w:rPr>
              <w:t>0.24158</w:t>
            </w:r>
          </w:p>
        </w:tc>
        <w:tc>
          <w:tcPr>
            <w:tcW w:type="dxa" w:w="1872"/>
            <w:vAlign w:val="center"/>
          </w:tcPr>
          <w:p>
            <w:pPr>
              <w:keepNext w:val="0"/>
              <w:spacing w:line="252" w:lineRule="auto" w:after="0"/>
            </w:pPr>
            <w:r>
              <w:rPr>
                <w:b w:val="0"/>
                <w:sz w:val="20"/>
              </w:rPr>
              <w:t>0.518</w:t>
            </w:r>
          </w:p>
        </w:tc>
      </w:tr>
      <w:tr>
        <w:trPr>
          <w:cantSplit/>
        </w:trPr>
        <w:tc>
          <w:tcPr>
            <w:tcW w:type="dxa" w:w="1152"/>
            <w:vAlign w:val="center"/>
          </w:tcPr>
          <w:p>
            <w:pPr>
              <w:keepNext w:val="0"/>
              <w:spacing w:line="252" w:lineRule="auto" w:after="0"/>
            </w:pPr>
            <w:r>
              <w:rPr>
                <w:b w:val="0"/>
                <w:sz w:val="20"/>
              </w:rPr>
              <w:t>0/1</w:t>
            </w:r>
          </w:p>
        </w:tc>
        <w:tc>
          <w:tcPr>
            <w:tcW w:type="dxa" w:w="3528"/>
            <w:vAlign w:val="center"/>
          </w:tcPr>
          <w:p>
            <w:pPr>
              <w:keepNext w:val="0"/>
              <w:spacing w:line="252" w:lineRule="auto" w:after="0"/>
            </w:pPr>
            <w:r>
              <w:rPr>
                <w:b w:val="0"/>
                <w:sz w:val="20"/>
              </w:rPr>
              <w:t>Clinical</w:t>
            </w:r>
          </w:p>
        </w:tc>
        <w:tc>
          <w:tcPr>
            <w:tcW w:type="dxa" w:w="1224"/>
            <w:vAlign w:val="center"/>
          </w:tcPr>
          <w:p>
            <w:pPr>
              <w:keepNext w:val="0"/>
              <w:spacing w:line="252" w:lineRule="auto" w:after="0"/>
            </w:pPr>
            <w:r>
              <w:rPr>
                <w:b w:val="0"/>
                <w:sz w:val="20"/>
              </w:rPr>
              <w:t>87/54</w:t>
            </w:r>
          </w:p>
        </w:tc>
        <w:tc>
          <w:tcPr>
            <w:tcW w:type="dxa" w:w="1656"/>
            <w:vAlign w:val="center"/>
          </w:tcPr>
          <w:p>
            <w:pPr>
              <w:keepNext w:val="0"/>
              <w:spacing w:line="252" w:lineRule="auto" w:after="0"/>
            </w:pPr>
            <w:r>
              <w:rPr>
                <w:b w:val="0"/>
                <w:sz w:val="20"/>
              </w:rPr>
              <w:t>0.24014</w:t>
            </w:r>
          </w:p>
        </w:tc>
        <w:tc>
          <w:tcPr>
            <w:tcW w:type="dxa" w:w="1872"/>
            <w:vAlign w:val="center"/>
          </w:tcPr>
          <w:p>
            <w:pPr>
              <w:keepNext w:val="0"/>
              <w:spacing w:line="252" w:lineRule="auto" w:after="0"/>
            </w:pPr>
            <w:r>
              <w:rPr>
                <w:b w:val="0"/>
                <w:sz w:val="20"/>
              </w:rPr>
              <w:t>0.430</w:t>
            </w:r>
          </w:p>
        </w:tc>
      </w:tr>
      <w:tr>
        <w:trPr>
          <w:cantSplit/>
        </w:trPr>
        <w:tc>
          <w:tcPr>
            <w:tcW w:type="dxa" w:w="1152"/>
            <w:vAlign w:val="center"/>
          </w:tcPr>
          <w:p>
            <w:pPr>
              <w:keepNext w:val="0"/>
              <w:spacing w:line="252" w:lineRule="auto" w:after="0"/>
            </w:pPr>
            <w:r>
              <w:rPr>
                <w:b w:val="0"/>
                <w:sz w:val="20"/>
              </w:rPr>
              <w:t>0/1</w:t>
            </w:r>
          </w:p>
        </w:tc>
        <w:tc>
          <w:tcPr>
            <w:tcW w:type="dxa" w:w="3528"/>
            <w:vAlign w:val="center"/>
          </w:tcPr>
          <w:p>
            <w:pPr>
              <w:keepNext w:val="0"/>
              <w:spacing w:line="252" w:lineRule="auto" w:after="0"/>
            </w:pPr>
            <w:r>
              <w:rPr>
                <w:b w:val="0"/>
                <w:sz w:val="20"/>
              </w:rPr>
              <w:t>MRI signal</w:t>
            </w:r>
          </w:p>
        </w:tc>
        <w:tc>
          <w:tcPr>
            <w:tcW w:type="dxa" w:w="1224"/>
            <w:vAlign w:val="center"/>
          </w:tcPr>
          <w:p>
            <w:pPr>
              <w:keepNext w:val="0"/>
              <w:spacing w:line="252" w:lineRule="auto" w:after="0"/>
            </w:pPr>
            <w:r>
              <w:rPr>
                <w:b w:val="0"/>
                <w:sz w:val="20"/>
              </w:rPr>
              <w:t>87/54</w:t>
            </w:r>
          </w:p>
        </w:tc>
        <w:tc>
          <w:tcPr>
            <w:tcW w:type="dxa" w:w="1656"/>
            <w:vAlign w:val="center"/>
          </w:tcPr>
          <w:p>
            <w:pPr>
              <w:keepNext w:val="0"/>
              <w:spacing w:line="252" w:lineRule="auto" w:after="0"/>
            </w:pPr>
            <w:r>
              <w:rPr>
                <w:b w:val="0"/>
                <w:sz w:val="20"/>
              </w:rPr>
              <w:t>0.31644</w:t>
            </w:r>
          </w:p>
        </w:tc>
        <w:tc>
          <w:tcPr>
            <w:tcW w:type="dxa" w:w="1872"/>
            <w:vAlign w:val="center"/>
          </w:tcPr>
          <w:p>
            <w:pPr>
              <w:keepNext w:val="0"/>
              <w:spacing w:line="252" w:lineRule="auto" w:after="0"/>
            </w:pPr>
            <w:r>
              <w:rPr>
                <w:b w:val="0"/>
                <w:sz w:val="20"/>
              </w:rPr>
              <w:t>0.542</w:t>
            </w:r>
          </w:p>
        </w:tc>
      </w:tr>
      <w:tr>
        <w:trPr>
          <w:cantSplit/>
        </w:trPr>
        <w:tc>
          <w:tcPr>
            <w:tcW w:type="dxa" w:w="1152"/>
            <w:vAlign w:val="center"/>
          </w:tcPr>
          <w:p>
            <w:pPr>
              <w:keepNext w:val="0"/>
              <w:spacing w:line="252" w:lineRule="auto" w:after="0"/>
            </w:pPr>
            <w:r>
              <w:rPr>
                <w:b w:val="0"/>
                <w:sz w:val="20"/>
              </w:rPr>
              <w:t>0/1</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87/54</w:t>
            </w:r>
          </w:p>
        </w:tc>
        <w:tc>
          <w:tcPr>
            <w:tcW w:type="dxa" w:w="1656"/>
            <w:vAlign w:val="center"/>
          </w:tcPr>
          <w:p>
            <w:pPr>
              <w:keepNext w:val="0"/>
              <w:spacing w:line="252" w:lineRule="auto" w:after="0"/>
            </w:pPr>
            <w:r>
              <w:rPr>
                <w:b w:val="0"/>
                <w:sz w:val="20"/>
              </w:rPr>
              <w:t>0.24696</w:t>
            </w:r>
          </w:p>
        </w:tc>
        <w:tc>
          <w:tcPr>
            <w:tcW w:type="dxa" w:w="1872"/>
            <w:vAlign w:val="center"/>
          </w:tcPr>
          <w:p>
            <w:pPr>
              <w:keepNext w:val="0"/>
              <w:spacing w:line="252" w:lineRule="auto" w:after="0"/>
            </w:pPr>
            <w:r>
              <w:rPr>
                <w:b w:val="0"/>
                <w:sz w:val="20"/>
              </w:rPr>
              <w:t>0.458</w:t>
            </w:r>
          </w:p>
        </w:tc>
      </w:tr>
      <w:tr>
        <w:trPr>
          <w:cantSplit/>
        </w:trPr>
        <w:tc>
          <w:tcPr>
            <w:tcW w:type="dxa" w:w="1152"/>
            <w:vAlign w:val="center"/>
          </w:tcPr>
          <w:p>
            <w:pPr>
              <w:keepNext w:val="0"/>
              <w:spacing w:line="252" w:lineRule="auto" w:after="0"/>
            </w:pPr>
            <w:r>
              <w:rPr>
                <w:b w:val="0"/>
                <w:sz w:val="20"/>
              </w:rPr>
              <w:t>1/0</w:t>
            </w:r>
          </w:p>
        </w:tc>
        <w:tc>
          <w:tcPr>
            <w:tcW w:type="dxa" w:w="3528"/>
            <w:vAlign w:val="center"/>
          </w:tcPr>
          <w:p>
            <w:pPr>
              <w:keepNext w:val="0"/>
              <w:spacing w:line="252" w:lineRule="auto" w:after="0"/>
            </w:pPr>
            <w:r>
              <w:rPr>
                <w:b w:val="0"/>
                <w:sz w:val="20"/>
              </w:rPr>
              <w:t>Clinical</w:t>
            </w:r>
          </w:p>
        </w:tc>
        <w:tc>
          <w:tcPr>
            <w:tcW w:type="dxa" w:w="1224"/>
            <w:vAlign w:val="center"/>
          </w:tcPr>
          <w:p>
            <w:pPr>
              <w:keepNext w:val="0"/>
              <w:spacing w:line="252" w:lineRule="auto" w:after="0"/>
            </w:pPr>
            <w:r>
              <w:rPr>
                <w:b w:val="0"/>
                <w:sz w:val="20"/>
              </w:rPr>
              <w:t>381/64</w:t>
            </w:r>
          </w:p>
        </w:tc>
        <w:tc>
          <w:tcPr>
            <w:tcW w:type="dxa" w:w="1656"/>
            <w:vAlign w:val="center"/>
          </w:tcPr>
          <w:p>
            <w:pPr>
              <w:keepNext w:val="0"/>
              <w:spacing w:line="252" w:lineRule="auto" w:after="0"/>
            </w:pPr>
            <w:r>
              <w:rPr>
                <w:b w:val="0"/>
                <w:sz w:val="20"/>
              </w:rPr>
              <w:t>0.14136</w:t>
            </w:r>
          </w:p>
        </w:tc>
        <w:tc>
          <w:tcPr>
            <w:tcW w:type="dxa" w:w="1872"/>
            <w:vAlign w:val="center"/>
          </w:tcPr>
          <w:p>
            <w:pPr>
              <w:keepNext w:val="0"/>
              <w:spacing w:line="252" w:lineRule="auto" w:after="0"/>
            </w:pPr>
            <w:r>
              <w:rPr>
                <w:b w:val="0"/>
                <w:sz w:val="20"/>
              </w:rPr>
              <w:t>0.459</w:t>
            </w:r>
          </w:p>
        </w:tc>
      </w:tr>
      <w:tr>
        <w:trPr>
          <w:cantSplit/>
        </w:trPr>
        <w:tc>
          <w:tcPr>
            <w:tcW w:type="dxa" w:w="1152"/>
            <w:vAlign w:val="center"/>
          </w:tcPr>
          <w:p>
            <w:pPr>
              <w:keepNext w:val="0"/>
              <w:spacing w:line="252" w:lineRule="auto" w:after="0"/>
            </w:pPr>
            <w:r>
              <w:rPr>
                <w:b w:val="0"/>
                <w:sz w:val="20"/>
              </w:rPr>
              <w:t>1/0</w:t>
            </w:r>
          </w:p>
        </w:tc>
        <w:tc>
          <w:tcPr>
            <w:tcW w:type="dxa" w:w="3528"/>
            <w:vAlign w:val="center"/>
          </w:tcPr>
          <w:p>
            <w:pPr>
              <w:keepNext w:val="0"/>
              <w:spacing w:line="252" w:lineRule="auto" w:after="0"/>
            </w:pPr>
            <w:r>
              <w:rPr>
                <w:b w:val="0"/>
                <w:sz w:val="20"/>
              </w:rPr>
              <w:t>MRI signal</w:t>
            </w:r>
          </w:p>
        </w:tc>
        <w:tc>
          <w:tcPr>
            <w:tcW w:type="dxa" w:w="1224"/>
            <w:vAlign w:val="center"/>
          </w:tcPr>
          <w:p>
            <w:pPr>
              <w:keepNext w:val="0"/>
              <w:spacing w:line="252" w:lineRule="auto" w:after="0"/>
            </w:pPr>
            <w:r>
              <w:rPr>
                <w:b w:val="0"/>
                <w:sz w:val="20"/>
              </w:rPr>
              <w:t>381/64</w:t>
            </w:r>
          </w:p>
        </w:tc>
        <w:tc>
          <w:tcPr>
            <w:tcW w:type="dxa" w:w="1656"/>
            <w:vAlign w:val="center"/>
          </w:tcPr>
          <w:p>
            <w:pPr>
              <w:keepNext w:val="0"/>
              <w:spacing w:line="252" w:lineRule="auto" w:after="0"/>
            </w:pPr>
            <w:r>
              <w:rPr>
                <w:b w:val="0"/>
                <w:sz w:val="20"/>
              </w:rPr>
              <w:t>0.16040</w:t>
            </w:r>
          </w:p>
        </w:tc>
        <w:tc>
          <w:tcPr>
            <w:tcW w:type="dxa" w:w="1872"/>
            <w:vAlign w:val="center"/>
          </w:tcPr>
          <w:p>
            <w:pPr>
              <w:keepNext w:val="0"/>
              <w:spacing w:line="252" w:lineRule="auto" w:after="0"/>
            </w:pPr>
            <w:r>
              <w:rPr>
                <w:b w:val="0"/>
                <w:sz w:val="20"/>
              </w:rPr>
              <w:t>0.581</w:t>
            </w:r>
          </w:p>
        </w:tc>
      </w:tr>
      <w:tr>
        <w:trPr>
          <w:cantSplit/>
        </w:trPr>
        <w:tc>
          <w:tcPr>
            <w:tcW w:type="dxa" w:w="1152"/>
            <w:vAlign w:val="center"/>
          </w:tcPr>
          <w:p>
            <w:pPr>
              <w:keepNext w:val="0"/>
              <w:spacing w:line="252" w:lineRule="auto" w:after="0"/>
            </w:pPr>
            <w:r>
              <w:rPr>
                <w:b w:val="0"/>
                <w:sz w:val="20"/>
              </w:rPr>
              <w:t>1/0</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381/64</w:t>
            </w:r>
          </w:p>
        </w:tc>
        <w:tc>
          <w:tcPr>
            <w:tcW w:type="dxa" w:w="1656"/>
            <w:vAlign w:val="center"/>
          </w:tcPr>
          <w:p>
            <w:pPr>
              <w:keepNext w:val="0"/>
              <w:spacing w:line="252" w:lineRule="auto" w:after="0"/>
            </w:pPr>
            <w:r>
              <w:rPr>
                <w:b w:val="0"/>
                <w:sz w:val="20"/>
              </w:rPr>
              <w:t>0.13822</w:t>
            </w:r>
          </w:p>
        </w:tc>
        <w:tc>
          <w:tcPr>
            <w:tcW w:type="dxa" w:w="1872"/>
            <w:vAlign w:val="center"/>
          </w:tcPr>
          <w:p>
            <w:pPr>
              <w:keepNext w:val="0"/>
              <w:spacing w:line="252" w:lineRule="auto" w:after="0"/>
            </w:pPr>
            <w:r>
              <w:rPr>
                <w:b w:val="0"/>
                <w:sz w:val="20"/>
              </w:rPr>
              <w:t>0.596</w:t>
            </w:r>
          </w:p>
        </w:tc>
      </w:tr>
      <w:tr>
        <w:trPr>
          <w:cantSplit/>
        </w:trPr>
        <w:tc>
          <w:tcPr>
            <w:tcW w:type="dxa" w:w="1152"/>
            <w:vAlign w:val="center"/>
          </w:tcPr>
          <w:p>
            <w:pPr>
              <w:keepNext w:val="0"/>
              <w:spacing w:line="252" w:lineRule="auto" w:after="0"/>
            </w:pPr>
            <w:r>
              <w:rPr>
                <w:b w:val="0"/>
                <w:sz w:val="20"/>
              </w:rPr>
              <w:t>1/1</w:t>
            </w:r>
          </w:p>
        </w:tc>
        <w:tc>
          <w:tcPr>
            <w:tcW w:type="dxa" w:w="3528"/>
            <w:vAlign w:val="center"/>
          </w:tcPr>
          <w:p>
            <w:pPr>
              <w:keepNext w:val="0"/>
              <w:spacing w:line="252" w:lineRule="auto" w:after="0"/>
            </w:pPr>
            <w:r>
              <w:rPr>
                <w:b w:val="0"/>
                <w:sz w:val="20"/>
              </w:rPr>
              <w:t>Clinical</w:t>
            </w:r>
          </w:p>
        </w:tc>
        <w:tc>
          <w:tcPr>
            <w:tcW w:type="dxa" w:w="1224"/>
            <w:vAlign w:val="center"/>
          </w:tcPr>
          <w:p>
            <w:pPr>
              <w:keepNext w:val="0"/>
              <w:spacing w:line="252" w:lineRule="auto" w:after="0"/>
            </w:pPr>
            <w:r>
              <w:rPr>
                <w:b w:val="0"/>
                <w:sz w:val="20"/>
              </w:rPr>
              <w:t>155/57</w:t>
            </w:r>
          </w:p>
        </w:tc>
        <w:tc>
          <w:tcPr>
            <w:tcW w:type="dxa" w:w="1656"/>
            <w:vAlign w:val="center"/>
          </w:tcPr>
          <w:p>
            <w:pPr>
              <w:keepNext w:val="0"/>
              <w:spacing w:line="252" w:lineRule="auto" w:after="0"/>
            </w:pPr>
            <w:r>
              <w:rPr>
                <w:b w:val="0"/>
                <w:sz w:val="20"/>
              </w:rPr>
              <w:t>0.23732</w:t>
            </w:r>
          </w:p>
        </w:tc>
        <w:tc>
          <w:tcPr>
            <w:tcW w:type="dxa" w:w="1872"/>
            <w:vAlign w:val="center"/>
          </w:tcPr>
          <w:p>
            <w:pPr>
              <w:keepNext w:val="0"/>
              <w:spacing w:line="252" w:lineRule="auto" w:after="0"/>
            </w:pPr>
            <w:r>
              <w:rPr>
                <w:b w:val="0"/>
                <w:sz w:val="20"/>
              </w:rPr>
              <w:t>0.421</w:t>
            </w:r>
          </w:p>
        </w:tc>
      </w:tr>
      <w:tr>
        <w:trPr>
          <w:cantSplit/>
        </w:trPr>
        <w:tc>
          <w:tcPr>
            <w:tcW w:type="dxa" w:w="1152"/>
            <w:vAlign w:val="center"/>
          </w:tcPr>
          <w:p>
            <w:pPr>
              <w:keepNext w:val="0"/>
              <w:spacing w:line="252" w:lineRule="auto" w:after="0"/>
            </w:pPr>
            <w:r>
              <w:rPr>
                <w:b w:val="0"/>
                <w:sz w:val="20"/>
              </w:rPr>
              <w:t>1/1</w:t>
            </w:r>
          </w:p>
        </w:tc>
        <w:tc>
          <w:tcPr>
            <w:tcW w:type="dxa" w:w="3528"/>
            <w:vAlign w:val="center"/>
          </w:tcPr>
          <w:p>
            <w:pPr>
              <w:keepNext w:val="0"/>
              <w:spacing w:line="252" w:lineRule="auto" w:after="0"/>
            </w:pPr>
            <w:r>
              <w:rPr>
                <w:b w:val="0"/>
                <w:sz w:val="20"/>
              </w:rPr>
              <w:t>MRI signal</w:t>
            </w:r>
          </w:p>
        </w:tc>
        <w:tc>
          <w:tcPr>
            <w:tcW w:type="dxa" w:w="1224"/>
            <w:vAlign w:val="center"/>
          </w:tcPr>
          <w:p>
            <w:pPr>
              <w:keepNext w:val="0"/>
              <w:spacing w:line="252" w:lineRule="auto" w:after="0"/>
            </w:pPr>
            <w:r>
              <w:rPr>
                <w:b w:val="0"/>
                <w:sz w:val="20"/>
              </w:rPr>
              <w:t>155/57</w:t>
            </w:r>
          </w:p>
        </w:tc>
        <w:tc>
          <w:tcPr>
            <w:tcW w:type="dxa" w:w="1656"/>
            <w:vAlign w:val="center"/>
          </w:tcPr>
          <w:p>
            <w:pPr>
              <w:keepNext w:val="0"/>
              <w:spacing w:line="252" w:lineRule="auto" w:after="0"/>
            </w:pPr>
            <w:r>
              <w:rPr>
                <w:b w:val="0"/>
                <w:sz w:val="20"/>
              </w:rPr>
              <w:t>0.23080</w:t>
            </w:r>
          </w:p>
        </w:tc>
        <w:tc>
          <w:tcPr>
            <w:tcW w:type="dxa" w:w="1872"/>
            <w:vAlign w:val="center"/>
          </w:tcPr>
          <w:p>
            <w:pPr>
              <w:keepNext w:val="0"/>
              <w:spacing w:line="252" w:lineRule="auto" w:after="0"/>
            </w:pPr>
            <w:r>
              <w:rPr>
                <w:b w:val="0"/>
                <w:sz w:val="20"/>
              </w:rPr>
              <w:t>0.606</w:t>
            </w:r>
          </w:p>
        </w:tc>
      </w:tr>
      <w:tr>
        <w:trPr>
          <w:cantSplit/>
        </w:trPr>
        <w:tc>
          <w:tcPr>
            <w:tcW w:type="dxa" w:w="1152"/>
            <w:vAlign w:val="center"/>
          </w:tcPr>
          <w:p>
            <w:pPr>
              <w:keepNext w:val="0"/>
              <w:spacing w:line="252" w:lineRule="auto" w:after="0"/>
            </w:pPr>
            <w:r>
              <w:rPr>
                <w:b w:val="0"/>
                <w:sz w:val="20"/>
              </w:rPr>
              <w:t>1/1</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155/57</w:t>
            </w:r>
          </w:p>
        </w:tc>
        <w:tc>
          <w:tcPr>
            <w:tcW w:type="dxa" w:w="1656"/>
            <w:vAlign w:val="center"/>
          </w:tcPr>
          <w:p>
            <w:pPr>
              <w:keepNext w:val="0"/>
              <w:spacing w:line="252" w:lineRule="auto" w:after="0"/>
            </w:pPr>
            <w:r>
              <w:rPr>
                <w:b w:val="0"/>
                <w:sz w:val="20"/>
              </w:rPr>
              <w:t>0.22762</w:t>
            </w:r>
          </w:p>
        </w:tc>
        <w:tc>
          <w:tcPr>
            <w:tcW w:type="dxa" w:w="1872"/>
            <w:vAlign w:val="center"/>
          </w:tcPr>
          <w:p>
            <w:pPr>
              <w:keepNext w:val="0"/>
              <w:spacing w:line="252" w:lineRule="auto" w:after="0"/>
            </w:pPr>
            <w:r>
              <w:rPr>
                <w:b w:val="0"/>
                <w:sz w:val="20"/>
              </w:rPr>
              <w:t>0.586</w:t>
            </w:r>
          </w:p>
        </w:tc>
      </w:tr>
    </w:tbl>
    <w:p>
      <w:r>
        <w:t>HR/HER2: 0=negative, 1=positive. AUROC is omitted unless n≥30 with at least five events and five nonevents. Exploratory subgroup point estimates are reported without confidence intervals; adequate power and fairness are not established by this rule. Five external patients with incomplete receptors are excluded from subgroup rows and retained in the primary analysis.</w:t>
      </w:r>
    </w:p>
    <w:p>
      <w:pPr>
        <w:keepNext/>
      </w:pPr>
      <w:r>
        <w:rPr>
          <w:b/>
        </w:rPr>
        <w:t>Table S9. External receptor subgroup metrics</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CellMar>
          <w:top w:w="75" w:type="dxa"/>
          <w:bottom w:w="75" w:type="dxa"/>
          <w:left w:w="80" w:type="dxa"/>
          <w:right w:w="80" w:type="dxa"/>
        </w:tblCellMar>
      </w:tblPr>
      <w:tblGrid>
        <w:gridCol w:w="1152"/>
        <w:gridCol w:w="3528"/>
        <w:gridCol w:w="1224"/>
        <w:gridCol w:w="1656"/>
        <w:gridCol w:w="1872"/>
      </w:tblGrid>
      <w:tr>
        <w:trPr>
          <w:cantSplit/>
          <w:tblHeader/>
        </w:trPr>
        <w:tc>
          <w:tcPr>
            <w:tcW w:type="dxa" w:w="1152"/>
            <w:vAlign w:val="center"/>
          </w:tcPr>
          <w:p>
            <w:pPr>
              <w:keepNext/>
              <w:spacing w:line="252" w:lineRule="auto" w:after="0"/>
            </w:pPr>
            <w:r>
              <w:rPr>
                <w:b/>
                <w:sz w:val="20"/>
              </w:rPr>
              <w:t>HR/HER2</w:t>
            </w:r>
          </w:p>
        </w:tc>
        <w:tc>
          <w:tcPr>
            <w:tcW w:type="dxa" w:w="3528"/>
            <w:vAlign w:val="center"/>
          </w:tcPr>
          <w:p>
            <w:pPr>
              <w:keepNext/>
              <w:spacing w:line="252" w:lineRule="auto" w:after="0"/>
            </w:pPr>
            <w:r>
              <w:rPr>
                <w:b/>
                <w:sz w:val="20"/>
              </w:rPr>
              <w:t>Model</w:t>
            </w:r>
          </w:p>
        </w:tc>
        <w:tc>
          <w:tcPr>
            <w:tcW w:type="dxa" w:w="1224"/>
            <w:vAlign w:val="center"/>
          </w:tcPr>
          <w:p>
            <w:pPr>
              <w:keepNext/>
              <w:spacing w:line="252" w:lineRule="auto" w:after="0"/>
            </w:pPr>
            <w:r>
              <w:rPr>
                <w:b/>
                <w:sz w:val="20"/>
              </w:rPr>
              <w:t>n/events</w:t>
            </w:r>
          </w:p>
        </w:tc>
        <w:tc>
          <w:tcPr>
            <w:tcW w:type="dxa" w:w="1656"/>
            <w:vAlign w:val="center"/>
          </w:tcPr>
          <w:p>
            <w:pPr>
              <w:keepNext/>
              <w:spacing w:line="252" w:lineRule="auto" w:after="0"/>
            </w:pPr>
            <w:r>
              <w:rPr>
                <w:b/>
                <w:sz w:val="20"/>
              </w:rPr>
              <w:t>Brier</w:t>
            </w:r>
          </w:p>
        </w:tc>
        <w:tc>
          <w:tcPr>
            <w:tcW w:type="dxa" w:w="1872"/>
            <w:vAlign w:val="center"/>
          </w:tcPr>
          <w:p>
            <w:pPr>
              <w:keepNext/>
              <w:spacing w:line="252" w:lineRule="auto" w:after="0"/>
            </w:pPr>
            <w:r>
              <w:rPr>
                <w:b/>
                <w:sz w:val="20"/>
              </w:rPr>
              <w:t>AUROC</w:t>
            </w:r>
          </w:p>
        </w:tc>
      </w:tr>
      <w:tr>
        <w:trPr>
          <w:cantSplit/>
        </w:trPr>
        <w:tc>
          <w:tcPr>
            <w:tcW w:type="dxa" w:w="1152"/>
            <w:vAlign w:val="center"/>
          </w:tcPr>
          <w:p>
            <w:pPr>
              <w:keepNext/>
              <w:spacing w:line="252" w:lineRule="auto" w:after="0"/>
            </w:pPr>
            <w:r>
              <w:rPr>
                <w:b w:val="0"/>
                <w:sz w:val="20"/>
              </w:rPr>
              <w:t>0/0</w:t>
            </w:r>
          </w:p>
        </w:tc>
        <w:tc>
          <w:tcPr>
            <w:tcW w:type="dxa" w:w="3528"/>
            <w:vAlign w:val="center"/>
          </w:tcPr>
          <w:p>
            <w:pPr>
              <w:keepNext/>
              <w:spacing w:line="252" w:lineRule="auto" w:after="0"/>
            </w:pPr>
            <w:r>
              <w:rPr>
                <w:b w:val="0"/>
                <w:sz w:val="20"/>
              </w:rPr>
              <w:t>Clinical</w:t>
            </w:r>
          </w:p>
        </w:tc>
        <w:tc>
          <w:tcPr>
            <w:tcW w:type="dxa" w:w="1224"/>
            <w:vAlign w:val="center"/>
          </w:tcPr>
          <w:p>
            <w:pPr>
              <w:keepNext/>
              <w:spacing w:line="252" w:lineRule="auto" w:after="0"/>
            </w:pPr>
            <w:r>
              <w:rPr>
                <w:b w:val="0"/>
                <w:sz w:val="20"/>
              </w:rPr>
              <w:t>42/14</w:t>
            </w:r>
          </w:p>
        </w:tc>
        <w:tc>
          <w:tcPr>
            <w:tcW w:type="dxa" w:w="1656"/>
            <w:vAlign w:val="center"/>
          </w:tcPr>
          <w:p>
            <w:pPr>
              <w:keepNext/>
              <w:spacing w:line="252" w:lineRule="auto" w:after="0"/>
            </w:pPr>
            <w:r>
              <w:rPr>
                <w:b w:val="0"/>
                <w:sz w:val="20"/>
              </w:rPr>
              <w:t>0.22260</w:t>
            </w:r>
          </w:p>
        </w:tc>
        <w:tc>
          <w:tcPr>
            <w:tcW w:type="dxa" w:w="1872"/>
            <w:vAlign w:val="center"/>
          </w:tcPr>
          <w:p>
            <w:pPr>
              <w:keepNext/>
              <w:spacing w:line="252" w:lineRule="auto" w:after="0"/>
            </w:pPr>
            <w:r>
              <w:rPr>
                <w:b w:val="0"/>
                <w:sz w:val="20"/>
              </w:rPr>
              <w:t>0.681</w:t>
            </w:r>
          </w:p>
        </w:tc>
      </w:tr>
      <w:tr>
        <w:trPr>
          <w:cantSplit/>
        </w:trPr>
        <w:tc>
          <w:tcPr>
            <w:tcW w:type="dxa" w:w="1152"/>
            <w:vAlign w:val="center"/>
          </w:tcPr>
          <w:p>
            <w:pPr>
              <w:keepNext/>
              <w:spacing w:line="252" w:lineRule="auto" w:after="0"/>
            </w:pPr>
            <w:r>
              <w:rPr>
                <w:b w:val="0"/>
                <w:sz w:val="20"/>
              </w:rPr>
              <w:t>0/0</w:t>
            </w:r>
          </w:p>
        </w:tc>
        <w:tc>
          <w:tcPr>
            <w:tcW w:type="dxa" w:w="3528"/>
            <w:vAlign w:val="center"/>
          </w:tcPr>
          <w:p>
            <w:pPr>
              <w:keepNext/>
              <w:spacing w:line="252" w:lineRule="auto" w:after="0"/>
            </w:pPr>
            <w:r>
              <w:rPr>
                <w:b w:val="0"/>
                <w:sz w:val="20"/>
              </w:rPr>
              <w:t>MRI signal</w:t>
            </w:r>
          </w:p>
        </w:tc>
        <w:tc>
          <w:tcPr>
            <w:tcW w:type="dxa" w:w="1224"/>
            <w:vAlign w:val="center"/>
          </w:tcPr>
          <w:p>
            <w:pPr>
              <w:keepNext/>
              <w:spacing w:line="252" w:lineRule="auto" w:after="0"/>
            </w:pPr>
            <w:r>
              <w:rPr>
                <w:b w:val="0"/>
                <w:sz w:val="20"/>
              </w:rPr>
              <w:t>42/14</w:t>
            </w:r>
          </w:p>
        </w:tc>
        <w:tc>
          <w:tcPr>
            <w:tcW w:type="dxa" w:w="1656"/>
            <w:vAlign w:val="center"/>
          </w:tcPr>
          <w:p>
            <w:pPr>
              <w:keepNext/>
              <w:spacing w:line="252" w:lineRule="auto" w:after="0"/>
            </w:pPr>
            <w:r>
              <w:rPr>
                <w:b w:val="0"/>
                <w:sz w:val="20"/>
              </w:rPr>
              <w:t>0.28715</w:t>
            </w:r>
          </w:p>
        </w:tc>
        <w:tc>
          <w:tcPr>
            <w:tcW w:type="dxa" w:w="1872"/>
            <w:vAlign w:val="center"/>
          </w:tcPr>
          <w:p>
            <w:pPr>
              <w:keepNext/>
              <w:spacing w:line="252" w:lineRule="auto" w:after="0"/>
            </w:pPr>
            <w:r>
              <w:rPr>
                <w:b w:val="0"/>
                <w:sz w:val="20"/>
              </w:rPr>
              <w:t>0.209</w:t>
            </w:r>
          </w:p>
        </w:tc>
      </w:tr>
      <w:tr>
        <w:trPr>
          <w:cantSplit/>
        </w:trPr>
        <w:tc>
          <w:tcPr>
            <w:tcW w:type="dxa" w:w="1152"/>
            <w:vAlign w:val="center"/>
          </w:tcPr>
          <w:p>
            <w:pPr>
              <w:keepNext w:val="0"/>
              <w:spacing w:line="252" w:lineRule="auto" w:after="0"/>
            </w:pPr>
            <w:r>
              <w:rPr>
                <w:b w:val="0"/>
                <w:sz w:val="20"/>
              </w:rPr>
              <w:t>0/0</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42/14</w:t>
            </w:r>
          </w:p>
        </w:tc>
        <w:tc>
          <w:tcPr>
            <w:tcW w:type="dxa" w:w="1656"/>
            <w:vAlign w:val="center"/>
          </w:tcPr>
          <w:p>
            <w:pPr>
              <w:keepNext w:val="0"/>
              <w:spacing w:line="252" w:lineRule="auto" w:after="0"/>
            </w:pPr>
            <w:r>
              <w:rPr>
                <w:b w:val="0"/>
                <w:sz w:val="20"/>
              </w:rPr>
              <w:t>0.26774</w:t>
            </w:r>
          </w:p>
        </w:tc>
        <w:tc>
          <w:tcPr>
            <w:tcW w:type="dxa" w:w="1872"/>
            <w:vAlign w:val="center"/>
          </w:tcPr>
          <w:p>
            <w:pPr>
              <w:keepNext w:val="0"/>
              <w:spacing w:line="252" w:lineRule="auto" w:after="0"/>
            </w:pPr>
            <w:r>
              <w:rPr>
                <w:b w:val="0"/>
                <w:sz w:val="20"/>
              </w:rPr>
              <w:t>0.199</w:t>
            </w:r>
          </w:p>
        </w:tc>
      </w:tr>
      <w:tr>
        <w:trPr>
          <w:cantSplit/>
        </w:trPr>
        <w:tc>
          <w:tcPr>
            <w:tcW w:type="dxa" w:w="1152"/>
            <w:vAlign w:val="center"/>
          </w:tcPr>
          <w:p>
            <w:pPr>
              <w:keepNext w:val="0"/>
              <w:spacing w:line="252" w:lineRule="auto" w:after="0"/>
            </w:pPr>
            <w:r>
              <w:rPr>
                <w:b w:val="0"/>
                <w:sz w:val="20"/>
              </w:rPr>
              <w:t>0/1</w:t>
            </w:r>
          </w:p>
        </w:tc>
        <w:tc>
          <w:tcPr>
            <w:tcW w:type="dxa" w:w="3528"/>
            <w:vAlign w:val="center"/>
          </w:tcPr>
          <w:p>
            <w:pPr>
              <w:keepNext w:val="0"/>
              <w:spacing w:line="252" w:lineRule="auto" w:after="0"/>
            </w:pPr>
            <w:r>
              <w:rPr>
                <w:b w:val="0"/>
                <w:sz w:val="20"/>
              </w:rPr>
              <w:t>Clinical</w:t>
            </w:r>
          </w:p>
        </w:tc>
        <w:tc>
          <w:tcPr>
            <w:tcW w:type="dxa" w:w="1224"/>
            <w:vAlign w:val="center"/>
          </w:tcPr>
          <w:p>
            <w:pPr>
              <w:keepNext w:val="0"/>
              <w:spacing w:line="252" w:lineRule="auto" w:after="0"/>
            </w:pPr>
            <w:r>
              <w:rPr>
                <w:b w:val="0"/>
                <w:sz w:val="20"/>
              </w:rPr>
              <w:t>29/18</w:t>
            </w:r>
          </w:p>
        </w:tc>
        <w:tc>
          <w:tcPr>
            <w:tcW w:type="dxa" w:w="1656"/>
            <w:vAlign w:val="center"/>
          </w:tcPr>
          <w:p>
            <w:pPr>
              <w:keepNext w:val="0"/>
              <w:spacing w:line="252" w:lineRule="auto" w:after="0"/>
            </w:pPr>
            <w:r>
              <w:rPr>
                <w:b w:val="0"/>
                <w:sz w:val="20"/>
              </w:rPr>
              <w:t>0.24376</w:t>
            </w:r>
          </w:p>
        </w:tc>
        <w:tc>
          <w:tcPr>
            <w:tcW w:type="dxa" w:w="1872"/>
            <w:vAlign w:val="center"/>
          </w:tcPr>
          <w:p>
            <w:pPr>
              <w:keepNext w:val="0"/>
              <w:spacing w:line="252" w:lineRule="auto" w:after="0"/>
            </w:pPr>
            <w:r>
              <w:rPr>
                <w:b w:val="0"/>
                <w:sz w:val="20"/>
              </w:rPr>
              <w:t>Not reported</w:t>
            </w:r>
          </w:p>
        </w:tc>
      </w:tr>
      <w:tr>
        <w:trPr>
          <w:cantSplit/>
        </w:trPr>
        <w:tc>
          <w:tcPr>
            <w:tcW w:type="dxa" w:w="1152"/>
            <w:vAlign w:val="center"/>
          </w:tcPr>
          <w:p>
            <w:pPr>
              <w:keepNext w:val="0"/>
              <w:spacing w:line="252" w:lineRule="auto" w:after="0"/>
            </w:pPr>
            <w:r>
              <w:rPr>
                <w:b w:val="0"/>
                <w:sz w:val="20"/>
              </w:rPr>
              <w:t>0/1</w:t>
            </w:r>
          </w:p>
        </w:tc>
        <w:tc>
          <w:tcPr>
            <w:tcW w:type="dxa" w:w="3528"/>
            <w:vAlign w:val="center"/>
          </w:tcPr>
          <w:p>
            <w:pPr>
              <w:keepNext w:val="0"/>
              <w:spacing w:line="252" w:lineRule="auto" w:after="0"/>
            </w:pPr>
            <w:r>
              <w:rPr>
                <w:b w:val="0"/>
                <w:sz w:val="20"/>
              </w:rPr>
              <w:t>MRI signal</w:t>
            </w:r>
          </w:p>
        </w:tc>
        <w:tc>
          <w:tcPr>
            <w:tcW w:type="dxa" w:w="1224"/>
            <w:vAlign w:val="center"/>
          </w:tcPr>
          <w:p>
            <w:pPr>
              <w:keepNext w:val="0"/>
              <w:spacing w:line="252" w:lineRule="auto" w:after="0"/>
            </w:pPr>
            <w:r>
              <w:rPr>
                <w:b w:val="0"/>
                <w:sz w:val="20"/>
              </w:rPr>
              <w:t>29/18</w:t>
            </w:r>
          </w:p>
        </w:tc>
        <w:tc>
          <w:tcPr>
            <w:tcW w:type="dxa" w:w="1656"/>
            <w:vAlign w:val="center"/>
          </w:tcPr>
          <w:p>
            <w:pPr>
              <w:keepNext w:val="0"/>
              <w:spacing w:line="252" w:lineRule="auto" w:after="0"/>
            </w:pPr>
            <w:r>
              <w:rPr>
                <w:b w:val="0"/>
                <w:sz w:val="20"/>
              </w:rPr>
              <w:t>0.27431</w:t>
            </w:r>
          </w:p>
        </w:tc>
        <w:tc>
          <w:tcPr>
            <w:tcW w:type="dxa" w:w="1872"/>
            <w:vAlign w:val="center"/>
          </w:tcPr>
          <w:p>
            <w:pPr>
              <w:keepNext w:val="0"/>
              <w:spacing w:line="252" w:lineRule="auto" w:after="0"/>
            </w:pPr>
            <w:r>
              <w:rPr>
                <w:b w:val="0"/>
                <w:sz w:val="20"/>
              </w:rPr>
              <w:t>Not reported</w:t>
            </w:r>
          </w:p>
        </w:tc>
      </w:tr>
      <w:tr>
        <w:trPr>
          <w:cantSplit/>
        </w:trPr>
        <w:tc>
          <w:tcPr>
            <w:tcW w:type="dxa" w:w="1152"/>
            <w:vAlign w:val="center"/>
          </w:tcPr>
          <w:p>
            <w:pPr>
              <w:keepNext w:val="0"/>
              <w:spacing w:line="252" w:lineRule="auto" w:after="0"/>
            </w:pPr>
            <w:r>
              <w:rPr>
                <w:b w:val="0"/>
                <w:sz w:val="20"/>
              </w:rPr>
              <w:t>0/1</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29/18</w:t>
            </w:r>
          </w:p>
        </w:tc>
        <w:tc>
          <w:tcPr>
            <w:tcW w:type="dxa" w:w="1656"/>
            <w:vAlign w:val="center"/>
          </w:tcPr>
          <w:p>
            <w:pPr>
              <w:keepNext w:val="0"/>
              <w:spacing w:line="252" w:lineRule="auto" w:after="0"/>
            </w:pPr>
            <w:r>
              <w:rPr>
                <w:b w:val="0"/>
                <w:sz w:val="20"/>
              </w:rPr>
              <w:t>0.24052</w:t>
            </w:r>
          </w:p>
        </w:tc>
        <w:tc>
          <w:tcPr>
            <w:tcW w:type="dxa" w:w="1872"/>
            <w:vAlign w:val="center"/>
          </w:tcPr>
          <w:p>
            <w:pPr>
              <w:keepNext w:val="0"/>
              <w:spacing w:line="252" w:lineRule="auto" w:after="0"/>
            </w:pPr>
            <w:r>
              <w:rPr>
                <w:b w:val="0"/>
                <w:sz w:val="20"/>
              </w:rPr>
              <w:t>Not reported</w:t>
            </w:r>
          </w:p>
        </w:tc>
      </w:tr>
      <w:tr>
        <w:trPr>
          <w:cantSplit/>
        </w:trPr>
        <w:tc>
          <w:tcPr>
            <w:tcW w:type="dxa" w:w="1152"/>
            <w:vAlign w:val="center"/>
          </w:tcPr>
          <w:p>
            <w:pPr>
              <w:keepNext w:val="0"/>
              <w:spacing w:line="252" w:lineRule="auto" w:after="0"/>
            </w:pPr>
            <w:r>
              <w:rPr>
                <w:b w:val="0"/>
                <w:sz w:val="20"/>
              </w:rPr>
              <w:t>1/0</w:t>
            </w:r>
          </w:p>
        </w:tc>
        <w:tc>
          <w:tcPr>
            <w:tcW w:type="dxa" w:w="3528"/>
            <w:vAlign w:val="center"/>
          </w:tcPr>
          <w:p>
            <w:pPr>
              <w:keepNext w:val="0"/>
              <w:spacing w:line="252" w:lineRule="auto" w:after="0"/>
            </w:pPr>
            <w:r>
              <w:rPr>
                <w:b w:val="0"/>
                <w:sz w:val="20"/>
              </w:rPr>
              <w:t>Clinical</w:t>
            </w:r>
          </w:p>
        </w:tc>
        <w:tc>
          <w:tcPr>
            <w:tcW w:type="dxa" w:w="1224"/>
            <w:vAlign w:val="center"/>
          </w:tcPr>
          <w:p>
            <w:pPr>
              <w:keepNext w:val="0"/>
              <w:spacing w:line="252" w:lineRule="auto" w:after="0"/>
            </w:pPr>
            <w:r>
              <w:rPr>
                <w:b w:val="0"/>
                <w:sz w:val="20"/>
              </w:rPr>
              <w:t>66/7</w:t>
            </w:r>
          </w:p>
        </w:tc>
        <w:tc>
          <w:tcPr>
            <w:tcW w:type="dxa" w:w="1656"/>
            <w:vAlign w:val="center"/>
          </w:tcPr>
          <w:p>
            <w:pPr>
              <w:keepNext w:val="0"/>
              <w:spacing w:line="252" w:lineRule="auto" w:after="0"/>
            </w:pPr>
            <w:r>
              <w:rPr>
                <w:b w:val="0"/>
                <w:sz w:val="20"/>
              </w:rPr>
              <w:t>0.10239</w:t>
            </w:r>
          </w:p>
        </w:tc>
        <w:tc>
          <w:tcPr>
            <w:tcW w:type="dxa" w:w="1872"/>
            <w:vAlign w:val="center"/>
          </w:tcPr>
          <w:p>
            <w:pPr>
              <w:keepNext w:val="0"/>
              <w:spacing w:line="252" w:lineRule="auto" w:after="0"/>
            </w:pPr>
            <w:r>
              <w:rPr>
                <w:b w:val="0"/>
                <w:sz w:val="20"/>
              </w:rPr>
              <w:t>0.660</w:t>
            </w:r>
          </w:p>
        </w:tc>
      </w:tr>
      <w:tr>
        <w:trPr>
          <w:cantSplit/>
        </w:trPr>
        <w:tc>
          <w:tcPr>
            <w:tcW w:type="dxa" w:w="1152"/>
            <w:vAlign w:val="center"/>
          </w:tcPr>
          <w:p>
            <w:pPr>
              <w:keepNext w:val="0"/>
              <w:spacing w:line="252" w:lineRule="auto" w:after="0"/>
            </w:pPr>
            <w:r>
              <w:rPr>
                <w:b w:val="0"/>
                <w:sz w:val="20"/>
              </w:rPr>
              <w:t>1/0</w:t>
            </w:r>
          </w:p>
        </w:tc>
        <w:tc>
          <w:tcPr>
            <w:tcW w:type="dxa" w:w="3528"/>
            <w:vAlign w:val="center"/>
          </w:tcPr>
          <w:p>
            <w:pPr>
              <w:keepNext w:val="0"/>
              <w:spacing w:line="252" w:lineRule="auto" w:after="0"/>
            </w:pPr>
            <w:r>
              <w:rPr>
                <w:b w:val="0"/>
                <w:sz w:val="20"/>
              </w:rPr>
              <w:t>MRI signal</w:t>
            </w:r>
          </w:p>
        </w:tc>
        <w:tc>
          <w:tcPr>
            <w:tcW w:type="dxa" w:w="1224"/>
            <w:vAlign w:val="center"/>
          </w:tcPr>
          <w:p>
            <w:pPr>
              <w:keepNext w:val="0"/>
              <w:spacing w:line="252" w:lineRule="auto" w:after="0"/>
            </w:pPr>
            <w:r>
              <w:rPr>
                <w:b w:val="0"/>
                <w:sz w:val="20"/>
              </w:rPr>
              <w:t>66/7</w:t>
            </w:r>
          </w:p>
        </w:tc>
        <w:tc>
          <w:tcPr>
            <w:tcW w:type="dxa" w:w="1656"/>
            <w:vAlign w:val="center"/>
          </w:tcPr>
          <w:p>
            <w:pPr>
              <w:keepNext w:val="0"/>
              <w:spacing w:line="252" w:lineRule="auto" w:after="0"/>
            </w:pPr>
            <w:r>
              <w:rPr>
                <w:b w:val="0"/>
                <w:sz w:val="20"/>
              </w:rPr>
              <w:t>0.15657</w:t>
            </w:r>
          </w:p>
        </w:tc>
        <w:tc>
          <w:tcPr>
            <w:tcW w:type="dxa" w:w="1872"/>
            <w:vAlign w:val="center"/>
          </w:tcPr>
          <w:p>
            <w:pPr>
              <w:keepNext w:val="0"/>
              <w:spacing w:line="252" w:lineRule="auto" w:after="0"/>
            </w:pPr>
            <w:r>
              <w:rPr>
                <w:b w:val="0"/>
                <w:sz w:val="20"/>
              </w:rPr>
              <w:t>0.550</w:t>
            </w:r>
          </w:p>
        </w:tc>
      </w:tr>
      <w:tr>
        <w:trPr>
          <w:cantSplit/>
        </w:trPr>
        <w:tc>
          <w:tcPr>
            <w:tcW w:type="dxa" w:w="1152"/>
            <w:vAlign w:val="center"/>
          </w:tcPr>
          <w:p>
            <w:pPr>
              <w:keepNext w:val="0"/>
              <w:spacing w:line="252" w:lineRule="auto" w:after="0"/>
            </w:pPr>
            <w:r>
              <w:rPr>
                <w:b w:val="0"/>
                <w:sz w:val="20"/>
              </w:rPr>
              <w:t>1/0</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66/7</w:t>
            </w:r>
          </w:p>
        </w:tc>
        <w:tc>
          <w:tcPr>
            <w:tcW w:type="dxa" w:w="1656"/>
            <w:vAlign w:val="center"/>
          </w:tcPr>
          <w:p>
            <w:pPr>
              <w:keepNext w:val="0"/>
              <w:spacing w:line="252" w:lineRule="auto" w:after="0"/>
            </w:pPr>
            <w:r>
              <w:rPr>
                <w:b w:val="0"/>
                <w:sz w:val="20"/>
              </w:rPr>
              <w:t>0.10474</w:t>
            </w:r>
          </w:p>
        </w:tc>
        <w:tc>
          <w:tcPr>
            <w:tcW w:type="dxa" w:w="1872"/>
            <w:vAlign w:val="center"/>
          </w:tcPr>
          <w:p>
            <w:pPr>
              <w:keepNext w:val="0"/>
              <w:spacing w:line="252" w:lineRule="auto" w:after="0"/>
            </w:pPr>
            <w:r>
              <w:rPr>
                <w:b w:val="0"/>
                <w:sz w:val="20"/>
              </w:rPr>
              <w:t>0.576</w:t>
            </w:r>
          </w:p>
        </w:tc>
      </w:tr>
      <w:tr>
        <w:trPr>
          <w:cantSplit/>
        </w:trPr>
        <w:tc>
          <w:tcPr>
            <w:tcW w:type="dxa" w:w="1152"/>
            <w:vAlign w:val="center"/>
          </w:tcPr>
          <w:p>
            <w:pPr>
              <w:keepNext w:val="0"/>
              <w:spacing w:line="252" w:lineRule="auto" w:after="0"/>
            </w:pPr>
            <w:r>
              <w:rPr>
                <w:b w:val="0"/>
                <w:sz w:val="20"/>
              </w:rPr>
              <w:t>1/1</w:t>
            </w:r>
          </w:p>
        </w:tc>
        <w:tc>
          <w:tcPr>
            <w:tcW w:type="dxa" w:w="3528"/>
            <w:vAlign w:val="center"/>
          </w:tcPr>
          <w:p>
            <w:pPr>
              <w:keepNext w:val="0"/>
              <w:spacing w:line="252" w:lineRule="auto" w:after="0"/>
            </w:pPr>
            <w:r>
              <w:rPr>
                <w:b w:val="0"/>
                <w:sz w:val="20"/>
              </w:rPr>
              <w:t>Clinical</w:t>
            </w:r>
          </w:p>
        </w:tc>
        <w:tc>
          <w:tcPr>
            <w:tcW w:type="dxa" w:w="1224"/>
            <w:vAlign w:val="center"/>
          </w:tcPr>
          <w:p>
            <w:pPr>
              <w:keepNext w:val="0"/>
              <w:spacing w:line="252" w:lineRule="auto" w:after="0"/>
            </w:pPr>
            <w:r>
              <w:rPr>
                <w:b w:val="0"/>
                <w:sz w:val="20"/>
              </w:rPr>
              <w:t>24/7</w:t>
            </w:r>
          </w:p>
        </w:tc>
        <w:tc>
          <w:tcPr>
            <w:tcW w:type="dxa" w:w="1656"/>
            <w:vAlign w:val="center"/>
          </w:tcPr>
          <w:p>
            <w:pPr>
              <w:keepNext w:val="0"/>
              <w:spacing w:line="252" w:lineRule="auto" w:after="0"/>
            </w:pPr>
            <w:r>
              <w:rPr>
                <w:b w:val="0"/>
                <w:sz w:val="20"/>
              </w:rPr>
              <w:t>0.21189</w:t>
            </w:r>
          </w:p>
        </w:tc>
        <w:tc>
          <w:tcPr>
            <w:tcW w:type="dxa" w:w="1872"/>
            <w:vAlign w:val="center"/>
          </w:tcPr>
          <w:p>
            <w:pPr>
              <w:keepNext w:val="0"/>
              <w:spacing w:line="252" w:lineRule="auto" w:after="0"/>
            </w:pPr>
            <w:r>
              <w:rPr>
                <w:b w:val="0"/>
                <w:sz w:val="20"/>
              </w:rPr>
              <w:t>Not reported</w:t>
            </w:r>
          </w:p>
        </w:tc>
      </w:tr>
      <w:tr>
        <w:trPr>
          <w:cantSplit/>
        </w:trPr>
        <w:tc>
          <w:tcPr>
            <w:tcW w:type="dxa" w:w="1152"/>
            <w:vAlign w:val="center"/>
          </w:tcPr>
          <w:p>
            <w:pPr>
              <w:keepNext w:val="0"/>
              <w:spacing w:line="252" w:lineRule="auto" w:after="0"/>
            </w:pPr>
            <w:r>
              <w:rPr>
                <w:b w:val="0"/>
                <w:sz w:val="20"/>
              </w:rPr>
              <w:t>1/1</w:t>
            </w:r>
          </w:p>
        </w:tc>
        <w:tc>
          <w:tcPr>
            <w:tcW w:type="dxa" w:w="3528"/>
            <w:vAlign w:val="center"/>
          </w:tcPr>
          <w:p>
            <w:pPr>
              <w:keepNext w:val="0"/>
              <w:spacing w:line="252" w:lineRule="auto" w:after="0"/>
            </w:pPr>
            <w:r>
              <w:rPr>
                <w:b w:val="0"/>
                <w:sz w:val="20"/>
              </w:rPr>
              <w:t>MRI signal</w:t>
            </w:r>
          </w:p>
        </w:tc>
        <w:tc>
          <w:tcPr>
            <w:tcW w:type="dxa" w:w="1224"/>
            <w:vAlign w:val="center"/>
          </w:tcPr>
          <w:p>
            <w:pPr>
              <w:keepNext w:val="0"/>
              <w:spacing w:line="252" w:lineRule="auto" w:after="0"/>
            </w:pPr>
            <w:r>
              <w:rPr>
                <w:b w:val="0"/>
                <w:sz w:val="20"/>
              </w:rPr>
              <w:t>24/7</w:t>
            </w:r>
          </w:p>
        </w:tc>
        <w:tc>
          <w:tcPr>
            <w:tcW w:type="dxa" w:w="1656"/>
            <w:vAlign w:val="center"/>
          </w:tcPr>
          <w:p>
            <w:pPr>
              <w:keepNext w:val="0"/>
              <w:spacing w:line="252" w:lineRule="auto" w:after="0"/>
            </w:pPr>
            <w:r>
              <w:rPr>
                <w:b w:val="0"/>
                <w:sz w:val="20"/>
              </w:rPr>
              <w:t>0.21704</w:t>
            </w:r>
          </w:p>
        </w:tc>
        <w:tc>
          <w:tcPr>
            <w:tcW w:type="dxa" w:w="1872"/>
            <w:vAlign w:val="center"/>
          </w:tcPr>
          <w:p>
            <w:pPr>
              <w:keepNext w:val="0"/>
              <w:spacing w:line="252" w:lineRule="auto" w:after="0"/>
            </w:pPr>
            <w:r>
              <w:rPr>
                <w:b w:val="0"/>
                <w:sz w:val="20"/>
              </w:rPr>
              <w:t>Not reported</w:t>
            </w:r>
          </w:p>
        </w:tc>
      </w:tr>
      <w:tr>
        <w:trPr>
          <w:cantSplit/>
        </w:trPr>
        <w:tc>
          <w:tcPr>
            <w:tcW w:type="dxa" w:w="1152"/>
            <w:vAlign w:val="center"/>
          </w:tcPr>
          <w:p>
            <w:pPr>
              <w:keepNext w:val="0"/>
              <w:spacing w:line="252" w:lineRule="auto" w:after="0"/>
            </w:pPr>
            <w:r>
              <w:rPr>
                <w:b w:val="0"/>
                <w:sz w:val="20"/>
              </w:rPr>
              <w:t>1/1</w:t>
            </w:r>
          </w:p>
        </w:tc>
        <w:tc>
          <w:tcPr>
            <w:tcW w:type="dxa" w:w="3528"/>
            <w:vAlign w:val="center"/>
          </w:tcPr>
          <w:p>
            <w:pPr>
              <w:keepNext w:val="0"/>
              <w:spacing w:line="252" w:lineRule="auto" w:after="0"/>
            </w:pPr>
            <w:r>
              <w:rPr>
                <w:b w:val="0"/>
                <w:sz w:val="20"/>
              </w:rPr>
              <w:t>Clinical + MRI signal</w:t>
            </w:r>
          </w:p>
        </w:tc>
        <w:tc>
          <w:tcPr>
            <w:tcW w:type="dxa" w:w="1224"/>
            <w:vAlign w:val="center"/>
          </w:tcPr>
          <w:p>
            <w:pPr>
              <w:keepNext w:val="0"/>
              <w:spacing w:line="252" w:lineRule="auto" w:after="0"/>
            </w:pPr>
            <w:r>
              <w:rPr>
                <w:b w:val="0"/>
                <w:sz w:val="20"/>
              </w:rPr>
              <w:t>24/7</w:t>
            </w:r>
          </w:p>
        </w:tc>
        <w:tc>
          <w:tcPr>
            <w:tcW w:type="dxa" w:w="1656"/>
            <w:vAlign w:val="center"/>
          </w:tcPr>
          <w:p>
            <w:pPr>
              <w:keepNext w:val="0"/>
              <w:spacing w:line="252" w:lineRule="auto" w:after="0"/>
            </w:pPr>
            <w:r>
              <w:rPr>
                <w:b w:val="0"/>
                <w:sz w:val="20"/>
              </w:rPr>
              <w:t>0.20257</w:t>
            </w:r>
          </w:p>
        </w:tc>
        <w:tc>
          <w:tcPr>
            <w:tcW w:type="dxa" w:w="1872"/>
            <w:vAlign w:val="center"/>
          </w:tcPr>
          <w:p>
            <w:pPr>
              <w:keepNext w:val="0"/>
              <w:spacing w:line="252" w:lineRule="auto" w:after="0"/>
            </w:pPr>
            <w:r>
              <w:rPr>
                <w:b w:val="0"/>
                <w:sz w:val="20"/>
              </w:rPr>
              <w:t>Not reported</w:t>
            </w:r>
          </w:p>
        </w:tc>
      </w:tr>
    </w:tbl>
    <w:p>
      <w:r>
        <w:t>HR/HER2: 0=negative, 1=positive. AUROC is omitted unless n≥30 with at least five events and five nonevents. Exploratory subgroup point estimates are reported without confidence intervals; adequate power and fairness are not established by this rule. Five external patients with incomplete receptors are excluded from subgroup rows and retained in the primary analysis.</w:t>
      </w:r>
    </w:p>
    <w:p>
      <w:pPr>
        <w:pStyle w:val="Heading1"/>
      </w:pPr>
      <w:r>
        <w:t>S8 Calibration in the conventional MRI subset</w:t>
      </w:r>
    </w:p>
    <w:p>
      <w:pPr>
        <w:pStyle w:val="Heading2"/>
      </w:pPr>
      <w:r>
        <w:t>Figure S1. Internal calibration of clinical and conventional MRI models</w:t>
      </w:r>
    </w:p>
    <w:p>
      <w:pPr>
        <w:keepNext/>
      </w:pPr>
      <w:r>
        <w:drawing>
          <wp:inline xmlns:a="http://schemas.openxmlformats.org/drawingml/2006/main" xmlns:pic="http://schemas.openxmlformats.org/drawingml/2006/picture">
            <wp:extent cx="5669280" cy="2935876"/>
            <wp:docPr id="1" name="Picture 1"/>
            <wp:cNvGraphicFramePr>
              <a:graphicFrameLocks noChangeAspect="1"/>
            </wp:cNvGraphicFramePr>
            <a:graphic>
              <a:graphicData uri="http://schemas.openxmlformats.org/drawingml/2006/picture">
                <pic:pic>
                  <pic:nvPicPr>
                    <pic:cNvPr id="0" name="Figure_1_Internal_Probability_Calibration.png"/>
                    <pic:cNvPicPr/>
                  </pic:nvPicPr>
                  <pic:blipFill>
                    <a:blip r:embed="rId10"/>
                    <a:stretch>
                      <a:fillRect/>
                    </a:stretch>
                  </pic:blipFill>
                  <pic:spPr>
                    <a:xfrm>
                      <a:off x="0" y="0"/>
                      <a:ext cx="5669280" cy="2935876"/>
                    </a:xfrm>
                    <a:prstGeom prst="rect"/>
                  </pic:spPr>
                </pic:pic>
              </a:graphicData>
            </a:graphic>
          </wp:inline>
        </w:drawing>
      </w:r>
    </w:p>
    <w:p>
      <w:r>
        <w:t>Clinical and conventional MRI comparators are shown for the same 384-patient subset. Mean outer-fold predictions and observed frequencies are plotted in five groups with ties retained; 95% Wilson intervals are shown by bars. Prediction distributions are displayed below. Overlapping-training-set dependence and individual probability uncertainty are not represented. The full 982-patient signal models are not evaluated here.</w:t>
      </w:r>
    </w:p>
    <w:sectPr w:rsidR="00FC693F" w:rsidRPr="0006063C" w:rsidSect="00034616">
      <w:footerReference w:type="default" r:id="rId9"/>
      <w:pgSz w:w="11909" w:h="16834"/>
      <w:pgMar w:top="1152" w:right="1238" w:bottom="1152" w:left="1238"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0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200" w:after="80" w:line="276" w:lineRule="auto"/>
      <w:outlineLvl w:val="0"/>
    </w:pPr>
    <w:rPr>
      <w:rFonts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pageBreakBefore w:val="0"/>
      <w:spacing w:before="200" w:after="80" w:line="276" w:lineRule="auto"/>
      <w:outlineLvl w:val="1"/>
    </w:pPr>
    <w:rPr>
      <w:rFonts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80" w:line="276" w:lineRule="auto"/>
      <w:outlineLvl w:val="2"/>
    </w:pPr>
    <w:rPr>
      <w:rFonts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80" w:line="276" w:lineRule="auto" w:before="200"/>
      <w:contextualSpacing/>
    </w:pPr>
    <w:rPr>
      <w:rFonts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methods and results</dc:title>
  <dc:subject>BMC Medical Imaging research article submission</dc:subject>
  <dc:creator>Tianyi Yu</dc:creator>
  <cp:keywords>breast MRI; pCR; external validation; probability calibration</cp:keywords>
  <dc:description>generated by python-docx</dc:description>
  <cp:lastModifiedBy>Tianyi Yu</cp:lastModifiedBy>
  <cp:revision>1</cp:revision>
  <dcterms:created xsi:type="dcterms:W3CDTF">2013-12-23T23:15:00Z</dcterms:created>
  <dcterms:modified xsi:type="dcterms:W3CDTF">2013-12-23T23:15:00Z</dcterms:modified>
  <cp:category/>
</cp:coreProperties>
</file>