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TRIPOD AI reporting map</w:t>
      </w:r>
    </w:p>
    <w:p>
      <w:r>
        <w:t>Development and external evaluation of MRI and clinical models for pathological complete response in breast cancer</w:t>
      </w:r>
    </w:p>
    <w:p>
      <w:r>
        <w:t>Tianyi Yu</w:t>
      </w:r>
    </w:p>
    <w:p>
      <w:r>
        <w:t>This author-prepared map follows the item identifiers in the TRIPOD+AI checklist dated 11 January 2024. Topic labels are abbreviated; the official checklist remains authoritative. Locations use stable section and table names. “Partial”, “unavailable” and “not assessed” identify limits rather than claiming that those procedures were completed.</w:t>
      </w:r>
    </w:p>
    <w:p>
      <w:r>
        <w:t>Source: Collins GS, Moons KGM, Dhiman P, et al. TRIPOD+AI statement. BMJ. 2024;385:e078378. https://doi.org/10.1136/bmj-2023-078378. Official checklist: https://www.tripod-statement.org/wp-content/uploads/2019/12/TRIPODAI_checklist.pdf. Accessed 14 September 2026.</w:t>
      </w:r>
    </w:p>
    <w:p>
      <w:pPr>
        <w:keepNext/>
      </w:pPr>
      <w:r>
        <w:rPr>
          <w:b/>
        </w:rPr>
        <w:t>Reporting locations and limitations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80" w:type="dxa"/>
          <w:right w:w="80" w:type="dxa"/>
        </w:tblCellMar>
      </w:tblPr>
      <w:tblGrid>
        <w:gridCol w:w="720"/>
        <w:gridCol w:w="1224"/>
        <w:gridCol w:w="7488"/>
      </w:tblGrid>
      <w:tr>
        <w:trPr>
          <w:cantSplit/>
          <w:tblHeader/>
        </w:trPr>
        <w:tc>
          <w:tcPr>
            <w:tcW w:type="dxa" w:w="720"/>
            <w:vAlign w:val="center"/>
          </w:tcPr>
          <w:p>
            <w:pPr>
              <w:keepNext/>
              <w:spacing w:line="252" w:lineRule="auto" w:after="0"/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type="dxa" w:w="1224"/>
            <w:vAlign w:val="center"/>
          </w:tcPr>
          <w:p>
            <w:pPr>
              <w:keepNext/>
              <w:spacing w:line="252" w:lineRule="auto" w:after="0"/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type="dxa" w:w="7488"/>
            <w:vAlign w:val="center"/>
          </w:tcPr>
          <w:p>
            <w:pPr>
              <w:keepNext/>
              <w:spacing w:line="252" w:lineRule="auto" w:after="0"/>
            </w:pPr>
            <w:r>
              <w:rPr>
                <w:b/>
                <w:sz w:val="20"/>
              </w:rPr>
              <w:t>Location or status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/>
              <w:spacing w:line="252" w:lineRule="auto"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224"/>
            <w:vAlign w:val="center"/>
          </w:tcPr>
          <w:p>
            <w:pPr>
              <w:keepNext/>
              <w:spacing w:line="252" w:lineRule="auto" w:after="0"/>
            </w:pPr>
            <w:r>
              <w:rPr>
                <w:b w:val="0"/>
                <w:sz w:val="20"/>
              </w:rPr>
              <w:t>Title</w:t>
            </w:r>
          </w:p>
        </w:tc>
        <w:tc>
          <w:tcPr>
            <w:tcW w:type="dxa" w:w="7488"/>
            <w:vAlign w:val="center"/>
          </w:tcPr>
          <w:p>
            <w:pPr>
              <w:keepNext/>
              <w:spacing w:line="252" w:lineRule="auto" w:after="0"/>
            </w:pPr>
            <w:r>
              <w:rPr>
                <w:b w:val="0"/>
                <w:sz w:val="20"/>
              </w:rPr>
              <w:t>Title specifies development, external evaluation, population and outcome.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/>
              <w:spacing w:line="252" w:lineRule="auto"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224"/>
            <w:vAlign w:val="center"/>
          </w:tcPr>
          <w:p>
            <w:pPr>
              <w:keepNext/>
              <w:spacing w:line="252" w:lineRule="auto" w:after="0"/>
            </w:pPr>
            <w:r>
              <w:rPr>
                <w:b w:val="0"/>
                <w:sz w:val="20"/>
              </w:rPr>
              <w:t>Abstract</w:t>
            </w:r>
          </w:p>
        </w:tc>
        <w:tc>
          <w:tcPr>
            <w:tcW w:type="dxa" w:w="7488"/>
            <w:vAlign w:val="center"/>
          </w:tcPr>
          <w:p>
            <w:pPr>
              <w:keepNext/>
              <w:spacing w:line="252" w:lineRule="auto" w:after="0"/>
            </w:pPr>
            <w:r>
              <w:rPr>
                <w:b w:val="0"/>
                <w:sz w:val="20"/>
              </w:rPr>
              <w:t>Structured abstract provides cohorts, methods, main estimates and limitations.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3a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Context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Background, paragraphs 1–6; clinical rationale, existing MRI studies and probability-prediction literature.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3b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Use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Study design and prediction setting; future clinicians/patients, pretreatment communication.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3c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Inequalities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Partial: Methods, Treatment and sensitivity analyses; Discussion. Sociodemographic inequalities were not evaluated or comprehensively reviewed.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Objectives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Background, paragraph 2: explicit primary research question and external Brier comparison. Final paragraph: secondary aims.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5a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Sources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Data sources and populations; source references and Additional file 2.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5b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Dates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Partial: Methods, Data sources and populations. Parent-study eras reported; exact derivative-subset accrual dates unavailable.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6a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Setting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Partial: Methods, Data sources and populations. Specialist multicentre trials; exact subset site membership not verified.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6b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Eligibility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Outcome and eligibility; Fig. 1; Additional file 2 eligibility tables.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6c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Treatment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Treatment and sensitivity analyses; Table S4. Equivalent external treatment field not verified.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Preparation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Outcome and eligibility and Predictors and preprocessing; Additional file 1 S1–S2. Group-specific QC not evaluated.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8a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Outcome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Outcome and eligibility; pCR at surgery, breast and nodes. Group-specific assessment consistency not verified.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8b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Assessors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Unavailable: Methods, Outcome and eligibility; no slide reassessment or assessor demographics.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8c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Blinding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Outcome and eligibility. Original pathology-assessment blinding unavailable; no new assessment.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9a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Selection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Predictors and preprocessing; all 12 prespecified signal features retained.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9b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Predictors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Predictors and preprocessing; Table S1; outcome-free extraction in Additional file 2.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9c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Assessors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Partial: Methods, Outcome and eligibility; supplied masks, no independent expert review in this study.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Size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Data sources and populations; available-data design, no prospective precision calculation. Limited external precision acknowledged.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Missingness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Outcome and eligibility and Predictors and preprocessing; Table 1 and eligibility files.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Partitions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Model development and evaluation; Additional file 1 S3 and stored fold assignments.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Transforms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Predictors and preprocessing; Table S1; fitted pipeline parameters.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Modelling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Model development and evaluation; penalized regression, identical tuning budget and nested validation.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12d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Clusters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Not assessed: Methods, Data sources and populations; site membership not verified, no cluster adjustment.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12e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Measures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Model development and evaluation and Development and prediction stability; Tables 2–4, Figs. 2–4 and Table S3.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12f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Updating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Not performed: Methods, Model development and evaluation; frozen predictions without recalibration.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12g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Prediction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Model development and evaluation; saved pipelines and code in Additional files 2–3.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Imbalance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Predictors and preprocessing; no weighting or oversampling.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Fairness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Not assessed: Methods, Treatment and sensitivity analyses; Discussion limitations.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Output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Study design and Model development and evaluation; probabilities, no classification threshold.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Differences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Data sources and populations and Predictors and preprocessing; Table 1; Discussion.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Ethics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Declarations, Ethics approval and consent to participate; no new approval/waiver claimed.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18a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Funding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Declarations, Funding; none.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18b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Conflicts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Declarations, Competing interests; none.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18c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Protocol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Study design and Development and prediction stability; locally dated original and added specifications in Additional files 2–3.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18d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Registration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Study design; no public preregistration for this secondary analysis.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18e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Data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Declarations, Availability of data and materials; Additional files 2–3 and original repositories.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18f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Code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Declarations, Availability of data and materials; Additional files 2–3.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Involvement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Treatment and sensitivity analyses; no patient or public partners.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20a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Flow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Fig. 1; Results, Participant flow; Table 1 and eligibility files.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20b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Patients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Partial: Table 1, Table S4; dates described at parent-study level, no follow-up-time distribution or sociodemographic analysis.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20c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Comparison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Table 1 and Methods, Predictors and preprocessing; receptor ascertainment differences retained.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21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Counts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Results and Additional file 1 S3; sample/event counts and per-fold counts in Additional file 2.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22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Specification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Additional file 2: fitted pipelines, coefficients, preprocessing and readable parameter export.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23a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Performance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Tables 2–4, S2–S9; Figs. 2–4. External conditional intervals and repeated-development uncertainty supplied; internal and subgroup metrics are descriptive.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23b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Variation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Not assessed across sites; Methods and Discussion explain missing verified site linkage.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24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Updating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Not applicable; no external model updating was performed.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25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Findings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Discussion; no demonstrated MRI increment, fairness not established, comparisons with prior studies.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26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Limitations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Discussion; source selection, comparator, image QC, external precision and treatment shift. Repeated-development uncertainty assessed; site and image uncertainty unquantified.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27a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Input quality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eligibility/imputation; Discussion, final paragraph. No validated clinical missing-input pathway.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27b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Interaction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Methods, Study design and Outcome and eligibility; supplied masks and expert review required for implementation.</w:t>
            </w:r>
          </w:p>
        </w:tc>
      </w:tr>
      <w:tr>
        <w:trPr>
          <w:cantSplit/>
        </w:trPr>
        <w:tc>
          <w:tcPr>
            <w:tcW w:type="dxa" w:w="720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27c</w:t>
            </w:r>
          </w:p>
        </w:tc>
        <w:tc>
          <w:tcPr>
            <w:tcW w:type="dxa" w:w="1224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Next steps</w:t>
            </w:r>
          </w:p>
        </w:tc>
        <w:tc>
          <w:tcPr>
            <w:tcW w:type="dxa" w:w="7488"/>
            <w:vAlign w:val="center"/>
          </w:tcPr>
          <w:p>
            <w:pPr>
              <w:keepNext w:val="0"/>
              <w:spacing w:line="252" w:lineRule="auto" w:after="0"/>
            </w:pPr>
            <w:r>
              <w:rPr>
                <w:b w:val="0"/>
                <w:sz w:val="20"/>
              </w:rPr>
              <w:t>Discussion, final paragraph; new unused cohort, broader predictors, expert QC and prospective precision planning.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1152" w:right="1238" w:bottom="1152" w:left="1238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 w:after="0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0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00" w:after="80" w:line="276" w:lineRule="auto"/>
      <w:outlineLvl w:val="0"/>
    </w:pPr>
    <w:rPr>
      <w:rFonts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00" w:after="80" w:line="276" w:lineRule="auto"/>
      <w:outlineLvl w:val="1"/>
    </w:pPr>
    <w:rPr>
      <w:rFonts w:ascii="Times New Roman" w:hAnsi="Times New Roman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200" w:after="80" w:line="276" w:lineRule="auto"/>
      <w:outlineLvl w:val="2"/>
    </w:pPr>
    <w:rPr>
      <w:rFonts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ageBreakBefore w:val="0"/>
      <w:spacing w:after="80" w:line="276" w:lineRule="auto" w:before="200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AI reporting map</dc:title>
  <dc:subject>BMC Medical Imaging research article submission</dc:subject>
  <dc:creator>Tianyi Yu</dc:creator>
  <cp:keywords>breast MRI; pCR; external validation; probability calibration</cp:keywords>
  <dc:description>generated by python-docx</dc:description>
  <cp:lastModifiedBy>Tianyi Yu</cp:lastModifiedBy>
  <cp:revision>1</cp:revision>
  <dcterms:created xsi:type="dcterms:W3CDTF">2013-12-23T23:15:00Z</dcterms:created>
  <dcterms:modified xsi:type="dcterms:W3CDTF">2013-12-23T23:15:00Z</dcterms:modified>
  <cp:category/>
</cp:coreProperties>
</file>