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28F" w:rsidRDefault="00EB3E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 Appendix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Table S1. Database-specific search strategies used for identification of eligible studies (inception to 4 September 2026).</w:t>
      </w:r>
    </w:p>
    <w:p w:rsidR="00A4228F" w:rsidRDefault="00A4228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6"/>
        <w:gridCol w:w="2714"/>
        <w:gridCol w:w="3935"/>
      </w:tblGrid>
      <w:tr w:rsidR="00A4228F" w:rsidTr="00827C4F">
        <w:trPr>
          <w:trHeight w:val="500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Database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Search coverage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Search strategy  used</w:t>
            </w:r>
          </w:p>
        </w:tc>
      </w:tr>
      <w:tr w:rsidR="00A4228F" w:rsidTr="00827C4F">
        <w:trPr>
          <w:trHeight w:val="785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PubMed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Database inception to 4 September 2026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gut microbiota" AND "sickle cell disease"</w:t>
            </w:r>
          </w:p>
        </w:tc>
      </w:tr>
      <w:tr w:rsidR="00A4228F">
        <w:trPr>
          <w:trHeight w:val="785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Google Scholar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Database inception to 4 September 2026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"gut microbiota" "sickle cell disease"</w:t>
            </w:r>
          </w:p>
        </w:tc>
      </w:tr>
      <w:tr w:rsidR="00A4228F">
        <w:trPr>
          <w:trHeight w:val="785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African Journals Online (AJOL)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Database inception to 4 September 2026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"gut microbiota" AND "sickle cell disease"</w:t>
            </w:r>
          </w:p>
        </w:tc>
      </w:tr>
      <w:tr w:rsidR="00A4228F" w:rsidTr="00827C4F">
        <w:trPr>
          <w:trHeight w:val="785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Scopus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Database inception to 4 September 2026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Sickle Cell Disease, Gut Microbiome, and Related Outcomes</w:t>
            </w:r>
          </w:p>
        </w:tc>
      </w:tr>
      <w:tr w:rsidR="00A4228F" w:rsidTr="00827C4F">
        <w:trPr>
          <w:trHeight w:val="785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Web of Science Core Collection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Database inception to 4 September 2026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28F" w:rsidRDefault="00EB3E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Sickle Cell Disease, Gut Microbiome, and Related Outcomes</w:t>
            </w:r>
          </w:p>
        </w:tc>
      </w:tr>
    </w:tbl>
    <w:p w:rsidR="00A4228F" w:rsidRDefault="00EB3E03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Searches were conduct</w:t>
      </w:r>
      <w:r>
        <w:rPr>
          <w:rFonts w:ascii="Times New Roman" w:eastAsia="Times New Roman" w:hAnsi="Times New Roman" w:cs="Times New Roman"/>
          <w:sz w:val="20"/>
          <w:szCs w:val="20"/>
        </w:rPr>
        <w:t>ed from database inception to 4 September 2026, with no date restrictions applied. No database-specific restrictions on age, sex, genotype, geographical location, or study setting were applied. Human-study status and eligibility were determined during titl</w:t>
      </w:r>
      <w:r>
        <w:rPr>
          <w:rFonts w:ascii="Times New Roman" w:eastAsia="Times New Roman" w:hAnsi="Times New Roman" w:cs="Times New Roman"/>
          <w:sz w:val="20"/>
          <w:szCs w:val="20"/>
        </w:rPr>
        <w:t>e/abstract and full-text screening rather than by restricting the electronic search to records containing terms such as “human” or “patient.” Citation tracking of eligible studies and relevant reviews, including backward reference-list screening and forwar</w:t>
      </w:r>
      <w:r>
        <w:rPr>
          <w:rFonts w:ascii="Times New Roman" w:eastAsia="Times New Roman" w:hAnsi="Times New Roman" w:cs="Times New Roman"/>
          <w:sz w:val="20"/>
          <w:szCs w:val="20"/>
        </w:rPr>
        <w:t>d citation tracking, was also undertaken to identify potentially eligible studies not retrieved through the database searches. Retrieved records were screened manually by the reviewers according to the predefined eligibility criteria.</w:t>
      </w:r>
    </w:p>
    <w:p w:rsidR="00A4228F" w:rsidRDefault="00A4228F">
      <w:pPr>
        <w:rPr>
          <w:rFonts w:ascii="Times New Roman" w:eastAsia="Times New Roman" w:hAnsi="Times New Roman" w:cs="Times New Roman"/>
        </w:rPr>
      </w:pPr>
    </w:p>
    <w:p w:rsidR="00A4228F" w:rsidRDefault="00A4228F">
      <w:pPr>
        <w:rPr>
          <w:rFonts w:ascii="Times New Roman" w:eastAsia="Times New Roman" w:hAnsi="Times New Roman" w:cs="Times New Roman"/>
        </w:rPr>
      </w:pPr>
    </w:p>
    <w:p w:rsidR="00A4228F" w:rsidRDefault="00A4228F">
      <w:pPr>
        <w:rPr>
          <w:rFonts w:ascii="Times New Roman" w:eastAsia="Times New Roman" w:hAnsi="Times New Roman" w:cs="Times New Roman"/>
        </w:rPr>
      </w:pPr>
    </w:p>
    <w:p w:rsidR="00A4228F" w:rsidRDefault="00A4228F">
      <w:pPr>
        <w:rPr>
          <w:rFonts w:ascii="Times New Roman" w:eastAsia="Times New Roman" w:hAnsi="Times New Roman" w:cs="Times New Roman"/>
        </w:rPr>
      </w:pP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4228F" w:rsidRDefault="00EB3E03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S2. Development of the proposed Functional Microbiome Disruption Framework from evidence synthesis</w:t>
      </w: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4228F">
          <w:pgSz w:w="11906" w:h="16838"/>
          <w:pgMar w:top="1440" w:right="1440" w:bottom="1440" w:left="1440" w:header="708" w:footer="708" w:gutter="0"/>
          <w:pgNumType w:start="1"/>
          <w:cols w:space="720"/>
        </w:sectPr>
      </w:pPr>
    </w:p>
    <w:p w:rsidR="00A4228F" w:rsidRDefault="00A422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145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84"/>
        <w:gridCol w:w="3573"/>
        <w:gridCol w:w="3260"/>
        <w:gridCol w:w="3402"/>
        <w:gridCol w:w="2941"/>
      </w:tblGrid>
      <w:tr w:rsidR="00A4228F">
        <w:trPr>
          <w:tblHeader/>
        </w:trPr>
        <w:tc>
          <w:tcPr>
            <w:tcW w:w="1384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Functional domain</w:t>
            </w:r>
          </w:p>
        </w:tc>
        <w:tc>
          <w:tcPr>
            <w:tcW w:w="3573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Recurring observations across included studies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Functional rationale for domain classification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Role within the proposed framework</w:t>
            </w:r>
          </w:p>
        </w:tc>
        <w:tc>
          <w:tcPr>
            <w:tcW w:w="2941" w:type="dxa"/>
            <w:tcBorders>
              <w:bottom w:val="single" w:sz="4" w:space="0" w:color="000000"/>
            </w:tcBorders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 of evidence supporting the domain</w:t>
            </w:r>
          </w:p>
        </w:tc>
      </w:tr>
      <w:tr w:rsidR="00A4228F">
        <w:tc>
          <w:tcPr>
            <w:tcW w:w="138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Inflammatory microbial expansion</w:t>
            </w:r>
          </w:p>
        </w:tc>
        <w:tc>
          <w:tcPr>
            <w:tcW w:w="3573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Multiple studies across diverse cohorts consistently found enrichment of inflammatory or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pathobiont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-associated taxa, including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Escherichia–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Shigella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Veillonella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dispar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Eggerthella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Granulicatella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adjacens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broader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Actinobacteria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260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Domain classification was based on shared inflammatory ecology rather than specific taxa, prioritising conserved pro-inflammatory function ove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 taxonomic identity.</w:t>
            </w:r>
          </w:p>
        </w:tc>
        <w:tc>
          <w:tcPr>
            <w:tcW w:w="3402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Represents a potential microbial ecological state that may reinforce chronic inflammation and altered host immune responses in SCD.</w:t>
            </w:r>
          </w:p>
        </w:tc>
        <w:tc>
          <w:tcPr>
            <w:tcW w:w="2941" w:type="dxa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A4228F">
        <w:tc>
          <w:tcPr>
            <w:tcW w:w="138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Reduced SCFA-producing capacity</w:t>
            </w:r>
          </w:p>
        </w:tc>
        <w:tc>
          <w:tcPr>
            <w:tcW w:w="3573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Recurrent depletion of fermentative commensals including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Fae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calibacterium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Roseburia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Subdoligranulum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Blautia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Ruminococcus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and related taxa across multiple studies.</w:t>
            </w:r>
          </w:p>
        </w:tc>
        <w:tc>
          <w:tcPr>
            <w:tcW w:w="3260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Although taxa differed, many shared short-chain fatty acid functions, making functional convergence more consistent than composition.</w:t>
            </w:r>
          </w:p>
        </w:tc>
        <w:tc>
          <w:tcPr>
            <w:tcW w:w="3402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Represents red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uced microbial fermentative capacity with potential implications for epithelial barrier integrity, immune regulation, inflammatory control, and host–microbial signalling.</w:t>
            </w:r>
          </w:p>
        </w:tc>
        <w:tc>
          <w:tcPr>
            <w:tcW w:w="2941" w:type="dxa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A4228F">
        <w:tc>
          <w:tcPr>
            <w:tcW w:w="138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Hydroxyurea-associated ecological remodelling</w:t>
            </w:r>
          </w:p>
        </w:tc>
        <w:tc>
          <w:tcPr>
            <w:tcW w:w="3573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 studies consiste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ntly demonstrated enrichment of fermentative taxa following hydroxyurea initiation despite largely preserved alpha diversity, accompanied by changes in beta diversity.</w:t>
            </w:r>
          </w:p>
        </w:tc>
        <w:tc>
          <w:tcPr>
            <w:tcW w:w="3260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pattern suggested ecological restructuring, not greater diversity, reflecting treatm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ent-related changes in microbial function and community organisation rather than taxonomic gain or loss.</w:t>
            </w:r>
          </w:p>
        </w:tc>
        <w:tc>
          <w:tcPr>
            <w:tcW w:w="3402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Represents hydroxyurea as a potential ecological gut microbiome modifier, generating hypotheses linking improved host physiology to microbial community remodelling.</w:t>
            </w:r>
          </w:p>
          <w:p w:rsidR="00A4228F" w:rsidRDefault="00A4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1" w:type="dxa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Moderate (limited longitudinal evidence)</w:t>
            </w:r>
          </w:p>
        </w:tc>
      </w:tr>
      <w:tr w:rsidR="00A4228F">
        <w:tc>
          <w:tcPr>
            <w:tcW w:w="1384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ja5au9kv6bah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Micronutrient-associated microbial metabolism</w:t>
            </w:r>
          </w:p>
        </w:tc>
        <w:tc>
          <w:tcPr>
            <w:tcW w:w="3573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included study directly evaluated microbial vitamin B12 biosynthesis,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corrinoid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metabolism, folate metabolism, or one-carbon pathways. Nevertheless, several altered taxa are recognised participants in these metabolic functions.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Classification reflects an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evidence gap rather than demonstrated dysfunction. The domain was included because microbial micronutrient metabolism is a plausible, largely unexplored functional pathway in human SCD.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Identifies a major priority for future mechanistic investigation integ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rating metagenomics, metabolomics, nutritional assessment, and host metabolic phenotyping.</w:t>
            </w:r>
          </w:p>
        </w:tc>
        <w:tc>
          <w:tcPr>
            <w:tcW w:w="2941" w:type="dxa"/>
            <w:tcBorders>
              <w:bottom w:val="single" w:sz="4" w:space="0" w:color="000000"/>
            </w:tcBorders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Low (hypothesis-generating; evidence gap)</w:t>
            </w:r>
          </w:p>
        </w:tc>
      </w:tr>
    </w:tbl>
    <w:p w:rsidR="00A4228F" w:rsidRDefault="00EB3E03">
      <w:pPr>
        <w:spacing w:before="240" w:after="24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Framework development: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Domains were derived inductively during narrative evidence synthesis after completion of study selection, data extraction, and risk-of-bias assessment. The framework was not pre-specified in the PROSPERO protocol and was not used for study selection, qual</w:t>
      </w:r>
      <w:r>
        <w:rPr>
          <w:rFonts w:ascii="Times New Roman" w:eastAsia="Times New Roman" w:hAnsi="Times New Roman" w:cs="Times New Roman"/>
          <w:sz w:val="20"/>
          <w:szCs w:val="20"/>
        </w:rPr>
        <w:t>ity assessment, or data analysis. Classification was based on recurring functional characteristics observed across studies rather than individual taxa, recognising the functional redundancy of phylogenetically distinct microbial communities. Accordingly, 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he framework should be interpreted as 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hypothesis-generating conceptual model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rather than a validated mechanistic or predictive framework.</w:t>
      </w: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</w:rPr>
      </w:pPr>
    </w:p>
    <w:p w:rsidR="00A4228F" w:rsidRDefault="00A4228F">
      <w:pPr>
        <w:spacing w:before="240" w:after="240" w:line="276" w:lineRule="auto"/>
      </w:pP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228F" w:rsidRDefault="00EB3E03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Table S3. Biological rationale for microbiome-relevant confounders considered during evidence synth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esis</w:t>
      </w:r>
    </w:p>
    <w:tbl>
      <w:tblPr>
        <w:tblStyle w:val="a1"/>
        <w:tblW w:w="145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881"/>
        <w:gridCol w:w="6115"/>
        <w:gridCol w:w="4574"/>
      </w:tblGrid>
      <w:tr w:rsidR="00A4228F">
        <w:trPr>
          <w:tblHeader/>
        </w:trPr>
        <w:tc>
          <w:tcPr>
            <w:tcW w:w="3881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Confounder</w:t>
            </w:r>
          </w:p>
        </w:tc>
        <w:tc>
          <w:tcPr>
            <w:tcW w:w="6115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Why it is biologically important in SCD microbiome studies</w:t>
            </w:r>
          </w:p>
        </w:tc>
        <w:tc>
          <w:tcPr>
            <w:tcW w:w="4574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Potential consequence if unmeasured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Antibiotic exposure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Directly alters gut microbial composition and diversity; may produce short-term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dysbiosis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independent of SCD.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May falsely attribute antibiotic-induced microbial changes to SCD.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Hydroxyurea exposure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 evidence suggests hydroxyurea remodels microbial communities, particularly fermentative taxa.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Treatment-related microbial shifts may be interpreted as dis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ease-associated alterations.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Major determinant of microbial ecology, particularly SCFA-producing communities.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Dietary variation may obscure or exaggerate disease-related microbial patterns.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Gut microbiome composition changes substantially throughout childhood and adulthood.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Age-related differences may confound comparisons between cohorts.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Sex hormones influence microbial composition and immune regulation.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Observed differences may reflect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sex distribution rather than disease biology.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Disease severity (VOC frequency,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HbF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haemolysis, hospitalisation)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Reflects host inflammatory state and clinical phenotype that may influence intestinal physiology and microbial ecology.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Microbiome differences may reflect disease severity rather than SCD itself.</w:t>
            </w:r>
          </w:p>
        </w:tc>
      </w:tr>
      <w:tr w:rsidR="00A4228F">
        <w:tc>
          <w:tcPr>
            <w:tcW w:w="3881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Recent infection</w:t>
            </w:r>
          </w:p>
        </w:tc>
        <w:tc>
          <w:tcPr>
            <w:tcW w:w="6115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Infection alters immune activation, antibiotic use, and microbial ecology.</w:t>
            </w:r>
          </w:p>
        </w:tc>
        <w:tc>
          <w:tcPr>
            <w:tcW w:w="4574" w:type="dxa"/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Acute illness may distort baseline microbial composition.</w:t>
            </w:r>
          </w:p>
        </w:tc>
      </w:tr>
      <w:tr w:rsidR="00A4228F">
        <w:tc>
          <w:tcPr>
            <w:tcW w:w="3881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Blood transfusion</w:t>
            </w:r>
          </w:p>
        </w:tc>
        <w:tc>
          <w:tcPr>
            <w:tcW w:w="6115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May modify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inflammatory and haematological status.</w:t>
            </w:r>
          </w:p>
        </w:tc>
        <w:tc>
          <w:tcPr>
            <w:tcW w:w="4574" w:type="dxa"/>
            <w:tcBorders>
              <w:bottom w:val="single" w:sz="4" w:space="0" w:color="000000"/>
            </w:tcBorders>
            <w:vAlign w:val="center"/>
          </w:tcPr>
          <w:p w:rsidR="00A4228F" w:rsidRDefault="00EB3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Could indirectly influence host–microbiome interactions.</w:t>
            </w:r>
          </w:p>
        </w:tc>
      </w:tr>
    </w:tbl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228F" w:rsidRDefault="00A4228F">
      <w:pPr>
        <w:spacing w:before="240"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228F" w:rsidRDefault="00A4228F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A4228F">
      <w:pgSz w:w="16838" w:h="11906" w:orient="landscape"/>
      <w:pgMar w:top="1134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8644B42-6807-4E99-9A8E-2BFED9ED0AEF}"/>
    <w:embedBold r:id="rId2" w:fontKey="{55414FD7-20E9-4C05-BC95-1100C57A7CEC}"/>
    <w:embedItalic r:id="rId3" w:fontKey="{4F54EBD5-289F-49D9-99AD-9EAAD31CF5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5F419B3-5179-4512-AD90-66DF3E190C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8F"/>
    <w:rsid w:val="00827C4F"/>
    <w:rsid w:val="00A4228F"/>
    <w:rsid w:val="00EB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8954A7-B0BA-47E6-9637-29F504A7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bCs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Tari Agbalalah</cp:lastModifiedBy>
  <cp:revision>3</cp:revision>
  <dcterms:created xsi:type="dcterms:W3CDTF">2026-09-14T14:42:00Z</dcterms:created>
  <dcterms:modified xsi:type="dcterms:W3CDTF">2026-09-14T14:43:00Z</dcterms:modified>
</cp:coreProperties>
</file>