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DFA" w:rsidRDefault="00BB5B94">
      <w:pPr>
        <w:spacing w:before="120" w:after="120" w:line="300" w:lineRule="auto"/>
        <w:jc w:val="center"/>
      </w:pPr>
      <w:r>
        <w:rPr>
          <w:b/>
          <w:bCs/>
          <w:sz w:val="34"/>
          <w:szCs w:val="34"/>
        </w:rPr>
        <w:t>Supplementary Material</w:t>
      </w:r>
    </w:p>
    <w:p w:rsidR="001607FD" w:rsidRPr="001607FD" w:rsidRDefault="001607FD" w:rsidP="001607FD">
      <w:pPr>
        <w:spacing w:before="120" w:after="200" w:line="300" w:lineRule="auto"/>
        <w:jc w:val="center"/>
        <w:rPr>
          <w:b/>
          <w:bCs/>
          <w:sz w:val="24"/>
        </w:rPr>
      </w:pPr>
      <w:r w:rsidRPr="001607FD">
        <w:rPr>
          <w:b/>
          <w:bCs/>
          <w:sz w:val="24"/>
          <w:szCs w:val="24"/>
        </w:rPr>
        <w:t xml:space="preserve">Potentially Toxic Elements in Drainage Sediments of the Zang-Tabi Area, Northwest Cameroon and their Implications for Pollution, Ecotoxicological and Human Health Risk </w:t>
      </w:r>
    </w:p>
    <w:p w:rsidR="00170DFA" w:rsidRDefault="00BB5B94">
      <w:pPr>
        <w:spacing w:after="120"/>
      </w:pPr>
      <w:r>
        <w:rPr>
          <w:b/>
          <w:szCs w:val="24"/>
        </w:rPr>
        <w:t>T</w:t>
      </w:r>
      <w:r>
        <w:rPr>
          <w:b/>
          <w:szCs w:val="24"/>
        </w:rPr>
        <w:t>ibuck Joshua Ndang</w:t>
      </w:r>
      <w:r>
        <w:rPr>
          <w:szCs w:val="24"/>
          <w:vertAlign w:val="superscript"/>
        </w:rPr>
        <w:t>1</w:t>
      </w:r>
      <w:r>
        <w:rPr>
          <w:szCs w:val="24"/>
        </w:rPr>
        <w:t xml:space="preserve"> · </w:t>
      </w:r>
      <w:r>
        <w:rPr>
          <w:szCs w:val="24"/>
        </w:rPr>
        <w:t xml:space="preserve">Ngambu </w:t>
      </w:r>
      <w:r w:rsidR="001607FD">
        <w:rPr>
          <w:szCs w:val="24"/>
        </w:rPr>
        <w:t>Aloysius</w:t>
      </w:r>
      <w:r w:rsidR="001607FD">
        <w:rPr>
          <w:szCs w:val="24"/>
          <w:vertAlign w:val="superscript"/>
        </w:rPr>
        <w:t>1</w:t>
      </w:r>
      <w:r w:rsidR="001607FD">
        <w:rPr>
          <w:szCs w:val="24"/>
        </w:rPr>
        <w:t xml:space="preserve"> Afahnwie </w:t>
      </w:r>
      <w:r>
        <w:rPr>
          <w:szCs w:val="24"/>
        </w:rPr>
        <w:t>· Olivier Anoh Njoh</w:t>
      </w:r>
      <w:r>
        <w:rPr>
          <w:szCs w:val="24"/>
          <w:vertAlign w:val="superscript"/>
        </w:rPr>
        <w:t>1</w:t>
      </w:r>
      <w:r>
        <w:rPr>
          <w:szCs w:val="24"/>
        </w:rPr>
        <w:t xml:space="preserve"> · Lemnyuy Prosper Yiika² · Bertrand Kehding Fomekong² · Gus Djibril Kouankap Nono²</w:t>
      </w:r>
    </w:p>
    <w:p w:rsidR="00170DFA" w:rsidRDefault="00BB5B94">
      <w:pPr>
        <w:spacing w:after="240"/>
        <w:jc w:val="center"/>
      </w:pPr>
      <w:r>
        <w:rPr>
          <w:i/>
          <w:iCs/>
          <w:sz w:val="18"/>
          <w:szCs w:val="18"/>
        </w:rPr>
        <w:t>Corresponding author: Tibuck Joshua Ndang, Department of Geology, Mining and Environmental Science, Faculty of Science, The</w:t>
      </w:r>
      <w:r>
        <w:rPr>
          <w:i/>
          <w:iCs/>
          <w:sz w:val="18"/>
          <w:szCs w:val="18"/>
        </w:rPr>
        <w:t xml:space="preserve"> University of Bamenda, P.O. Box 39, Bambili, Cameroon.</w:t>
      </w:r>
    </w:p>
    <w:p w:rsidR="00170DFA" w:rsidRDefault="00BB5B94">
      <w:pPr>
        <w:pStyle w:val="Heading21"/>
        <w:spacing w:before="240" w:after="120"/>
      </w:pPr>
      <w:r>
        <w:rPr>
          <w:b/>
          <w:bCs/>
          <w:color w:val="000000"/>
          <w:sz w:val="24"/>
          <w:szCs w:val="24"/>
        </w:rPr>
        <w:t>Contents</w:t>
      </w:r>
      <w:bookmarkStart w:id="0" w:name="_GoBack"/>
      <w:bookmarkEnd w:id="0"/>
    </w:p>
    <w:p w:rsidR="00170DFA" w:rsidRDefault="00BB5B94">
      <w:pPr>
        <w:spacing w:after="120"/>
      </w:pPr>
      <w:r>
        <w:rPr>
          <w:sz w:val="24"/>
          <w:szCs w:val="24"/>
        </w:rPr>
        <w:t>Tables: S1 Exposure parameter values used in the human health risk model; S2 Reference doses (RfD) and cancer slope factors (SF); S3 Contamination factor (CF), contamination degree (Cdeg), mo</w:t>
      </w:r>
      <w:r>
        <w:rPr>
          <w:sz w:val="24"/>
          <w:szCs w:val="24"/>
        </w:rPr>
        <w:t>dified contamination degree (mCdeg) and pollution load index (PLI); S4 Enrichment factor (EF); S5 Geo-accumulation index (Igeo); S6 Ecological risk factor (ERF) and potential ecological risk index (PERI); S7 Toxic risk index (TRI); S8 Toxic units (TU). Fig</w:t>
      </w:r>
      <w:r>
        <w:rPr>
          <w:sz w:val="24"/>
          <w:szCs w:val="24"/>
        </w:rPr>
        <w:t>ures: S1–S6 Sediment quality guideline comparison diagrams for the TEL, PEL, TEC, PEC, ERL and ERM benchmarks.</w:t>
      </w:r>
    </w:p>
    <w:p w:rsidR="00170DFA" w:rsidRDefault="00BB5B94">
      <w:pPr>
        <w:keepNext/>
        <w:spacing w:before="200" w:after="60" w:line="276" w:lineRule="auto"/>
        <w:jc w:val="left"/>
      </w:pPr>
      <w:r>
        <w:rPr>
          <w:b/>
          <w:bCs/>
          <w:sz w:val="20"/>
          <w:szCs w:val="20"/>
        </w:rPr>
        <w:t>Table S1.</w:t>
      </w:r>
      <w:r>
        <w:rPr>
          <w:sz w:val="20"/>
          <w:szCs w:val="20"/>
        </w:rPr>
        <w:t xml:space="preserve"> Exposure parameter values used in the human health risk assessment (children and adults).</w:t>
      </w:r>
    </w:p>
    <w:tbl>
      <w:tblPr>
        <w:tblW w:w="100" w:type="pct"/>
        <w:tblBorders>
          <w:top w:val="single" w:sz="4" w:space="0" w:color="000000"/>
          <w:left w:val="none" w:sz="4" w:space="0" w:color="auto"/>
          <w:bottom w:val="single" w:sz="4" w:space="0" w:color="000000"/>
          <w:right w:val="none" w:sz="4" w:space="0" w:color="auto"/>
          <w:insideH w:val="single" w:sz="2" w:space="0" w:color="BFBFBF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1060"/>
        <w:gridCol w:w="505"/>
        <w:gridCol w:w="771"/>
        <w:gridCol w:w="591"/>
        <w:gridCol w:w="850"/>
      </w:tblGrid>
      <w:tr w:rsidR="00170DFA">
        <w:trPr>
          <w:cantSplit/>
          <w:tblHeader/>
        </w:trPr>
        <w:tc>
          <w:tcPr>
            <w:tcW w:w="17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33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Definition</w:t>
            </w:r>
          </w:p>
        </w:tc>
        <w:tc>
          <w:tcPr>
            <w:tcW w:w="12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Unit</w:t>
            </w:r>
          </w:p>
        </w:tc>
        <w:tc>
          <w:tcPr>
            <w:tcW w:w="12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Children</w:t>
            </w:r>
          </w:p>
        </w:tc>
        <w:tc>
          <w:tcPr>
            <w:tcW w:w="12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Adults</w:t>
            </w:r>
          </w:p>
        </w:tc>
        <w:tc>
          <w:tcPr>
            <w:tcW w:w="14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Ref</w:t>
            </w:r>
            <w:r>
              <w:rPr>
                <w:b/>
                <w:bCs/>
                <w:sz w:val="18"/>
                <w:szCs w:val="18"/>
              </w:rPr>
              <w:t>erence</w:t>
            </w:r>
          </w:p>
        </w:tc>
      </w:tr>
      <w:tr w:rsidR="00170DFA">
        <w:trPr>
          <w:cantSplit/>
        </w:trPr>
        <w:tc>
          <w:tcPr>
            <w:tcW w:w="17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EF</w:t>
            </w:r>
          </w:p>
        </w:tc>
        <w:tc>
          <w:tcPr>
            <w:tcW w:w="33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Exposure frequency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days year⁻¹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USEPA (2025)</w:t>
            </w:r>
          </w:p>
        </w:tc>
      </w:tr>
      <w:tr w:rsidR="00170DFA">
        <w:trPr>
          <w:cantSplit/>
        </w:trPr>
        <w:tc>
          <w:tcPr>
            <w:tcW w:w="17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ED</w:t>
            </w:r>
          </w:p>
        </w:tc>
        <w:tc>
          <w:tcPr>
            <w:tcW w:w="33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Exposure duration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year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USEPA (2025)</w:t>
            </w:r>
          </w:p>
        </w:tc>
      </w:tr>
      <w:tr w:rsidR="00170DFA">
        <w:trPr>
          <w:cantSplit/>
        </w:trPr>
        <w:tc>
          <w:tcPr>
            <w:tcW w:w="17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BW</w:t>
            </w:r>
          </w:p>
        </w:tc>
        <w:tc>
          <w:tcPr>
            <w:tcW w:w="33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Body weight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kg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Liu et al. (2022)</w:t>
            </w:r>
          </w:p>
        </w:tc>
      </w:tr>
      <w:tr w:rsidR="00170DFA">
        <w:trPr>
          <w:cantSplit/>
        </w:trPr>
        <w:tc>
          <w:tcPr>
            <w:tcW w:w="17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IRⁱⁿᵍ</w:t>
            </w:r>
          </w:p>
        </w:tc>
        <w:tc>
          <w:tcPr>
            <w:tcW w:w="33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Soil ingestion rate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mg day⁻¹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USEPA (2025)</w:t>
            </w:r>
          </w:p>
        </w:tc>
      </w:tr>
      <w:tr w:rsidR="00170DFA">
        <w:trPr>
          <w:cantSplit/>
        </w:trPr>
        <w:tc>
          <w:tcPr>
            <w:tcW w:w="17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SA</w:t>
            </w:r>
          </w:p>
        </w:tc>
        <w:tc>
          <w:tcPr>
            <w:tcW w:w="33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Exposed skin surface area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cm²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1600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4350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 xml:space="preserve">Liu </w:t>
            </w:r>
            <w:r>
              <w:rPr>
                <w:sz w:val="18"/>
                <w:szCs w:val="18"/>
              </w:rPr>
              <w:t>et al. (2022)</w:t>
            </w:r>
          </w:p>
        </w:tc>
      </w:tr>
      <w:tr w:rsidR="00170DFA">
        <w:trPr>
          <w:cantSplit/>
        </w:trPr>
        <w:tc>
          <w:tcPr>
            <w:tcW w:w="17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SAAF</w:t>
            </w:r>
          </w:p>
        </w:tc>
        <w:tc>
          <w:tcPr>
            <w:tcW w:w="33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Skin adherence factor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mg cm⁻²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0.2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0.7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Liu et al. (2022)</w:t>
            </w:r>
          </w:p>
        </w:tc>
      </w:tr>
      <w:tr w:rsidR="00170DFA">
        <w:trPr>
          <w:cantSplit/>
        </w:trPr>
        <w:tc>
          <w:tcPr>
            <w:tcW w:w="17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PM₁₀</w:t>
            </w:r>
          </w:p>
        </w:tc>
        <w:tc>
          <w:tcPr>
            <w:tcW w:w="33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Particulate matter concentration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mg m⁻³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0.11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0.11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Liu et al. (2022)</w:t>
            </w:r>
          </w:p>
        </w:tc>
      </w:tr>
      <w:tr w:rsidR="00170DFA">
        <w:trPr>
          <w:cantSplit/>
        </w:trPr>
        <w:tc>
          <w:tcPr>
            <w:tcW w:w="17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DAIR</w:t>
            </w:r>
          </w:p>
        </w:tc>
        <w:tc>
          <w:tcPr>
            <w:tcW w:w="33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Daily air inhalation rate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m³ day⁻¹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7.63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Liu et al. (2022)</w:t>
            </w:r>
          </w:p>
        </w:tc>
      </w:tr>
      <w:tr w:rsidR="00170DFA">
        <w:trPr>
          <w:cantSplit/>
        </w:trPr>
        <w:tc>
          <w:tcPr>
            <w:tcW w:w="17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PLAF</w:t>
            </w:r>
          </w:p>
        </w:tc>
        <w:tc>
          <w:tcPr>
            <w:tcW w:w="33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Pulmonary alveolar fraction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0.9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0.9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USEPA (2025)</w:t>
            </w:r>
          </w:p>
        </w:tc>
      </w:tr>
      <w:tr w:rsidR="00170DFA">
        <w:trPr>
          <w:cantSplit/>
        </w:trPr>
        <w:tc>
          <w:tcPr>
            <w:tcW w:w="17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FSPO</w:t>
            </w:r>
          </w:p>
        </w:tc>
        <w:tc>
          <w:tcPr>
            <w:tcW w:w="33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Fraction of soil-borne particles &lt; 10 μm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0.8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0.8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USEPA (2025)</w:t>
            </w:r>
          </w:p>
        </w:tc>
      </w:tr>
      <w:tr w:rsidR="00170DFA">
        <w:trPr>
          <w:cantSplit/>
        </w:trPr>
        <w:tc>
          <w:tcPr>
            <w:tcW w:w="17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lastRenderedPageBreak/>
              <w:t>CF</w:t>
            </w:r>
          </w:p>
        </w:tc>
        <w:tc>
          <w:tcPr>
            <w:tcW w:w="33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Unit conversion factor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kg mg⁻¹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10⁻⁶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10⁻⁶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USEPA (2025)</w:t>
            </w:r>
          </w:p>
        </w:tc>
      </w:tr>
      <w:tr w:rsidR="00170DFA">
        <w:trPr>
          <w:cantSplit/>
        </w:trPr>
        <w:tc>
          <w:tcPr>
            <w:tcW w:w="17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AT (non-carcinogenic)</w:t>
            </w:r>
          </w:p>
        </w:tc>
        <w:tc>
          <w:tcPr>
            <w:tcW w:w="33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Averaging time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days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2190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10950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ED × 365</w:t>
            </w:r>
          </w:p>
        </w:tc>
      </w:tr>
      <w:tr w:rsidR="00170DFA">
        <w:trPr>
          <w:cantSplit/>
        </w:trPr>
        <w:tc>
          <w:tcPr>
            <w:tcW w:w="17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AT (carcinogenic)</w:t>
            </w:r>
          </w:p>
        </w:tc>
        <w:tc>
          <w:tcPr>
            <w:tcW w:w="33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Averaging time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days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25550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25550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70 × 365</w:t>
            </w:r>
          </w:p>
        </w:tc>
      </w:tr>
      <w:tr w:rsidR="00170DFA">
        <w:trPr>
          <w:cantSplit/>
        </w:trPr>
        <w:tc>
          <w:tcPr>
            <w:tcW w:w="17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ABS</w:t>
            </w:r>
          </w:p>
        </w:tc>
        <w:tc>
          <w:tcPr>
            <w:tcW w:w="33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Dermal absorption factor (As)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0.03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0.03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USEPA (2025)</w:t>
            </w:r>
          </w:p>
        </w:tc>
      </w:tr>
      <w:tr w:rsidR="00170DFA">
        <w:trPr>
          <w:cantSplit/>
        </w:trPr>
        <w:tc>
          <w:tcPr>
            <w:tcW w:w="17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ABS</w:t>
            </w:r>
          </w:p>
        </w:tc>
        <w:tc>
          <w:tcPr>
            <w:tcW w:w="33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Dermal absorption factor (all other metals)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0.001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0.001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USEPA (2025)</w:t>
            </w:r>
          </w:p>
        </w:tc>
      </w:tr>
      <w:tr w:rsidR="00170DFA">
        <w:trPr>
          <w:cantSplit/>
        </w:trPr>
        <w:tc>
          <w:tcPr>
            <w:tcW w:w="17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ABS</w:t>
            </w:r>
          </w:p>
        </w:tc>
        <w:tc>
          <w:tcPr>
            <w:tcW w:w="33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Dermal absorption factor (Cr)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0.042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0.042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USEPA (2025)</w:t>
            </w:r>
          </w:p>
        </w:tc>
      </w:tr>
    </w:tbl>
    <w:p w:rsidR="00170DFA" w:rsidRDefault="00BB5B94">
      <w:pPr>
        <w:spacing w:after="200" w:line="240" w:lineRule="auto"/>
        <w:jc w:val="left"/>
      </w:pPr>
      <w:r>
        <w:rPr>
          <w:i/>
          <w:iCs/>
          <w:sz w:val="18"/>
          <w:szCs w:val="18"/>
        </w:rPr>
        <w:t>Exposure parameter values after the exposure factor manual and soil guideline framework [1,2].</w:t>
      </w:r>
    </w:p>
    <w:p w:rsidR="00170DFA" w:rsidRDefault="00BB5B94">
      <w:pPr>
        <w:keepNext/>
        <w:spacing w:before="200" w:after="60" w:line="276" w:lineRule="auto"/>
        <w:jc w:val="left"/>
      </w:pPr>
      <w:r>
        <w:rPr>
          <w:b/>
          <w:bCs/>
          <w:sz w:val="20"/>
          <w:szCs w:val="20"/>
        </w:rPr>
        <w:t>Table S2.</w:t>
      </w:r>
      <w:r>
        <w:rPr>
          <w:sz w:val="20"/>
          <w:szCs w:val="20"/>
        </w:rPr>
        <w:t xml:space="preserve"> Reference doses (RfD, mg kg⁻¹ day⁻¹) and cancer slope factors (SF, (mg kg⁻¹ day⁻¹)⁻¹) for the studied potentially hazardous metals.</w:t>
      </w:r>
    </w:p>
    <w:tbl>
      <w:tblPr>
        <w:tblW w:w="100" w:type="pct"/>
        <w:tblBorders>
          <w:top w:val="single" w:sz="4" w:space="0" w:color="000000"/>
          <w:left w:val="none" w:sz="4" w:space="0" w:color="auto"/>
          <w:bottom w:val="single" w:sz="4" w:space="0" w:color="000000"/>
          <w:right w:val="none" w:sz="4" w:space="0" w:color="auto"/>
          <w:insideH w:val="single" w:sz="2" w:space="0" w:color="BFBFBF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595"/>
        <w:gridCol w:w="640"/>
        <w:gridCol w:w="595"/>
        <w:gridCol w:w="505"/>
        <w:gridCol w:w="530"/>
        <w:gridCol w:w="442"/>
      </w:tblGrid>
      <w:tr w:rsidR="00170DFA">
        <w:trPr>
          <w:cantSplit/>
          <w:tblHeader/>
        </w:trPr>
        <w:tc>
          <w:tcPr>
            <w:tcW w:w="14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Metal</w:t>
            </w:r>
          </w:p>
        </w:tc>
        <w:tc>
          <w:tcPr>
            <w:tcW w:w="14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RfDⁱⁿᵍ</w:t>
            </w:r>
          </w:p>
        </w:tc>
        <w:tc>
          <w:tcPr>
            <w:tcW w:w="14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RfDᵈᵉʳᵐ</w:t>
            </w:r>
          </w:p>
        </w:tc>
        <w:tc>
          <w:tcPr>
            <w:tcW w:w="14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RfDⁱⁿʰ</w:t>
            </w:r>
          </w:p>
        </w:tc>
        <w:tc>
          <w:tcPr>
            <w:tcW w:w="15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SFⁱⁿᵍ</w:t>
            </w:r>
          </w:p>
        </w:tc>
        <w:tc>
          <w:tcPr>
            <w:tcW w:w="15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SFᵈᵉʳᵐ</w:t>
            </w:r>
          </w:p>
        </w:tc>
        <w:tc>
          <w:tcPr>
            <w:tcW w:w="14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SFⁱⁿʰ</w:t>
            </w:r>
          </w:p>
        </w:tc>
      </w:tr>
      <w:tr w:rsidR="00170DFA">
        <w:trPr>
          <w:cantSplit/>
        </w:trPr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As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3.00E–04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1.23E–04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3.01E–04</w:t>
            </w:r>
          </w:p>
        </w:tc>
        <w:tc>
          <w:tcPr>
            <w:tcW w:w="15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15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3.66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15.1</w:t>
            </w:r>
          </w:p>
        </w:tc>
      </w:tr>
      <w:tr w:rsidR="00170DFA">
        <w:trPr>
          <w:cantSplit/>
        </w:trPr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Cd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1.00E–03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1.00E–05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1.00E–03</w:t>
            </w:r>
          </w:p>
        </w:tc>
        <w:tc>
          <w:tcPr>
            <w:tcW w:w="15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6.1</w:t>
            </w:r>
          </w:p>
        </w:tc>
        <w:tc>
          <w:tcPr>
            <w:tcW w:w="15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20.0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6.3</w:t>
            </w:r>
          </w:p>
        </w:tc>
      </w:tr>
      <w:tr w:rsidR="00170DFA">
        <w:trPr>
          <w:cantSplit/>
        </w:trPr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Cr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3.00E–03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6.00E–05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2.86E–05</w:t>
            </w:r>
          </w:p>
        </w:tc>
        <w:tc>
          <w:tcPr>
            <w:tcW w:w="15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0.5</w:t>
            </w:r>
          </w:p>
        </w:tc>
        <w:tc>
          <w:tcPr>
            <w:tcW w:w="15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20.0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42.0</w:t>
            </w:r>
          </w:p>
        </w:tc>
      </w:tr>
      <w:tr w:rsidR="00170DFA">
        <w:trPr>
          <w:cantSplit/>
        </w:trPr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Cu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4.00E–02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1.20E–02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1.42E–02</w:t>
            </w:r>
          </w:p>
        </w:tc>
        <w:tc>
          <w:tcPr>
            <w:tcW w:w="15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5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–</w:t>
            </w:r>
          </w:p>
        </w:tc>
      </w:tr>
      <w:tr w:rsidR="00170DFA">
        <w:trPr>
          <w:cantSplit/>
        </w:trPr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Hg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3.00E–04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2.10E–05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8.60E–05</w:t>
            </w:r>
          </w:p>
        </w:tc>
        <w:tc>
          <w:tcPr>
            <w:tcW w:w="15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5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–</w:t>
            </w:r>
          </w:p>
        </w:tc>
      </w:tr>
      <w:tr w:rsidR="00170DFA">
        <w:trPr>
          <w:cantSplit/>
        </w:trPr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Ni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2.00E–02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5.40E–03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2.06E–02</w:t>
            </w:r>
          </w:p>
        </w:tc>
        <w:tc>
          <w:tcPr>
            <w:tcW w:w="15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1.7</w:t>
            </w:r>
          </w:p>
        </w:tc>
        <w:tc>
          <w:tcPr>
            <w:tcW w:w="15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2.1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0.84</w:t>
            </w:r>
          </w:p>
        </w:tc>
      </w:tr>
      <w:tr w:rsidR="00170DFA">
        <w:trPr>
          <w:cantSplit/>
        </w:trPr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Pb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3.50E–03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5.25E–04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3.52E–03</w:t>
            </w:r>
          </w:p>
        </w:tc>
        <w:tc>
          <w:tcPr>
            <w:tcW w:w="15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8.5E–03</w:t>
            </w:r>
          </w:p>
        </w:tc>
        <w:tc>
          <w:tcPr>
            <w:tcW w:w="15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8.5E–03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–</w:t>
            </w:r>
          </w:p>
        </w:tc>
      </w:tr>
      <w:tr w:rsidR="00170DFA">
        <w:trPr>
          <w:cantSplit/>
        </w:trPr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8"/>
                <w:szCs w:val="18"/>
              </w:rPr>
              <w:t>Zn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3.00E–01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6.00E–02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3.00E–01</w:t>
            </w:r>
          </w:p>
        </w:tc>
        <w:tc>
          <w:tcPr>
            <w:tcW w:w="15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5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14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8"/>
                <w:szCs w:val="18"/>
              </w:rPr>
              <w:t>–</w:t>
            </w:r>
          </w:p>
        </w:tc>
      </w:tr>
    </w:tbl>
    <w:p w:rsidR="00170DFA" w:rsidRDefault="00BB5B94">
      <w:pPr>
        <w:spacing w:after="200" w:line="240" w:lineRule="auto"/>
        <w:jc w:val="left"/>
      </w:pPr>
      <w:r>
        <w:rPr>
          <w:i/>
          <w:iCs/>
          <w:sz w:val="18"/>
          <w:szCs w:val="18"/>
        </w:rPr>
        <w:t xml:space="preserve">“–” = not classified as carcinogenic by the USEPA. Pb inhalation slope factor unavailable. Values after the USEPA risk assessment </w:t>
      </w:r>
      <w:r>
        <w:rPr>
          <w:i/>
          <w:iCs/>
          <w:sz w:val="18"/>
          <w:szCs w:val="18"/>
        </w:rPr>
        <w:t>framework [1,2].</w:t>
      </w:r>
    </w:p>
    <w:p w:rsidR="00170DFA" w:rsidRDefault="00BB5B94">
      <w:pPr>
        <w:keepNext/>
        <w:spacing w:before="200" w:after="60" w:line="276" w:lineRule="auto"/>
        <w:jc w:val="left"/>
      </w:pPr>
      <w:r>
        <w:rPr>
          <w:b/>
          <w:bCs/>
          <w:sz w:val="20"/>
          <w:szCs w:val="20"/>
        </w:rPr>
        <w:t>Table S3.</w:t>
      </w:r>
      <w:r>
        <w:rPr>
          <w:sz w:val="20"/>
          <w:szCs w:val="20"/>
        </w:rPr>
        <w:t xml:space="preserve"> Contamination factor (CF) of potentially hazardous metals, contamination degree (Cdeg), modified contamination degree (mCdeg) and pollution load index (PLI) of the Zang-Tabi stream sediments.</w:t>
      </w:r>
    </w:p>
    <w:tbl>
      <w:tblPr>
        <w:tblW w:w="100" w:type="pct"/>
        <w:tblBorders>
          <w:top w:val="single" w:sz="4" w:space="0" w:color="000000"/>
          <w:left w:val="none" w:sz="4" w:space="0" w:color="auto"/>
          <w:bottom w:val="single" w:sz="4" w:space="0" w:color="000000"/>
          <w:right w:val="none" w:sz="4" w:space="0" w:color="auto"/>
          <w:insideH w:val="single" w:sz="2" w:space="0" w:color="BFBFBF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569"/>
        <w:gridCol w:w="440"/>
      </w:tblGrid>
      <w:tr w:rsidR="00170DFA">
        <w:trPr>
          <w:cantSplit/>
          <w:tblHeader/>
        </w:trPr>
        <w:tc>
          <w:tcPr>
            <w:tcW w:w="10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Sample</w:t>
            </w:r>
          </w:p>
        </w:tc>
        <w:tc>
          <w:tcPr>
            <w:tcW w:w="6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As</w:t>
            </w:r>
          </w:p>
        </w:tc>
        <w:tc>
          <w:tcPr>
            <w:tcW w:w="6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Cd</w:t>
            </w:r>
          </w:p>
        </w:tc>
        <w:tc>
          <w:tcPr>
            <w:tcW w:w="6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Cr</w:t>
            </w:r>
          </w:p>
        </w:tc>
        <w:tc>
          <w:tcPr>
            <w:tcW w:w="6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Cu</w:t>
            </w:r>
          </w:p>
        </w:tc>
        <w:tc>
          <w:tcPr>
            <w:tcW w:w="6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Hg</w:t>
            </w:r>
          </w:p>
        </w:tc>
        <w:tc>
          <w:tcPr>
            <w:tcW w:w="6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6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Pb</w:t>
            </w:r>
          </w:p>
        </w:tc>
        <w:tc>
          <w:tcPr>
            <w:tcW w:w="6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Th</w:t>
            </w:r>
          </w:p>
        </w:tc>
        <w:tc>
          <w:tcPr>
            <w:tcW w:w="6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Zn</w:t>
            </w:r>
          </w:p>
        </w:tc>
        <w:tc>
          <w:tcPr>
            <w:tcW w:w="10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Cde</w:t>
            </w:r>
            <w:r>
              <w:rPr>
                <w:b/>
                <w:bCs/>
                <w:sz w:val="16"/>
                <w:szCs w:val="16"/>
              </w:rPr>
              <w:t>g</w:t>
            </w:r>
          </w:p>
        </w:tc>
        <w:tc>
          <w:tcPr>
            <w:tcW w:w="10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mCdeg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PLI</w:t>
            </w:r>
          </w:p>
        </w:tc>
      </w:tr>
      <w:tr w:rsidR="00170DFA">
        <w:trPr>
          <w:cantSplit/>
        </w:trPr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SB01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0.096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0.033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6.39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0.181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0.282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3.38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11.56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1.28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0.38</w:t>
            </w:r>
          </w:p>
        </w:tc>
      </w:tr>
      <w:tr w:rsidR="00170DFA">
        <w:trPr>
          <w:cantSplit/>
        </w:trPr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SN02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0.046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1.42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5.62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0.346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0.504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0.442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3.65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0.491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12.64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0.567</w:t>
            </w:r>
          </w:p>
        </w:tc>
      </w:tr>
      <w:tr w:rsidR="00170DFA">
        <w:trPr>
          <w:cantSplit/>
        </w:trPr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SZM01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0.065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10.98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0.087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0.162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0.308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3.66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0.242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15.58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1.73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0.22</w:t>
            </w:r>
          </w:p>
        </w:tc>
      </w:tr>
      <w:tr w:rsidR="00170DFA">
        <w:trPr>
          <w:cantSplit/>
        </w:trPr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STD01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0.073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0.022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7.64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0.217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0.268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2.26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0.343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11.1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1.23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0.281</w:t>
            </w:r>
          </w:p>
        </w:tc>
      </w:tr>
      <w:tr w:rsidR="00170DFA">
        <w:trPr>
          <w:cantSplit/>
        </w:trPr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SBA01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0.037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0.033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8.2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0.125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0.217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0.439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5.02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0.349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14.54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1.62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0.309</w:t>
            </w:r>
          </w:p>
        </w:tc>
      </w:tr>
      <w:tr w:rsidR="00170DFA">
        <w:trPr>
          <w:cantSplit/>
        </w:trPr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SAN01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0.054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4.64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0.193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0.398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0.85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6.37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0.543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13.2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1.47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0.328</w:t>
            </w:r>
          </w:p>
        </w:tc>
      </w:tr>
      <w:tr w:rsidR="00170DFA">
        <w:trPr>
          <w:cantSplit/>
        </w:trPr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SKB01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0.222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5.45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1.29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0.796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0.518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3.26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1.69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13.43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1.49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0.673</w:t>
            </w:r>
          </w:p>
        </w:tc>
      </w:tr>
      <w:tr w:rsidR="00170DFA">
        <w:trPr>
          <w:cantSplit/>
        </w:trPr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SZP01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0.044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4.92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0.287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0.312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1.32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8.21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0.59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15.81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1.76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0.352</w:t>
            </w:r>
          </w:p>
        </w:tc>
      </w:tr>
      <w:tr w:rsidR="00170DFA">
        <w:trPr>
          <w:cantSplit/>
        </w:trPr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SOM01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0.054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6.67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0.115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0.621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0.648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26.61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2.96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0.469</w:t>
            </w:r>
          </w:p>
        </w:tc>
      </w:tr>
      <w:tr w:rsidR="00170DFA">
        <w:trPr>
          <w:cantSplit/>
        </w:trPr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SG01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0.489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5.51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0.532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0.334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2.18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10.81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21.57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0.818</w:t>
            </w:r>
          </w:p>
        </w:tc>
      </w:tr>
      <w:tr w:rsidR="00170DFA">
        <w:trPr>
          <w:cantSplit/>
        </w:trPr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SN03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0.031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4.99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0.084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0.405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0.446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3.02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0.594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9.67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1.07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0.237</w:t>
            </w:r>
          </w:p>
        </w:tc>
      </w:tr>
      <w:tr w:rsidR="00170DFA">
        <w:trPr>
          <w:cantSplit/>
        </w:trPr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SAT01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0.071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0.044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13.21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1.88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0.326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3.46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1.48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0.203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20.74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0.504</w:t>
            </w:r>
          </w:p>
        </w:tc>
      </w:tr>
      <w:tr w:rsidR="00170DFA">
        <w:trPr>
          <w:cantSplit/>
        </w:trPr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lastRenderedPageBreak/>
              <w:t>SK01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0.037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0.089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5.13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0.857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0.191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0.588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3.47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0.867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11.45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1.27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0.469</w:t>
            </w:r>
          </w:p>
        </w:tc>
      </w:tr>
      <w:tr w:rsidR="00170DFA">
        <w:trPr>
          <w:cantSplit/>
        </w:trPr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SN01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0.035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5.98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0.225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0.228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0.709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6.23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0.554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14.06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1.56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0.29</w:t>
            </w:r>
          </w:p>
        </w:tc>
      </w:tr>
      <w:tr w:rsidR="00170DFA">
        <w:trPr>
          <w:cantSplit/>
        </w:trPr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SO01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0.069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0.044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6.87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0.964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0.485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0.462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9.35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0.655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19.02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2.11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0.531</w:t>
            </w:r>
          </w:p>
        </w:tc>
      </w:tr>
      <w:tr w:rsidR="00170DFA">
        <w:trPr>
          <w:cantSplit/>
        </w:trPr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Average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0.055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0.169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6.81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0.487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0.132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0.341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0.875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5.88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0.652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15.4</w:t>
            </w:r>
          </w:p>
        </w:tc>
        <w:tc>
          <w:tcPr>
            <w:tcW w:w="10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1.71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0.428</w:t>
            </w:r>
          </w:p>
        </w:tc>
      </w:tr>
    </w:tbl>
    <w:p w:rsidR="00170DFA" w:rsidRDefault="00BB5B94">
      <w:pPr>
        <w:spacing w:after="200" w:line="240" w:lineRule="auto"/>
        <w:jc w:val="left"/>
      </w:pPr>
      <w:r>
        <w:rPr>
          <w:i/>
          <w:iCs/>
          <w:sz w:val="18"/>
          <w:szCs w:val="18"/>
        </w:rPr>
        <w:t xml:space="preserve">Background values: UCC of Rudnick and Gao (2014) [3]. CF = Cᵢ/Cᵇ; Cdeg = ΣCF; mCdeg = Cdeg/9; PLI </w:t>
      </w:r>
      <w:r>
        <w:rPr>
          <w:i/>
          <w:iCs/>
          <w:sz w:val="18"/>
          <w:szCs w:val="18"/>
        </w:rPr>
        <w:t>= (ΠCF)^(1/9).</w:t>
      </w:r>
    </w:p>
    <w:p w:rsidR="00170DFA" w:rsidRDefault="00BB5B94">
      <w:pPr>
        <w:keepNext/>
        <w:spacing w:before="200" w:after="60" w:line="276" w:lineRule="auto"/>
        <w:jc w:val="left"/>
      </w:pPr>
      <w:r>
        <w:rPr>
          <w:b/>
          <w:bCs/>
          <w:sz w:val="20"/>
          <w:szCs w:val="20"/>
        </w:rPr>
        <w:t>Table S4.</w:t>
      </w:r>
      <w:r>
        <w:rPr>
          <w:sz w:val="20"/>
          <w:szCs w:val="20"/>
        </w:rPr>
        <w:t xml:space="preserve"> Enrichment factor (EF) of potentially hazardous metals in the Zang-Tabi stream sediments (Al-normalised).</w:t>
      </w:r>
    </w:p>
    <w:tbl>
      <w:tblPr>
        <w:tblW w:w="100" w:type="pct"/>
        <w:tblBorders>
          <w:top w:val="single" w:sz="4" w:space="0" w:color="000000"/>
          <w:left w:val="none" w:sz="4" w:space="0" w:color="auto"/>
          <w:bottom w:val="single" w:sz="4" w:space="0" w:color="000000"/>
          <w:right w:val="none" w:sz="4" w:space="0" w:color="auto"/>
          <w:insideH w:val="single" w:sz="2" w:space="0" w:color="BFBFBF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360"/>
        <w:gridCol w:w="440"/>
        <w:gridCol w:w="320"/>
        <w:gridCol w:w="440"/>
        <w:gridCol w:w="360"/>
        <w:gridCol w:w="440"/>
        <w:gridCol w:w="440"/>
        <w:gridCol w:w="440"/>
        <w:gridCol w:w="440"/>
      </w:tblGrid>
      <w:tr w:rsidR="00170DFA">
        <w:trPr>
          <w:cantSplit/>
          <w:tblHeader/>
        </w:trPr>
        <w:tc>
          <w:tcPr>
            <w:tcW w:w="12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Sample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As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Cd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Cr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Cu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Hg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Pb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Th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Zn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SB01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3.99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1.39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266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7.54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7.5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11.74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21.66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141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20.82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SN02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3.72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115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456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28.07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9.73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40.9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35.83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296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39.83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SZM01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1.78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302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2.39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4.47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8.47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6.65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STD01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2.44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0.74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256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4.68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4.69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7.27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8.99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75.61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11.5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SBA01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1.31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1.17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287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4.38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7.6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15.37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176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12.23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SAN01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2.69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231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9.6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6.96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19.78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42.25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317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27.01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SKB01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1.71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7.61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186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44.03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5.48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27.25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17.75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112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58.01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SZP01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158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9.23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3.85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10.01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42.3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264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18.93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SOM01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1.52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187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3.23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3.92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7.27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17.39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504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18.15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SG01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1.79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14.49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163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15.77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4.74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9.9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64.5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320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44.45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SN03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0.78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124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2.09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2.49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10.07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11.08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75.04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14.76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SAT01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2.87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536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76.18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3.24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13.2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59.86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8.23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SK01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2.85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165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27.52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7.06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6.12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18.88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27.84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SN01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1.16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196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7.38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3.28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7.46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23.24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18.16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SO01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1.51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0.98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151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21.23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2.64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10.68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10.17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206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14.42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Average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1.99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10.01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17.55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12.91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31.88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197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22.73</w:t>
            </w:r>
          </w:p>
        </w:tc>
      </w:tr>
    </w:tbl>
    <w:p w:rsidR="00170DFA" w:rsidRDefault="00BB5B94">
      <w:pPr>
        <w:spacing w:after="200" w:line="240" w:lineRule="auto"/>
        <w:jc w:val="left"/>
      </w:pPr>
      <w:r>
        <w:rPr>
          <w:i/>
          <w:iCs/>
          <w:sz w:val="18"/>
          <w:szCs w:val="18"/>
        </w:rPr>
        <w:t xml:space="preserve">EF = (Cᵢ/Al)sample / </w:t>
      </w:r>
      <w:r>
        <w:rPr>
          <w:i/>
          <w:iCs/>
          <w:sz w:val="18"/>
          <w:szCs w:val="18"/>
        </w:rPr>
        <w:t>(Cᵢ/Al)UCC [3,4].</w:t>
      </w:r>
    </w:p>
    <w:p w:rsidR="00170DFA" w:rsidRDefault="00BB5B94">
      <w:pPr>
        <w:keepNext/>
        <w:spacing w:before="200" w:after="60" w:line="276" w:lineRule="auto"/>
        <w:jc w:val="left"/>
      </w:pPr>
      <w:r>
        <w:rPr>
          <w:b/>
          <w:bCs/>
          <w:sz w:val="20"/>
          <w:szCs w:val="20"/>
        </w:rPr>
        <w:t>Table S5.</w:t>
      </w:r>
      <w:r>
        <w:rPr>
          <w:sz w:val="20"/>
          <w:szCs w:val="20"/>
        </w:rPr>
        <w:t xml:space="preserve"> Geo-accumulation index (Igeo) of potentially hazardous metals in the Zang-Tabi stream sediments.</w:t>
      </w:r>
    </w:p>
    <w:tbl>
      <w:tblPr>
        <w:tblW w:w="100" w:type="pct"/>
        <w:tblBorders>
          <w:top w:val="single" w:sz="4" w:space="0" w:color="000000"/>
          <w:left w:val="none" w:sz="4" w:space="0" w:color="auto"/>
          <w:bottom w:val="single" w:sz="4" w:space="0" w:color="000000"/>
          <w:right w:val="none" w:sz="4" w:space="0" w:color="auto"/>
          <w:insideH w:val="single" w:sz="2" w:space="0" w:color="BFBFBF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170DFA">
        <w:trPr>
          <w:cantSplit/>
          <w:tblHeader/>
        </w:trPr>
        <w:tc>
          <w:tcPr>
            <w:tcW w:w="12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Sample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As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Cd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Cr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Cu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Hg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Pb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Th</w:t>
            </w:r>
          </w:p>
        </w:tc>
        <w:tc>
          <w:tcPr>
            <w:tcW w:w="9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Zn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SB01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-3.97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-5.49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2.09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-3.05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-3.06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-2.41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-1.53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1.17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-1.58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SN02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-5.03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-0.08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1.91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-2.12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-3.64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-1.57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-1.76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1.28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-1.61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SZM01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-4.54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-8.08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2.87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-4.11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-4.23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-3.21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-2.29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1.29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-2.63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STD01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-4.36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-6.08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2.35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-3.42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-3.42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-2.79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-2.48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-2.13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SBA01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-5.32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-5.49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2.45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-3.58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-3.64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-2.79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-1.77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1.74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-2.10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SAN01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-4.79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-8.08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1.63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-2.96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-3.42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-1.92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-0.82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2.09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-1.47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SKB01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-4.91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-2.75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1.86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-0.22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-3.23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-0.92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-1.53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1.12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0.17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SZP01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-5.10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-8.08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1.72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-2.38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-3.64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-2.27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-0.19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2.45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-1.35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SOM01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-4.79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-3.91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2.15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-3.70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-3.42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-2.53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-1.27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3.58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-1.21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SG01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-4.63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-1.62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1.88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-1.50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-3.23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-2.17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2.85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SN03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-5.58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-8.08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1.73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-4.15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-3.91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-1.89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-1.75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-1.34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SAT01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-4.40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-5.08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3.14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-4.23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-2.20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1.21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-0.02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-2.89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SK01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-5.32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-4.08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1.77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-0.81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-2.77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-2.98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-1.35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1.21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-0.79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lastRenderedPageBreak/>
              <w:t>SN01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-5.40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-8.08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2.00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-2.74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-3.91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-2.72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-1.08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2.05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-1.44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SO01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-4.45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-5.08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2.19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-0.64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-3.64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-1.63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-1.70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2.64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-1.20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Average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-4.84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-5.34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2.12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-2.34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-3.56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-2.27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-1.19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1.67</w:t>
            </w:r>
          </w:p>
        </w:tc>
        <w:tc>
          <w:tcPr>
            <w:tcW w:w="9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-1.44</w:t>
            </w:r>
          </w:p>
        </w:tc>
      </w:tr>
    </w:tbl>
    <w:p w:rsidR="00170DFA" w:rsidRDefault="00BB5B94">
      <w:pPr>
        <w:spacing w:after="200" w:line="240" w:lineRule="auto"/>
        <w:jc w:val="left"/>
      </w:pPr>
      <w:r>
        <w:rPr>
          <w:i/>
          <w:iCs/>
          <w:sz w:val="18"/>
          <w:szCs w:val="18"/>
        </w:rPr>
        <w:t>Igeo = log₂[Cᵢ/(1.5 Bᵢ)] [3,5].</w:t>
      </w:r>
    </w:p>
    <w:p w:rsidR="00170DFA" w:rsidRDefault="00BB5B94">
      <w:pPr>
        <w:keepNext/>
        <w:spacing w:before="200" w:after="60" w:line="276" w:lineRule="auto"/>
        <w:jc w:val="left"/>
      </w:pPr>
      <w:r>
        <w:rPr>
          <w:b/>
          <w:bCs/>
          <w:sz w:val="20"/>
          <w:szCs w:val="20"/>
        </w:rPr>
        <w:t>Table S6.</w:t>
      </w:r>
      <w:r>
        <w:rPr>
          <w:sz w:val="20"/>
          <w:szCs w:val="20"/>
        </w:rPr>
        <w:t xml:space="preserve"> Ecological risk factor (ERF) and potential ecological risk index (PERI) of the Zang-Tabi stream sediments.</w:t>
      </w:r>
    </w:p>
    <w:tbl>
      <w:tblPr>
        <w:tblW w:w="100" w:type="pct"/>
        <w:tblBorders>
          <w:top w:val="single" w:sz="4" w:space="0" w:color="000000"/>
          <w:left w:val="none" w:sz="4" w:space="0" w:color="auto"/>
          <w:bottom w:val="single" w:sz="4" w:space="0" w:color="000000"/>
          <w:right w:val="none" w:sz="4" w:space="0" w:color="auto"/>
          <w:insideH w:val="single" w:sz="2" w:space="0" w:color="BFBFBF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440"/>
        <w:gridCol w:w="440"/>
        <w:gridCol w:w="440"/>
        <w:gridCol w:w="360"/>
        <w:gridCol w:w="360"/>
        <w:gridCol w:w="360"/>
        <w:gridCol w:w="440"/>
        <w:gridCol w:w="440"/>
        <w:gridCol w:w="440"/>
        <w:gridCol w:w="463"/>
      </w:tblGrid>
      <w:tr w:rsidR="00170DFA">
        <w:trPr>
          <w:cantSplit/>
          <w:tblHeader/>
        </w:trPr>
        <w:tc>
          <w:tcPr>
            <w:tcW w:w="11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Sample</w:t>
            </w:r>
          </w:p>
        </w:tc>
        <w:tc>
          <w:tcPr>
            <w:tcW w:w="6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As</w:t>
            </w:r>
          </w:p>
        </w:tc>
        <w:tc>
          <w:tcPr>
            <w:tcW w:w="6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Cd</w:t>
            </w:r>
          </w:p>
        </w:tc>
        <w:tc>
          <w:tcPr>
            <w:tcW w:w="6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Cr</w:t>
            </w:r>
          </w:p>
        </w:tc>
        <w:tc>
          <w:tcPr>
            <w:tcW w:w="6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Cu</w:t>
            </w:r>
          </w:p>
        </w:tc>
        <w:tc>
          <w:tcPr>
            <w:tcW w:w="6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Hg</w:t>
            </w:r>
          </w:p>
        </w:tc>
        <w:tc>
          <w:tcPr>
            <w:tcW w:w="6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6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Pb</w:t>
            </w:r>
          </w:p>
        </w:tc>
        <w:tc>
          <w:tcPr>
            <w:tcW w:w="6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Th</w:t>
            </w:r>
          </w:p>
        </w:tc>
        <w:tc>
          <w:tcPr>
            <w:tcW w:w="6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Zn</w:t>
            </w:r>
          </w:p>
        </w:tc>
        <w:tc>
          <w:tcPr>
            <w:tcW w:w="11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PERI</w:t>
            </w:r>
          </w:p>
        </w:tc>
      </w:tr>
      <w:tr w:rsidR="00170DFA">
        <w:trPr>
          <w:cantSplit/>
        </w:trPr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SB01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0.96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12.78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0.91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7.2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1.41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3.38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</w:t>
            </w:r>
          </w:p>
        </w:tc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30.74</w:t>
            </w:r>
          </w:p>
        </w:tc>
      </w:tr>
      <w:tr w:rsidR="00170DFA">
        <w:trPr>
          <w:cantSplit/>
        </w:trPr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SN02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42.67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11.24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1.73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2.52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2.21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3.65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0.49</w:t>
            </w:r>
          </w:p>
        </w:tc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69.76</w:t>
            </w:r>
          </w:p>
        </w:tc>
      </w:tr>
      <w:tr w:rsidR="00170DFA">
        <w:trPr>
          <w:cantSplit/>
        </w:trPr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SZM01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21.96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0.81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1.54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3.66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0.24</w:t>
            </w:r>
          </w:p>
        </w:tc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32.65</w:t>
            </w:r>
          </w:p>
        </w:tc>
      </w:tr>
      <w:tr w:rsidR="00170DFA">
        <w:trPr>
          <w:cantSplit/>
        </w:trPr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STD01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0.73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15.28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1.09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1.34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2.26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0.34</w:t>
            </w:r>
          </w:p>
        </w:tc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28</w:t>
            </w:r>
          </w:p>
        </w:tc>
      </w:tr>
      <w:tr w:rsidR="00170DFA">
        <w:trPr>
          <w:cantSplit/>
        </w:trPr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SBA01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16.39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1.09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2.19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5.02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0.35</w:t>
            </w:r>
          </w:p>
        </w:tc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31.84</w:t>
            </w:r>
          </w:p>
        </w:tc>
      </w:tr>
      <w:tr w:rsidR="00170DFA">
        <w:trPr>
          <w:cantSplit/>
        </w:trPr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SAN01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9.28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0.97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1.99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4.25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6.37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0.54</w:t>
            </w:r>
          </w:p>
        </w:tc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29.71</w:t>
            </w:r>
          </w:p>
        </w:tc>
      </w:tr>
      <w:tr w:rsidR="00170DFA">
        <w:trPr>
          <w:cantSplit/>
        </w:trPr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SKB01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6.67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10.89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6.43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3.98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2.59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3.26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1.69</w:t>
            </w:r>
          </w:p>
        </w:tc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42.41</w:t>
            </w:r>
          </w:p>
        </w:tc>
      </w:tr>
      <w:tr w:rsidR="00170DFA">
        <w:trPr>
          <w:cantSplit/>
        </w:trPr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SZP01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9.85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1.44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1.56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6.59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8.21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0.59</w:t>
            </w:r>
          </w:p>
        </w:tc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33.64</w:t>
            </w:r>
          </w:p>
        </w:tc>
      </w:tr>
      <w:tr w:rsidR="00170DFA">
        <w:trPr>
          <w:cantSplit/>
        </w:trPr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SOM01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13.35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0.65</w:t>
            </w:r>
          </w:p>
        </w:tc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46.11</w:t>
            </w:r>
          </w:p>
        </w:tc>
      </w:tr>
      <w:tr w:rsidR="00170DFA">
        <w:trPr>
          <w:cantSplit/>
        </w:trPr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SG01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14.67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11.02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2.66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1.67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10.88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10.81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60.22</w:t>
            </w:r>
          </w:p>
        </w:tc>
      </w:tr>
      <w:tr w:rsidR="00170DFA">
        <w:trPr>
          <w:cantSplit/>
        </w:trPr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SN03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9.98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2.03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2.23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3.02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0.59</w:t>
            </w:r>
          </w:p>
        </w:tc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22.75</w:t>
            </w:r>
          </w:p>
        </w:tc>
      </w:tr>
      <w:tr w:rsidR="00170DFA">
        <w:trPr>
          <w:cantSplit/>
        </w:trPr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SAT01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0.71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1.33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26.41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9.39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1.63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17.29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1.48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61.65</w:t>
            </w:r>
          </w:p>
        </w:tc>
      </w:tr>
      <w:tr w:rsidR="00170DFA">
        <w:trPr>
          <w:cantSplit/>
        </w:trPr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SK01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2.67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10.26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4.29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8.8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0.95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2.94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3.47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0.87</w:t>
            </w:r>
          </w:p>
        </w:tc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34.62</w:t>
            </w:r>
          </w:p>
        </w:tc>
      </w:tr>
      <w:tr w:rsidR="00170DFA">
        <w:trPr>
          <w:cantSplit/>
        </w:trPr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SN01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11.96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1.12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1.14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3.54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6.23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0.55</w:t>
            </w:r>
          </w:p>
        </w:tc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29.07</w:t>
            </w:r>
          </w:p>
        </w:tc>
      </w:tr>
      <w:tr w:rsidR="00170DFA">
        <w:trPr>
          <w:cantSplit/>
        </w:trPr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SO01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1.33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13.74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4.82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2.43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2.31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9.35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0.66</w:t>
            </w:r>
          </w:p>
        </w:tc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40.12</w:t>
            </w:r>
          </w:p>
        </w:tc>
      </w:tr>
      <w:tr w:rsidR="00170DFA">
        <w:trPr>
          <w:cantSplit/>
        </w:trPr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Average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0.549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5.06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13.63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2.43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5.28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1.71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4.37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5.88</w:t>
            </w:r>
          </w:p>
        </w:tc>
        <w:tc>
          <w:tcPr>
            <w:tcW w:w="6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0.651</w:t>
            </w:r>
          </w:p>
        </w:tc>
        <w:tc>
          <w:tcPr>
            <w:tcW w:w="11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39.55</w:t>
            </w:r>
          </w:p>
        </w:tc>
      </w:tr>
    </w:tbl>
    <w:p w:rsidR="00170DFA" w:rsidRDefault="00BB5B94">
      <w:pPr>
        <w:spacing w:after="200" w:line="240" w:lineRule="auto"/>
        <w:jc w:val="left"/>
      </w:pPr>
      <w:r>
        <w:rPr>
          <w:i/>
          <w:iCs/>
          <w:sz w:val="18"/>
          <w:szCs w:val="18"/>
        </w:rPr>
        <w:t xml:space="preserve">ERF = Tᵣ × CF, with Tᵣ: As = 10, Cd = 30, Cr = 2, Cu = 5, Hg = 40, Ni = 5, Pb = 5, Th = 1, Zn = 1; PERI = </w:t>
      </w:r>
      <w:r>
        <w:rPr>
          <w:i/>
          <w:iCs/>
          <w:sz w:val="18"/>
          <w:szCs w:val="18"/>
        </w:rPr>
        <w:t>ΣERF [6].</w:t>
      </w:r>
    </w:p>
    <w:p w:rsidR="00170DFA" w:rsidRDefault="00BB5B94">
      <w:pPr>
        <w:keepNext/>
        <w:spacing w:before="200" w:after="60" w:line="276" w:lineRule="auto"/>
        <w:jc w:val="left"/>
      </w:pPr>
      <w:r>
        <w:rPr>
          <w:b/>
          <w:bCs/>
          <w:sz w:val="20"/>
          <w:szCs w:val="20"/>
        </w:rPr>
        <w:t>Table S7.</w:t>
      </w:r>
      <w:r>
        <w:rPr>
          <w:sz w:val="20"/>
          <w:szCs w:val="20"/>
        </w:rPr>
        <w:t xml:space="preserve"> Toxic risk index (TRI) of potentially hazardous metals in the Zang-Tabi stream sediments.</w:t>
      </w:r>
    </w:p>
    <w:tbl>
      <w:tblPr>
        <w:tblW w:w="100" w:type="pct"/>
        <w:tblBorders>
          <w:top w:val="single" w:sz="4" w:space="0" w:color="000000"/>
          <w:left w:val="none" w:sz="4" w:space="0" w:color="auto"/>
          <w:bottom w:val="single" w:sz="4" w:space="0" w:color="000000"/>
          <w:right w:val="none" w:sz="4" w:space="0" w:color="auto"/>
          <w:insideH w:val="single" w:sz="2" w:space="0" w:color="BFBFBF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360"/>
        <w:gridCol w:w="360"/>
        <w:gridCol w:w="440"/>
        <w:gridCol w:w="360"/>
        <w:gridCol w:w="360"/>
        <w:gridCol w:w="360"/>
        <w:gridCol w:w="360"/>
        <w:gridCol w:w="360"/>
        <w:gridCol w:w="440"/>
      </w:tblGrid>
      <w:tr w:rsidR="00170DFA">
        <w:trPr>
          <w:cantSplit/>
          <w:tblHeader/>
        </w:trPr>
        <w:tc>
          <w:tcPr>
            <w:tcW w:w="12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Sample</w:t>
            </w:r>
          </w:p>
        </w:tc>
        <w:tc>
          <w:tcPr>
            <w:tcW w:w="8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As</w:t>
            </w:r>
          </w:p>
        </w:tc>
        <w:tc>
          <w:tcPr>
            <w:tcW w:w="8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Cd</w:t>
            </w:r>
          </w:p>
        </w:tc>
        <w:tc>
          <w:tcPr>
            <w:tcW w:w="8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Cr</w:t>
            </w:r>
          </w:p>
        </w:tc>
        <w:tc>
          <w:tcPr>
            <w:tcW w:w="8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Cu</w:t>
            </w:r>
          </w:p>
        </w:tc>
        <w:tc>
          <w:tcPr>
            <w:tcW w:w="8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Hg</w:t>
            </w:r>
          </w:p>
        </w:tc>
        <w:tc>
          <w:tcPr>
            <w:tcW w:w="8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8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Pb</w:t>
            </w:r>
          </w:p>
        </w:tc>
        <w:tc>
          <w:tcPr>
            <w:tcW w:w="8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Zn</w:t>
            </w:r>
          </w:p>
        </w:tc>
        <w:tc>
          <w:tcPr>
            <w:tcW w:w="12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TRI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SB01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0.08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17.06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0.82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0.29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18.74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SN02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15.00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0.28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1.47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0.29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17.56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SZM01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29.31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0.14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30.24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STD01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20.40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0.20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21.60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SBA01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21.88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0.20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23.12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SAN01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0.05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12.39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0.15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1.16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0.32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14.56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SKB01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14.54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1.02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0.05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2.32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0.99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19.27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SZP01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13.15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0.91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0.69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0.34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15.39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SOM01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0.05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17.82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0.09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0.76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0.38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19.47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SG01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0.05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14.71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0.05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0.97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1.13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0.88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18.30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SN03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13.32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1.18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0.35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15.21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SAT01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35.26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1.50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0.95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1.80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0.12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39.72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SK01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13.70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0.68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0.51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15.86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SN01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15.96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0.18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0.32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17.56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SO01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18.34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0.77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1.42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0.38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21.25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Average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0.05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18.19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0.39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1.00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0.38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20.52</w:t>
            </w:r>
          </w:p>
        </w:tc>
      </w:tr>
    </w:tbl>
    <w:p w:rsidR="00170DFA" w:rsidRDefault="00BB5B94">
      <w:pPr>
        <w:spacing w:after="200" w:line="240" w:lineRule="auto"/>
        <w:jc w:val="left"/>
      </w:pPr>
      <w:r>
        <w:rPr>
          <w:i/>
          <w:iCs/>
          <w:sz w:val="18"/>
          <w:szCs w:val="18"/>
        </w:rPr>
        <w:t xml:space="preserve">TRIᵢ = </w:t>
      </w:r>
      <w:r>
        <w:rPr>
          <w:i/>
          <w:iCs/>
          <w:sz w:val="18"/>
          <w:szCs w:val="18"/>
        </w:rPr>
        <w:t>√[(Cᵢ/TELᵢ)² + (Cᵢ/PELᵢ)²]; TRI = ΣTRIᵢ [7–9]. Th excluded (no TEL/PEL).</w:t>
      </w:r>
    </w:p>
    <w:p w:rsidR="00170DFA" w:rsidRDefault="00BB5B94">
      <w:pPr>
        <w:keepNext/>
        <w:spacing w:before="200" w:after="60" w:line="276" w:lineRule="auto"/>
        <w:jc w:val="left"/>
      </w:pPr>
      <w:r>
        <w:rPr>
          <w:b/>
          <w:bCs/>
          <w:sz w:val="20"/>
          <w:szCs w:val="20"/>
        </w:rPr>
        <w:t>Table S8.</w:t>
      </w:r>
      <w:r>
        <w:rPr>
          <w:sz w:val="20"/>
          <w:szCs w:val="20"/>
        </w:rPr>
        <w:t xml:space="preserve"> Toxic units (TU) of potentially hazardous metals in the Zang-Tabi stream sediments.</w:t>
      </w:r>
    </w:p>
    <w:tbl>
      <w:tblPr>
        <w:tblW w:w="100" w:type="pct"/>
        <w:tblBorders>
          <w:top w:val="single" w:sz="4" w:space="0" w:color="000000"/>
          <w:left w:val="none" w:sz="4" w:space="0" w:color="auto"/>
          <w:bottom w:val="single" w:sz="4" w:space="0" w:color="000000"/>
          <w:right w:val="none" w:sz="4" w:space="0" w:color="auto"/>
          <w:insideH w:val="single" w:sz="2" w:space="0" w:color="BFBFBF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440"/>
        <w:gridCol w:w="440"/>
        <w:gridCol w:w="520"/>
        <w:gridCol w:w="440"/>
        <w:gridCol w:w="440"/>
        <w:gridCol w:w="440"/>
        <w:gridCol w:w="440"/>
        <w:gridCol w:w="440"/>
        <w:gridCol w:w="440"/>
      </w:tblGrid>
      <w:tr w:rsidR="00170DFA">
        <w:trPr>
          <w:cantSplit/>
          <w:tblHeader/>
        </w:trPr>
        <w:tc>
          <w:tcPr>
            <w:tcW w:w="12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Sample</w:t>
            </w:r>
          </w:p>
        </w:tc>
        <w:tc>
          <w:tcPr>
            <w:tcW w:w="8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As</w:t>
            </w:r>
          </w:p>
        </w:tc>
        <w:tc>
          <w:tcPr>
            <w:tcW w:w="8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Cd</w:t>
            </w:r>
          </w:p>
        </w:tc>
        <w:tc>
          <w:tcPr>
            <w:tcW w:w="8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Cr</w:t>
            </w:r>
          </w:p>
        </w:tc>
        <w:tc>
          <w:tcPr>
            <w:tcW w:w="8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Cu</w:t>
            </w:r>
          </w:p>
        </w:tc>
        <w:tc>
          <w:tcPr>
            <w:tcW w:w="8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Hg</w:t>
            </w:r>
          </w:p>
        </w:tc>
        <w:tc>
          <w:tcPr>
            <w:tcW w:w="8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8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Pb</w:t>
            </w:r>
          </w:p>
        </w:tc>
        <w:tc>
          <w:tcPr>
            <w:tcW w:w="8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Zn</w:t>
            </w:r>
          </w:p>
        </w:tc>
        <w:tc>
          <w:tcPr>
            <w:tcW w:w="12" w:type="pct"/>
            <w:shd w:val="clear" w:color="auto" w:fill="F2F2F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TU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SB01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0.027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6.533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0.026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0.018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0.368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0.097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0.106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7.18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SN02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0.036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5.744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0.049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0.658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0.082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0.104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6.70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SZM01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0.018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11.222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0.008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0.212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0.057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0.051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11.58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STD01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0.021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7.811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0.020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0.283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0.050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0.073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8.27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lastRenderedPageBreak/>
              <w:t>SBA01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8.378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0.018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0.283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0.082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0.074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8.86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SAN01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0.015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4.744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0.028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0.519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0.158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0.116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5.60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SKB01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5.567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0.183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1.039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0.097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0.360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7.28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SZP01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5.033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0.041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0.407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0.245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0.125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5.88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SOM01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0.015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6.822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0.339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0.116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0.138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7.46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SG01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5.633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0.076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0.436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0.405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0.319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6.92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SN03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0.009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5.100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0.529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0.083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0.126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5.87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SAT01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0.020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13.500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0.267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0.008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0.425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0.644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0.043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14.91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SK01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5.244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0.122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0.023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0.249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0.110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0.184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5.94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SN01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6.111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0.032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0.010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0.297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0.132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0.118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6.71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SO01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0.019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0.001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7.022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0.137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0.012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0.633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0.086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0.139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8.05</w:t>
            </w:r>
          </w:p>
        </w:tc>
      </w:tr>
      <w:tr w:rsidR="00170DFA">
        <w:trPr>
          <w:cantSplit/>
        </w:trPr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left"/>
            </w:pPr>
            <w:r>
              <w:rPr>
                <w:sz w:val="16"/>
                <w:szCs w:val="16"/>
              </w:rPr>
              <w:t>Average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0.015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0.004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6.964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0.069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0.014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0.445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0.163</w:t>
            </w:r>
          </w:p>
        </w:tc>
        <w:tc>
          <w:tcPr>
            <w:tcW w:w="8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0.139</w:t>
            </w:r>
          </w:p>
        </w:tc>
        <w:tc>
          <w:tcPr>
            <w:tcW w:w="12" w:type="pct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170DFA" w:rsidRDefault="00BB5B94">
            <w:pPr>
              <w:spacing w:line="240" w:lineRule="auto"/>
              <w:jc w:val="center"/>
            </w:pPr>
            <w:r>
              <w:rPr>
                <w:sz w:val="16"/>
                <w:szCs w:val="16"/>
              </w:rPr>
              <w:t>7.81</w:t>
            </w:r>
          </w:p>
        </w:tc>
      </w:tr>
    </w:tbl>
    <w:p w:rsidR="00170DFA" w:rsidRDefault="00BB5B94">
      <w:pPr>
        <w:spacing w:after="200" w:line="240" w:lineRule="auto"/>
        <w:jc w:val="left"/>
      </w:pPr>
      <w:r>
        <w:rPr>
          <w:i/>
          <w:iCs/>
          <w:sz w:val="18"/>
          <w:szCs w:val="18"/>
        </w:rPr>
        <w:t>TUᵢ = Cᵢ/PELᵢ; TU = ΣTUᵢ [8,9]. Th excluded (no PEL).</w:t>
      </w:r>
    </w:p>
    <w:p w:rsidR="00170DFA" w:rsidRDefault="00BB5B94">
      <w:pPr>
        <w:keepNext/>
        <w:spacing w:before="160" w:after="60"/>
        <w:jc w:val="center"/>
      </w:pPr>
      <w:r>
        <w:rPr>
          <w:noProof/>
        </w:rPr>
        <w:drawing>
          <wp:inline distT="0" distB="0" distL="0" distR="0">
            <wp:extent cx="5334000" cy="5705475"/>
            <wp:effectExtent l="0" t="0" r="0" b="0"/>
            <wp:docPr id="1026" name="Picture 10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6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533400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DFA" w:rsidRDefault="00BB5B94">
      <w:pPr>
        <w:spacing w:after="200" w:line="276" w:lineRule="auto"/>
        <w:jc w:val="left"/>
      </w:pPr>
      <w:r>
        <w:rPr>
          <w:b/>
          <w:bCs/>
          <w:sz w:val="20"/>
          <w:szCs w:val="20"/>
        </w:rPr>
        <w:t>Fig. S1.</w:t>
      </w:r>
      <w:r>
        <w:rPr>
          <w:sz w:val="20"/>
          <w:szCs w:val="20"/>
        </w:rPr>
        <w:t xml:space="preserve"> Comparison of potentially hazardous metal concentrations in the Zang-Tabi stream sediments with the threshold effect level (TEL) benchmark (red columns = above guideline): (a) As, (b) Cd, (c) Cr, (d) Cu, (e) Pb, (f) Zn, (g) Hg and (h) Ni. SQG values after</w:t>
      </w:r>
      <w:r>
        <w:rPr>
          <w:sz w:val="20"/>
          <w:szCs w:val="20"/>
        </w:rPr>
        <w:t xml:space="preserve"> MacDonald et al. (2000) [9].</w:t>
      </w:r>
    </w:p>
    <w:p w:rsidR="00170DFA" w:rsidRDefault="00BB5B94">
      <w:pPr>
        <w:keepNext/>
        <w:spacing w:before="160" w:after="60"/>
        <w:jc w:val="center"/>
      </w:pPr>
      <w:r>
        <w:rPr>
          <w:noProof/>
        </w:rPr>
        <w:lastRenderedPageBreak/>
        <w:drawing>
          <wp:inline distT="0" distB="0" distL="0" distR="0">
            <wp:extent cx="5334000" cy="5705475"/>
            <wp:effectExtent l="0" t="0" r="0" b="0"/>
            <wp:docPr id="1027" name="Picture 10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027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533400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DFA" w:rsidRDefault="00BB5B94">
      <w:pPr>
        <w:spacing w:after="200" w:line="276" w:lineRule="auto"/>
        <w:jc w:val="left"/>
      </w:pPr>
      <w:r>
        <w:rPr>
          <w:b/>
          <w:bCs/>
          <w:sz w:val="20"/>
          <w:szCs w:val="20"/>
        </w:rPr>
        <w:t>Fig. S2.</w:t>
      </w:r>
      <w:r>
        <w:rPr>
          <w:sz w:val="20"/>
          <w:szCs w:val="20"/>
        </w:rPr>
        <w:t xml:space="preserve"> Comparison of potentially hazardous metal concentrations in the Zang-Tabi stream sediments with the probable effect level (PEL) benchmark (red columns = above guideline): (a) As, (b) Cd, (c) Cr, (d) Cu, (e) Pb, (f) </w:t>
      </w:r>
      <w:r>
        <w:rPr>
          <w:sz w:val="20"/>
          <w:szCs w:val="20"/>
        </w:rPr>
        <w:t>Zn, (g) Hg and (h) Ni. SQG values after MacDonald et al. (2000) [9].</w:t>
      </w:r>
    </w:p>
    <w:p w:rsidR="00170DFA" w:rsidRDefault="00BB5B94">
      <w:pPr>
        <w:keepNext/>
        <w:spacing w:before="160" w:after="60"/>
        <w:jc w:val="center"/>
      </w:pPr>
      <w:r>
        <w:rPr>
          <w:noProof/>
        </w:rPr>
        <w:lastRenderedPageBreak/>
        <w:drawing>
          <wp:inline distT="0" distB="0" distL="0" distR="0">
            <wp:extent cx="5334000" cy="5705475"/>
            <wp:effectExtent l="0" t="0" r="0" b="0"/>
            <wp:docPr id="1028" name="Picture 10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028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533400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DFA" w:rsidRDefault="00BB5B94">
      <w:pPr>
        <w:spacing w:after="200" w:line="276" w:lineRule="auto"/>
        <w:jc w:val="left"/>
      </w:pPr>
      <w:r>
        <w:rPr>
          <w:b/>
          <w:bCs/>
          <w:sz w:val="20"/>
          <w:szCs w:val="20"/>
        </w:rPr>
        <w:t>Fig. S3.</w:t>
      </w:r>
      <w:r>
        <w:rPr>
          <w:sz w:val="20"/>
          <w:szCs w:val="20"/>
        </w:rPr>
        <w:t xml:space="preserve"> Comparison of potentially hazardous metal concentrations in the Zang-Tabi stream sediments with the threshold effect concentration (TEC) benchmark (red columns = above guidelin</w:t>
      </w:r>
      <w:r>
        <w:rPr>
          <w:sz w:val="20"/>
          <w:szCs w:val="20"/>
        </w:rPr>
        <w:t>e): (a) As, (b) Cd, (c) Cr, (d) Cu, (e) Pb, (f) Zn, (g) Hg and (h) Ni. SQG values after MacDonald et al. (2000) [9].</w:t>
      </w:r>
    </w:p>
    <w:p w:rsidR="00170DFA" w:rsidRDefault="00BB5B94">
      <w:pPr>
        <w:keepNext/>
        <w:spacing w:before="160" w:after="60"/>
        <w:jc w:val="center"/>
      </w:pPr>
      <w:r>
        <w:rPr>
          <w:noProof/>
        </w:rPr>
        <w:lastRenderedPageBreak/>
        <w:drawing>
          <wp:inline distT="0" distB="0" distL="0" distR="0">
            <wp:extent cx="5334000" cy="5705475"/>
            <wp:effectExtent l="0" t="0" r="0" b="0"/>
            <wp:docPr id="1029" name="Picture 10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029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533400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DFA" w:rsidRDefault="00BB5B94">
      <w:pPr>
        <w:spacing w:after="200" w:line="276" w:lineRule="auto"/>
        <w:jc w:val="left"/>
      </w:pPr>
      <w:r>
        <w:rPr>
          <w:b/>
          <w:bCs/>
          <w:sz w:val="20"/>
          <w:szCs w:val="20"/>
        </w:rPr>
        <w:t>Fig. S4.</w:t>
      </w:r>
      <w:r>
        <w:rPr>
          <w:sz w:val="20"/>
          <w:szCs w:val="20"/>
        </w:rPr>
        <w:t xml:space="preserve"> Comparison of potentially hazardous metal concentrations in the Zang-Tabi stream sediments with the probable effect concentration (PEC) benchmark (red columns = above guideline): (a) As, (b) Cd, (c) Cr, (d) Cu, (e) Pb, (f) Zn, (g) Hg and (h) Ni. SQG value</w:t>
      </w:r>
      <w:r>
        <w:rPr>
          <w:sz w:val="20"/>
          <w:szCs w:val="20"/>
        </w:rPr>
        <w:t>s after MacDonald et al. (2000) [9].</w:t>
      </w:r>
    </w:p>
    <w:p w:rsidR="00170DFA" w:rsidRDefault="00BB5B94">
      <w:pPr>
        <w:keepNext/>
        <w:spacing w:before="160" w:after="60"/>
        <w:jc w:val="center"/>
      </w:pPr>
      <w:r>
        <w:rPr>
          <w:noProof/>
        </w:rPr>
        <w:lastRenderedPageBreak/>
        <w:drawing>
          <wp:inline distT="0" distB="0" distL="0" distR="0">
            <wp:extent cx="5334000" cy="5705475"/>
            <wp:effectExtent l="0" t="0" r="0" b="0"/>
            <wp:docPr id="1030" name="Picture 10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030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533400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DFA" w:rsidRDefault="00BB5B94">
      <w:pPr>
        <w:spacing w:after="200" w:line="276" w:lineRule="auto"/>
        <w:jc w:val="left"/>
      </w:pPr>
      <w:r>
        <w:rPr>
          <w:b/>
          <w:bCs/>
          <w:sz w:val="20"/>
          <w:szCs w:val="20"/>
        </w:rPr>
        <w:t>Fig. S5.</w:t>
      </w:r>
      <w:r>
        <w:rPr>
          <w:sz w:val="20"/>
          <w:szCs w:val="20"/>
        </w:rPr>
        <w:t xml:space="preserve"> Comparison of potentially hazardous metal concentrations in the Zang-Tabi stream sediments with the effect range-low (ERL) benchmark (red columns = above guideline): (a) As, (b) Cd, (c) Cr, (d) Cu, (e) Pb, (f</w:t>
      </w:r>
      <w:r>
        <w:rPr>
          <w:sz w:val="20"/>
          <w:szCs w:val="20"/>
        </w:rPr>
        <w:t>) Zn, (g) Hg and (h) Ni. SQG values after MacDonald et al. (2000) [9].</w:t>
      </w:r>
    </w:p>
    <w:p w:rsidR="00170DFA" w:rsidRDefault="00BB5B94">
      <w:pPr>
        <w:keepNext/>
        <w:spacing w:before="160" w:after="60"/>
        <w:jc w:val="center"/>
      </w:pPr>
      <w:r>
        <w:rPr>
          <w:noProof/>
        </w:rPr>
        <w:lastRenderedPageBreak/>
        <w:drawing>
          <wp:inline distT="0" distB="0" distL="0" distR="0">
            <wp:extent cx="5334000" cy="5705475"/>
            <wp:effectExtent l="0" t="0" r="0" b="0"/>
            <wp:docPr id="1031" name="Picture 10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031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533400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DFA" w:rsidRDefault="00BB5B94">
      <w:pPr>
        <w:spacing w:after="200" w:line="276" w:lineRule="auto"/>
        <w:jc w:val="left"/>
      </w:pPr>
      <w:r>
        <w:rPr>
          <w:b/>
          <w:bCs/>
          <w:sz w:val="20"/>
          <w:szCs w:val="20"/>
        </w:rPr>
        <w:t>Fig. S6.</w:t>
      </w:r>
      <w:r>
        <w:rPr>
          <w:sz w:val="20"/>
          <w:szCs w:val="20"/>
        </w:rPr>
        <w:t xml:space="preserve"> Comparison of potentially hazardous metal concentrations in the Zang-Tabi stream sediments with the effect range-median (ERM) benchmark (red columns = above guideline): (a) A</w:t>
      </w:r>
      <w:r>
        <w:rPr>
          <w:sz w:val="20"/>
          <w:szCs w:val="20"/>
        </w:rPr>
        <w:t>s, (b) Cd, (c) Cr, (d) Cu, (e) Pb, (f) Zn, (g) Hg and (h) Ni. SQG values after MacDonald et al. (2000) [9].</w:t>
      </w:r>
    </w:p>
    <w:p w:rsidR="00170DFA" w:rsidRDefault="00BB5B94">
      <w:pPr>
        <w:pStyle w:val="Heading11"/>
        <w:spacing w:before="320" w:after="160"/>
      </w:pPr>
      <w:r>
        <w:rPr>
          <w:b/>
          <w:bCs/>
          <w:color w:val="000000"/>
          <w:sz w:val="24"/>
          <w:szCs w:val="24"/>
        </w:rPr>
        <w:t>References (cited in the Supplementary Material)</w:t>
      </w:r>
    </w:p>
    <w:p w:rsidR="00170DFA" w:rsidRDefault="00BB5B94">
      <w:pPr>
        <w:spacing w:after="80" w:line="276" w:lineRule="auto"/>
        <w:ind w:left="360" w:hanging="360"/>
        <w:jc w:val="left"/>
      </w:pPr>
      <w:r>
        <w:rPr>
          <w:sz w:val="20"/>
          <w:szCs w:val="20"/>
        </w:rPr>
        <w:t>[1] T. Liu, C.P. Liu, J. Deng, P.Y. Kang, K.K. Wang, Y.Y. Zhao, Ecological health risk assessment o</w:t>
      </w:r>
      <w:r>
        <w:rPr>
          <w:sz w:val="20"/>
          <w:szCs w:val="20"/>
        </w:rPr>
        <w:t>f soil heavy metals in eastern Yinan County, Shandong Province, Geol. China 49 (2022) 1497–1508. https://doi.org/10.12029/gc20220509.</w:t>
      </w:r>
    </w:p>
    <w:p w:rsidR="00170DFA" w:rsidRDefault="00BB5B94">
      <w:pPr>
        <w:spacing w:after="80" w:line="276" w:lineRule="auto"/>
        <w:ind w:left="360" w:hanging="360"/>
        <w:jc w:val="left"/>
      </w:pPr>
      <w:r>
        <w:rPr>
          <w:sz w:val="20"/>
          <w:szCs w:val="20"/>
        </w:rPr>
        <w:t xml:space="preserve">[2] U.S. Environmental Protection Agency (USEPA), Conducting a Human Health Risk Assessment, USEPA, Washington, DC, 2025. </w:t>
      </w:r>
      <w:r>
        <w:rPr>
          <w:sz w:val="20"/>
          <w:szCs w:val="20"/>
        </w:rPr>
        <w:t>https://www.epa.gov/risk/human-health-risk-assessment.</w:t>
      </w:r>
    </w:p>
    <w:p w:rsidR="00170DFA" w:rsidRDefault="00BB5B94">
      <w:pPr>
        <w:spacing w:after="80" w:line="276" w:lineRule="auto"/>
        <w:ind w:left="360" w:hanging="360"/>
        <w:jc w:val="left"/>
      </w:pPr>
      <w:r>
        <w:rPr>
          <w:sz w:val="20"/>
          <w:szCs w:val="20"/>
        </w:rPr>
        <w:t>[3] R.L. Rudnick, S. Gao, Composition of the continental crust, in: H.D. Holland, K.K. Turekian (Eds.), Treatise on Geochemistry, second ed., vol. 4, Elsevier, Oxford, 2014, pp. 1–51. https://doi.org/1</w:t>
      </w:r>
      <w:r>
        <w:rPr>
          <w:sz w:val="20"/>
          <w:szCs w:val="20"/>
        </w:rPr>
        <w:t>0.1016/B978-0-08-095975-7.00301-6.</w:t>
      </w:r>
    </w:p>
    <w:p w:rsidR="00170DFA" w:rsidRDefault="00BB5B94">
      <w:pPr>
        <w:spacing w:after="80" w:line="276" w:lineRule="auto"/>
        <w:ind w:left="360" w:hanging="360"/>
        <w:jc w:val="left"/>
      </w:pPr>
      <w:r>
        <w:rPr>
          <w:sz w:val="20"/>
          <w:szCs w:val="20"/>
        </w:rPr>
        <w:t xml:space="preserve">[4] H. Yongming, D. Peixuan, C. Junji, E.S. Posmentier, Multivariate analysis of heavy metal contamination in urban dusts of Xi'an, Central China, Sci. Total Environ. 355 (2006) 176–186. </w:t>
      </w:r>
      <w:r>
        <w:rPr>
          <w:sz w:val="20"/>
          <w:szCs w:val="20"/>
        </w:rPr>
        <w:t>https://doi.org/10.1016/j.scitotenv.2005.02.026.</w:t>
      </w:r>
    </w:p>
    <w:p w:rsidR="00170DFA" w:rsidRDefault="00BB5B94">
      <w:pPr>
        <w:spacing w:after="80" w:line="276" w:lineRule="auto"/>
        <w:ind w:left="360" w:hanging="360"/>
        <w:jc w:val="left"/>
      </w:pPr>
      <w:r>
        <w:rPr>
          <w:sz w:val="20"/>
          <w:szCs w:val="20"/>
        </w:rPr>
        <w:lastRenderedPageBreak/>
        <w:t>[5] G. Müller, Die Schwermetallbelastung der Sedimente des Neckars und seiner Nebenflüsse: eine Bestandsaufnahme, Chem. Ztg. 105 (1981) 157–164.</w:t>
      </w:r>
    </w:p>
    <w:p w:rsidR="00170DFA" w:rsidRDefault="00BB5B94">
      <w:pPr>
        <w:spacing w:after="80" w:line="276" w:lineRule="auto"/>
        <w:ind w:left="360" w:hanging="360"/>
        <w:jc w:val="left"/>
      </w:pPr>
      <w:r>
        <w:rPr>
          <w:sz w:val="20"/>
          <w:szCs w:val="20"/>
        </w:rPr>
        <w:t>[6] L. Håkanson, An ecological risk index for aquatic pollutio</w:t>
      </w:r>
      <w:r>
        <w:rPr>
          <w:sz w:val="20"/>
          <w:szCs w:val="20"/>
        </w:rPr>
        <w:t>n control. A sedimentological approach, Water Res. 14 (1980) 975–1001. https://doi.org/10.1016/0043-1354(80)90143-8.</w:t>
      </w:r>
    </w:p>
    <w:p w:rsidR="00170DFA" w:rsidRDefault="00BB5B94">
      <w:pPr>
        <w:spacing w:after="80" w:line="276" w:lineRule="auto"/>
        <w:ind w:left="360" w:hanging="360"/>
        <w:jc w:val="left"/>
      </w:pPr>
      <w:r>
        <w:rPr>
          <w:sz w:val="20"/>
          <w:szCs w:val="20"/>
        </w:rPr>
        <w:t>[7] A. Pejman, G. Nabi Bidhendi, M. Ardestani, M. Saeedi, A. Baghvand, A new index for assessing toxicity risk of sediment metals, Environ.</w:t>
      </w:r>
      <w:r>
        <w:rPr>
          <w:sz w:val="20"/>
          <w:szCs w:val="20"/>
        </w:rPr>
        <w:t xml:space="preserve"> Geochem. Health 37 (2015) 755–764. https://doi.org/10.1007/s10653-015-9683-9.</w:t>
      </w:r>
    </w:p>
    <w:p w:rsidR="00170DFA" w:rsidRDefault="00BB5B94">
      <w:pPr>
        <w:spacing w:after="80" w:line="276" w:lineRule="auto"/>
        <w:ind w:left="360" w:hanging="360"/>
        <w:jc w:val="left"/>
      </w:pPr>
      <w:r>
        <w:rPr>
          <w:sz w:val="20"/>
          <w:szCs w:val="20"/>
        </w:rPr>
        <w:t>[8] G. Zhang, J. Bai, Q. Zhao, Q. Lu, J. Jia, X. Wen, Heavy metals in wetland soils along a wetland-forming chronosequence in the Yellow River Delta of China: levels, sources an</w:t>
      </w:r>
      <w:r>
        <w:rPr>
          <w:sz w:val="20"/>
          <w:szCs w:val="20"/>
        </w:rPr>
        <w:t>d toxic risks, Ecol. Indic. 69 (2016) 331–339. https://doi.org/10.1016/j.ecolind.2016.04.042.</w:t>
      </w:r>
    </w:p>
    <w:p w:rsidR="00170DFA" w:rsidRDefault="00BB5B94">
      <w:pPr>
        <w:spacing w:after="80" w:line="276" w:lineRule="auto"/>
        <w:ind w:left="360" w:hanging="360"/>
        <w:jc w:val="left"/>
      </w:pPr>
      <w:r>
        <w:rPr>
          <w:sz w:val="20"/>
          <w:szCs w:val="20"/>
        </w:rPr>
        <w:t>[9] D.D. MacDonald, C.G. Ingersoll, T.A. Berger, Development and evaluation of consensus-based sediment quality guidelines for freshwater ecosystems, Arch. Enviro</w:t>
      </w:r>
      <w:r>
        <w:rPr>
          <w:sz w:val="20"/>
          <w:szCs w:val="20"/>
        </w:rPr>
        <w:t>n. Contam. Toxicol. 39 (2000) 20–31. https://doi.org/10.1007/s002440010075.</w:t>
      </w:r>
    </w:p>
    <w:sectPr w:rsidR="00170DFA">
      <w:headerReference w:type="default" r:id="rId13"/>
      <w:footerReference w:type="default" r:id="rId14"/>
      <w:pgSz w:w="11906" w:h="16838"/>
      <w:pgMar w:top="1440" w:right="1417" w:bottom="1440" w:left="1701" w:header="850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B94" w:rsidRDefault="00BB5B94">
      <w:pPr>
        <w:spacing w:line="240" w:lineRule="auto"/>
      </w:pPr>
      <w:r>
        <w:separator/>
      </w:r>
    </w:p>
  </w:endnote>
  <w:endnote w:type="continuationSeparator" w:id="0">
    <w:p w:rsidR="00BB5B94" w:rsidRDefault="00BB5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DFA" w:rsidRDefault="00BB5B94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1607FD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B94" w:rsidRDefault="00BB5B94">
      <w:pPr>
        <w:spacing w:line="240" w:lineRule="auto"/>
      </w:pPr>
      <w:r>
        <w:separator/>
      </w:r>
    </w:p>
  </w:footnote>
  <w:footnote w:type="continuationSeparator" w:id="0">
    <w:p w:rsidR="00BB5B94" w:rsidRDefault="00BB5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DFA" w:rsidRDefault="00170DFA">
    <w:pPr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multiLevelType w:val="hybridMultilevel"/>
    <w:tmpl w:val="FFFFFFFF"/>
    <w:lvl w:ilvl="0" w:tplc="D7A6A9CA" w:tentative="1">
      <w:start w:val="1"/>
      <w:numFmt w:val="bullet"/>
      <w:lvlText w:val="●"/>
      <w:lvlJc w:val="left"/>
      <w:pPr>
        <w:ind w:left="720" w:hanging="360"/>
      </w:pPr>
    </w:lvl>
    <w:lvl w:ilvl="1" w:tplc="1ABCE30A" w:tentative="1">
      <w:start w:val="1"/>
      <w:numFmt w:val="bullet"/>
      <w:lvlText w:val="○"/>
      <w:lvlJc w:val="left"/>
      <w:pPr>
        <w:ind w:left="1440" w:hanging="360"/>
      </w:pPr>
    </w:lvl>
    <w:lvl w:ilvl="2" w:tplc="A0C08464" w:tentative="1">
      <w:start w:val="1"/>
      <w:numFmt w:val="bullet"/>
      <w:lvlText w:val="■"/>
      <w:lvlJc w:val="left"/>
      <w:pPr>
        <w:ind w:left="2160" w:hanging="360"/>
      </w:pPr>
    </w:lvl>
    <w:lvl w:ilvl="3" w:tplc="84DC90E4" w:tentative="1">
      <w:start w:val="1"/>
      <w:numFmt w:val="bullet"/>
      <w:lvlText w:val="●"/>
      <w:lvlJc w:val="left"/>
      <w:pPr>
        <w:ind w:left="2880" w:hanging="360"/>
      </w:pPr>
    </w:lvl>
    <w:lvl w:ilvl="4" w:tplc="084465B6" w:tentative="1">
      <w:start w:val="1"/>
      <w:numFmt w:val="bullet"/>
      <w:lvlText w:val="○"/>
      <w:lvlJc w:val="left"/>
      <w:pPr>
        <w:ind w:left="3600" w:hanging="360"/>
      </w:pPr>
    </w:lvl>
    <w:lvl w:ilvl="5" w:tplc="7F5EC734" w:tentative="1">
      <w:start w:val="1"/>
      <w:numFmt w:val="bullet"/>
      <w:lvlText w:val="■"/>
      <w:lvlJc w:val="left"/>
      <w:pPr>
        <w:ind w:left="4320" w:hanging="360"/>
      </w:pPr>
    </w:lvl>
    <w:lvl w:ilvl="6" w:tplc="B8CE6C44" w:tentative="1">
      <w:start w:val="1"/>
      <w:numFmt w:val="bullet"/>
      <w:lvlText w:val="●"/>
      <w:lvlJc w:val="left"/>
      <w:pPr>
        <w:ind w:left="5040" w:hanging="360"/>
      </w:pPr>
    </w:lvl>
    <w:lvl w:ilvl="7" w:tplc="C6262628" w:tentative="1">
      <w:start w:val="1"/>
      <w:numFmt w:val="bullet"/>
      <w:lvlText w:val="●"/>
      <w:lvlJc w:val="left"/>
      <w:pPr>
        <w:ind w:left="5760" w:hanging="360"/>
      </w:pPr>
    </w:lvl>
    <w:lvl w:ilvl="8" w:tplc="2B467AC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DFA"/>
    <w:rsid w:val="001607FD"/>
    <w:rsid w:val="00170DFA"/>
    <w:rsid w:val="00BB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6BA789-7C93-4516-836D-E750E6FF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2"/>
        <w:szCs w:val="22"/>
        <w:lang w:val="en-US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jc w:val="both"/>
    </w:pPr>
    <w:rPr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Heading11">
    <w:name w:val="Heading 11"/>
    <w:qFormat/>
    <w:rPr>
      <w:color w:val="2E74B5"/>
      <w:sz w:val="32"/>
      <w:szCs w:val="32"/>
    </w:rPr>
  </w:style>
  <w:style w:type="paragraph" w:customStyle="1" w:styleId="Heading21">
    <w:name w:val="Heading 21"/>
    <w:qFormat/>
    <w:rPr>
      <w:color w:val="2E74B5"/>
      <w:sz w:val="26"/>
      <w:szCs w:val="26"/>
    </w:rPr>
  </w:style>
  <w:style w:type="paragraph" w:customStyle="1" w:styleId="Heading31">
    <w:name w:val="Heading 31"/>
    <w:qFormat/>
    <w:rPr>
      <w:color w:val="1F4D78"/>
      <w:sz w:val="24"/>
      <w:szCs w:val="24"/>
    </w:rPr>
  </w:style>
  <w:style w:type="paragraph" w:customStyle="1" w:styleId="Heading41">
    <w:name w:val="Heading 41"/>
    <w:qFormat/>
    <w:rPr>
      <w:i/>
      <w:iCs/>
      <w:color w:val="2E74B5"/>
    </w:rPr>
  </w:style>
  <w:style w:type="paragraph" w:customStyle="1" w:styleId="Heading51">
    <w:name w:val="Heading 51"/>
    <w:qFormat/>
    <w:rPr>
      <w:color w:val="2E74B5"/>
    </w:rPr>
  </w:style>
  <w:style w:type="paragraph" w:customStyle="1" w:styleId="Heading61">
    <w:name w:val="Heading 61"/>
    <w:qFormat/>
    <w:rPr>
      <w:color w:val="1F4D78"/>
    </w:rPr>
  </w:style>
  <w:style w:type="paragraph" w:customStyle="1" w:styleId="Strongdf84c0ba-9d36-4270-9d65-6ab0ed9303f4">
    <w:name w:val="Strong_df84c0ba-9d36-4270-9d65-6ab0ed9303f4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rPr>
      <w:color w:val="0563C1"/>
      <w:u w:val="single"/>
    </w:rPr>
  </w:style>
  <w:style w:type="character" w:styleId="FootnoteReference">
    <w:name w:val="footnote reference"/>
    <w:uiPriority w:val="99"/>
    <w:rPr>
      <w:vertAlign w:val="superscript"/>
    </w:rPr>
  </w:style>
  <w:style w:type="paragraph" w:styleId="FootnoteText">
    <w:name w:val="footnote text"/>
    <w:link w:val="FootnoteTextChar"/>
    <w:uiPriority w:val="9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Pr>
      <w:sz w:val="20"/>
      <w:szCs w:val="20"/>
    </w:rPr>
  </w:style>
  <w:style w:type="character" w:styleId="EndnoteReference">
    <w:name w:val="endnote reference"/>
    <w:uiPriority w:val="99"/>
    <w:rPr>
      <w:vertAlign w:val="superscript"/>
    </w:rPr>
  </w:style>
  <w:style w:type="paragraph" w:styleId="EndnoteText">
    <w:name w:val="endnote text"/>
    <w:link w:val="EndnoteTextChar"/>
    <w:uiPriority w:val="99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2059</Words>
  <Characters>11737</Characters>
  <Application>Microsoft Office Word</Application>
  <DocSecurity>0</DocSecurity>
  <Lines>97</Lines>
  <Paragraphs>27</Paragraphs>
  <ScaleCrop>false</ScaleCrop>
  <Company>TEMAOS</Company>
  <LinksUpToDate>false</LinksUpToDate>
  <CharactersWithSpaces>13769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 — PHM enrichment in drainage sediments, Zang-Tabi, NW Cameroon</dc:title>
  <dc:creator>Tibuck Joshua Ndang</dc:creator>
  <cp:lastModifiedBy>Windows User</cp:lastModifiedBy>
  <cp:revision>2</cp:revision>
  <dcterms:created xsi:type="dcterms:W3CDTF">2026-09-22T21:37:00Z</dcterms:created>
  <dcterms:modified xsi:type="dcterms:W3CDTF">2026-09-22T21:37:00Z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8be51ba951dc487e9b1c163f18c1582c_23</vt:lpwstr>
  </property>
</Properties>
</file>