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00000"/>
          <w:sz w:val="30"/>
        </w:rPr>
        <w:t>Supplementary Tables S1 to S4</w:t>
      </w:r>
    </w:p>
    <w:p>
      <w:pPr>
        <w:spacing w:before="0" w:after="100" w:line="252" w:lineRule="auto"/>
        <w:jc w:val="center"/>
      </w:pPr>
      <w:r>
        <w:rPr>
          <w:rFonts w:ascii="Arial" w:hAnsi="Arial"/>
          <w:b w:val="0"/>
          <w:i w:val="0"/>
          <w:color w:val="000000"/>
          <w:sz w:val="20"/>
        </w:rPr>
        <w:t>Dynamic Conditional Survival and Competing Causes of Death Among Older Adults With Nonmetastatic Small-Cell Lung Cancer Receiving Chemotherapy and First-Course Radiation: A SEER Analysis</w:t>
      </w:r>
    </w:p>
    <w:p>
      <w:pPr>
        <w:spacing w:before="0" w:after="240" w:line="252" w:lineRule="auto"/>
        <w:jc w:val="center"/>
      </w:pPr>
      <w:r>
        <w:rPr>
          <w:rFonts w:ascii="Arial" w:hAnsi="Arial"/>
          <w:b w:val="0"/>
          <w:i w:val="0"/>
          <w:color w:val="000000"/>
          <w:sz w:val="18"/>
        </w:rPr>
        <w:t>Xiaolin Chen, MD; Yuyi Lin, MD; Yangchao Xie, MD; Fenpen Huang, MD; Shaofeng Wang, MD</w:t>
      </w:r>
    </w:p>
    <w:p>
      <w:pPr>
        <w:spacing w:before="0" w:after="200" w:line="252" w:lineRule="auto"/>
        <w:jc w:val="center"/>
      </w:pPr>
      <w:r>
        <w:rPr>
          <w:rFonts w:ascii="Arial" w:hAnsi="Arial"/>
          <w:b w:val="0"/>
          <w:i/>
          <w:color w:val="000000"/>
          <w:sz w:val="17"/>
        </w:rPr>
        <w:t>These tables reproduce only frozen aggregate outputs from the authoritative E5 analysis run. No SEER case-level data are included.</w:t>
      </w:r>
    </w:p>
    <w:p>
      <w:pPr>
        <w:keepNext/>
        <w:spacing w:before="4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S1 Multivariable regression models</w:t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18"/>
        </w:rPr>
        <w:t>S1A Landmark-specific models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1.13 (1.08-1.19)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1.10 (1.00-1.22)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0.059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0.95 (0.79-1.15)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0.607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1.02 (0.81-1.27)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0.890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0.99 (0.97-1.01)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0.256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1.50 (1.30-1.73)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(0.83-1.29)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0.747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(0.92-1.18)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0.512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(0.86-1.27)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0.648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0.87 (0.73-1.04)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0.122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 (0.76-0.94)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1.12 (1.06-1.18)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(0.95-1.18)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0.281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1.00 (0.82-1.22)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0.996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1.03 (0.80-1.31)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0.839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0.98 (0.96-1.00)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0.069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1.61 (1.37-1.90)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1.07 (0.85-1.36)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0.567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1.03 (0.90-1.18)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0.624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(0.85-1.29)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0.656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0.86 (0.71-1.05)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0.142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0.79 (0.70-0.88)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1.22 (1.08-1.37)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1.30 (1.01-1.69)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0.045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0.75 (0.44-1.27)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0.286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0.94 (0.51-1.74)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0.855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(0.98-1.10)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0.161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1.08 (0.78-1.50)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0.632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0.93 (0.51-1.69)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0.810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1.11 (0.81-1.52)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0.514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1.11 (0.67-1.84)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0.692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0.89 (0.56-1.42)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0.637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1.26 (0.97-1.64)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0.079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1.10 (1.04-1.16)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(0.93-1.15)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0.506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1.03 (0.85-1.25)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0.751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1.02 (0.81-1.28)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0.882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0.98 (0.95-1.00)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0.033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1.59 (1.35-1.87)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1.10 (0.88-1.37)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0.406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(0.91-1.18)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0.605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(0.85-1.28)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0.695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0.87 (0.72-1.06)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0.168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0.78 (0.70-0.88)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1.14 (1.02-1.28)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0.023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1.22 (0.94-1.58)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0.136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0.80 (0.47-1.34)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0.390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0.95 (0.51-1.77)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0.881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(1.00-1.12)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0.065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0.86 (0.62-1.18)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0.351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0.94 (0.52-1.70)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0.836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(0.78-1.45)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0.715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(0.64-1.76)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0.817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0.95 (0.60-1.52)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L12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1.39 (1.07-1.81)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0.013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1.15 (1.08-1.24)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(0.92-1.23)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0.398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1.11 (0.86-1.41)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0.422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1.27 (0.94-1.72)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0.126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0.99 (0.96-1.02)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0.477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1.30 (1.08-1.56)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1.16 (0.86-1.56)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0.345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1.02 (0.85-1.21)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0.864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(0.81-1.39)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0.691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0.91 (0.72-1.17)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0.469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 (0.73-0.97)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0.021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1.12 (1.04-1.22)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0.98 (0.83-1.16)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1.22 (0.92-1.61)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0.165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1.39 (0.99-1.95)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0.061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0.97 (0.94-1.01)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0.108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1.46 (1.16-1.83)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1.23 (0.88-1.73)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0.225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0.94 (0.76-1.16)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0.551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(0.77-1.44)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0.735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0.90 (0.68-1.19)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0.452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0.75 (0.63-0.89)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0.001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1.25 (1.10-1.42)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1.34 (1.01-1.77)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0.039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 (0.50-1.44)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0.532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0.97 (0.49-1.91)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0.927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(0.99-1.12)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0.098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(0.76-1.49)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0.715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0.95 (0.49-1.82)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0.867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1.21 (0.87-1.68)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0.265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1.08 (0.62-1.90)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0.780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0.95 (0.59-1.54)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1.19 (0.90-1.57)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0.230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1.10 (1.02-1.19)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0.015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0.96 (0.81-1.13)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0.589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1.23 (0.94-1.62)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0.128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1.35 (0.98-1.86)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0.067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0.97 (0.94-1.00)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0.073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1.44 (1.15-1.80)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1.23 (0.89-1.70)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0.211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0.94 (0.76-1.16)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0.541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(0.78-1.43)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0.733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0.90 (0.68-1.20)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0.482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0.73 (0.62-0.87)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1.19 (1.05-1.34)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1.32 (0.99-1.75)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0.054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0.81 (0.48-1.36)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0.419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0.81 (0.41-1.62)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0.552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(1.00-1.13)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0.043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0.92 (0.66-1.28)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0.627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0.87 (0.45-1.69)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0.677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1.22 (0.88-1.69)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0.238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(0.60-1.83)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0.865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0.97 (0.60-1.57)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0.894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L24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1.31 (0.99-1.74)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0.057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1.21 (1.11-1.31)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0.99 (0.83-1.19)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0.938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1.20 (0.89-1.62)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0.240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1.66 (1.15-2.40)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0.99 (0.95-1.03)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0.625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1.18 (0.95-1.47)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0.142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1.29 (0.89-1.87)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0.182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1.08 (0.87-1.34)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0.468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0.92 (0.64-1.31)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0.637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0.88 (0.65-1.19)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0.409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OS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0.81 (0.68-0.97)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0.023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1.17 (1.05-1.31)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0.92 (0.73-1.17)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0.505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1.21 (0.80-1.81)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0.366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2.13 (1.38-3.29)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0.97 (0.92-1.02)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0.202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1.36 (1.00-1.84)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0.048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1.54 (0.99-2.41)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0.056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0.90 (0.67-1.22)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0.492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0.85 (0.53-1.37)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0.506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0.98 (0.67-1.42)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0.897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0.74 (0.58-0.94)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0.013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1.24 (1.09-1.42)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1.11 (0.84-1.47)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0.458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1.23 (0.78-1.94)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0.380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1.05 (0.51-2.16)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0.898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1.02 (0.96-1.08)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0.568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0.99 (0.71-1.36)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0.934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0.82 (0.40-1.69)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0.593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1.30 (0.95-1.79)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0.100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1.06 (0.61-1.82)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0.845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0.72 (0.42-1.22)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0.223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cause-specific Cox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0.94 (0.71-1.25)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0.691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1.14 (1.01-1.27)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0.028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0.93 (0.74-1.18)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0.549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1.17 (0.78-1.75)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0.451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1.98 (1.28-3.07)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0.97 (0.92-1.01)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0.150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1.33 (0.99-1.79)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0.062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1.49 (0.95-2.34)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0.080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0.86 (0.64-1.16)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0.319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0.85 (0.52-1.39)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0.518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1.04 (0.71-1.51)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0.857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SCLC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0.75 (0.60-0.95)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0.018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Age, per 5 years from age 65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1.18 (1.05-1.34)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0.008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S1A continued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1080"/>
        <w:gridCol w:w="5760"/>
        <w:gridCol w:w="2736"/>
        <w:gridCol w:w="1224"/>
      </w:tblGrid>
      <w:tr>
        <w:trPr>
          <w:tblHeader w:val="true"/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Model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Landmark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Covariate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HR or sHR (95% CI)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5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Male (reference: female)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1.12 (0.84-1.47)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0.445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Black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1.19 (0.76-1.87)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0.436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 race (reference: White)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0.76 (0.37-1.57)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0.458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Diagnosis year, per calendar year from 2010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1.02 (0.96-1.09)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0.444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Regional (reference: localized)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0.90 (0.65-1.23)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0.496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Middle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0.69 (0.32-1.46)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0.328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Lower lobe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1.31 (0.96-1.80)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0.091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Main bronchus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1.08 (0.63-1.86)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0.783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NOS or overlapping site (reference: upper lobe)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0.73 (0.43-1.23)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0.238</w:t>
            </w:r>
          </w:p>
        </w:tc>
      </w:tr>
      <w:tr>
        <w:trPr>
          <w:cantSplit w:val="true"/>
        </w:trPr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Other-cause Fine-Gray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L36</w:t>
            </w:r>
          </w:p>
        </w:tc>
        <w:tc>
          <w:tcPr>
            <w:tcW w:type="dxa" w:w="57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Multiple primaries (reference: one primary)</w:t>
            </w:r>
          </w:p>
        </w:tc>
        <w:tc>
          <w:tcPr>
            <w:tcW w:type="dxa" w:w="27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1.03 (0.77-1.37)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5"/>
              </w:rPr>
              <w:t>0.858</w:t>
            </w:r>
          </w:p>
        </w:tc>
      </w:tr>
    </w:tbl>
    <w:p>
      <w:pPr>
        <w:spacing w:after="0"/>
      </w:pPr>
    </w:p>
    <w:p>
      <w:pPr>
        <w:spacing w:before="0" w:after="160" w:line="252" w:lineRule="auto"/>
      </w:pPr>
      <w:r>
        <w:rPr>
          <w:rFonts w:ascii="Arial" w:hAnsi="Arial"/>
          <w:b w:val="0"/>
          <w:i/>
          <w:color w:val="000000"/>
          <w:sz w:val="15"/>
        </w:rPr>
        <w:t>HR denotes hazard ratio for Cox and cause-specific Cox models; sHR denotes subdistribution hazard ratio for Fine-Gray models. All estimates are associations within the corresponding landmark risk set and must not be interpreted as treatment effects. Model standard errors remain available in the frozen machine-readable analysis outputs.</w:t>
      </w:r>
    </w:p>
    <w:p>
      <w:r>
        <w:br w:type="page"/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S1 continued</w:t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18"/>
        </w:rPr>
        <w:t>S1B Stacked landmark overall-survival Cox model</w:t>
      </w:r>
    </w:p>
    <w:tbl>
      <w:tblPr>
        <w:tblW w:type="dxa" w:w="13392"/>
        <w:jc w:val="center"/>
        <w:tblLayout w:type="fixed"/>
        <w:tblLook w:firstColumn="1" w:firstRow="1" w:lastColumn="0" w:lastRow="0" w:noHBand="0" w:noVBand="1" w:val="04A0"/>
      </w:tblPr>
      <w:tblGrid>
        <w:gridCol w:w="6336"/>
        <w:gridCol w:w="2592"/>
        <w:gridCol w:w="1296"/>
        <w:gridCol w:w="1440"/>
        <w:gridCol w:w="1728"/>
      </w:tblGrid>
      <w:tr>
        <w:trPr>
          <w:tblHeader w:val="true"/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Covariate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HR (95% CI)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P value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Model SE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Cluster-robust SE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Age, per 5 years from age 65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1.14 (1.08-1.19)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&lt;0.001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0.024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0.024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Regional (reference: localized)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1.50 (1.30-1.73)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&lt;0.001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0.073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0.073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Male (reference: female)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1.07 (0.97-1.19)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0.172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0.038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0.051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Black (reference: White)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1.04 (0.87-1.24)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0.704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0.068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0.091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Other race (reference: White)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1.18 (0.96-1.44)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0.114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0.083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0.103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Diagnosis year, per calendar year from 2010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0.99 (0.97-1.01)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0.301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0.008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0.011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Middle lobe (reference: upper lobe)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1.11 (0.90-1.37)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0.326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0.082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0.108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Lower lobe (reference: upper lobe)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1.04 (0.92-1.18)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0.507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0.047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0.063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Main bronchus (reference: upper lobe)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1.03 (0.84-1.26)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0.785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0.073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0.102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NOS or overlapping site (reference: upper lobe)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0.89 (0.74-1.06)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0.197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0.066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0.093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Multiple primaries (reference: one primary)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0.84 (0.75-0.93)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0.039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0.054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Age x L24 interaction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1.02 (0.96-1.07)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0.579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0.042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0.029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Age x L36 interaction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1.06 (0.97-1.15)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0.184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0.049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0.043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Regional stage x L24 interaction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0.87 (0.75-1.01)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0.074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0.119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0.078</w:t>
            </w:r>
          </w:p>
        </w:tc>
      </w:tr>
      <w:tr>
        <w:trPr>
          <w:cantSplit w:val="true"/>
        </w:trPr>
        <w:tc>
          <w:tcPr>
            <w:tcW w:type="dxa" w:w="63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Regional stage x L36 interaction</w:t>
            </w:r>
          </w:p>
        </w:tc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0.77 (0.62-0.97)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0.024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0.132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0.115</w:t>
            </w:r>
          </w:p>
        </w:tc>
      </w:tr>
    </w:tbl>
    <w:p>
      <w:pPr>
        <w:spacing w:after="0"/>
      </w:pP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000000"/>
          <w:sz w:val="15"/>
        </w:rPr>
        <w:t>The stacked model was stratified by landmark and clustered by local_row_id to account for repeated entry of the same tumor record into nested landmark risk sets. L12 is the interaction reference landmark.</w:t>
      </w:r>
    </w:p>
    <w:p>
      <w:pPr>
        <w:spacing w:before="100" w:after="100" w:line="252" w:lineRule="auto"/>
      </w:pPr>
      <w:r>
        <w:rPr>
          <w:rFonts w:ascii="Arial" w:hAnsi="Arial"/>
          <w:b/>
          <w:i w:val="0"/>
          <w:color w:val="000000"/>
          <w:sz w:val="18"/>
        </w:rPr>
        <w:t>S1C Prespecified interaction tests</w:t>
      </w:r>
    </w:p>
    <w:tbl>
      <w:tblPr>
        <w:tblW w:type="dxa" w:w="12672"/>
        <w:jc w:val="center"/>
        <w:tblLayout w:type="fixed"/>
        <w:tblLook w:firstColumn="1" w:firstRow="1" w:lastColumn="0" w:lastRow="0" w:noHBand="0" w:noVBand="1" w:val="04A0"/>
      </w:tblPr>
      <w:tblGrid>
        <w:gridCol w:w="8064"/>
        <w:gridCol w:w="1872"/>
        <w:gridCol w:w="1152"/>
        <w:gridCol w:w="1584"/>
      </w:tblGrid>
      <w:tr>
        <w:trPr>
          <w:tblHeader w:val="true"/>
          <w:cantSplit w:val="true"/>
        </w:trPr>
        <w:tc>
          <w:tcPr>
            <w:tcW w:type="dxa" w:w="806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Test</w:t>
            </w:r>
          </w:p>
        </w:tc>
        <w:tc>
          <w:tcPr>
            <w:tcW w:type="dxa" w:w="187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Chi-square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df</w:t>
            </w:r>
          </w:p>
        </w:tc>
        <w:tc>
          <w:tcPr>
            <w:tcW w:type="dxa" w:w="15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P value</w:t>
            </w:r>
          </w:p>
        </w:tc>
      </w:tr>
      <w:tr>
        <w:trPr>
          <w:cantSplit w:val="true"/>
        </w:trPr>
        <w:tc>
          <w:tcPr>
            <w:tcW w:type="dxa" w:w="806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Landmark by age interaction</w:t>
            </w:r>
          </w:p>
        </w:tc>
        <w:tc>
          <w:tcPr>
            <w:tcW w:type="dxa" w:w="187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1.89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5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0.389</w:t>
            </w:r>
          </w:p>
        </w:tc>
      </w:tr>
      <w:tr>
        <w:trPr>
          <w:cantSplit w:val="true"/>
        </w:trPr>
        <w:tc>
          <w:tcPr>
            <w:tcW w:type="dxa" w:w="806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Landmark by stage interaction</w:t>
            </w:r>
          </w:p>
        </w:tc>
        <w:tc>
          <w:tcPr>
            <w:tcW w:type="dxa" w:w="187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5.30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15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0.071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keepNext/>
        <w:spacing w:before="4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S2 Prespecified sensitivity analyses</w:t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18"/>
        </w:rPr>
        <w:t>S2A Landmark-specific sensitivity estimands</w:t>
      </w:r>
    </w:p>
    <w:tbl>
      <w:tblPr>
        <w:tblW w:type="dxa" w:w="1368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936"/>
        <w:gridCol w:w="3240"/>
        <w:gridCol w:w="1008"/>
        <w:gridCol w:w="2232"/>
        <w:gridCol w:w="1728"/>
        <w:gridCol w:w="144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Estimate, % (95% CI)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 from primary, pp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Bootstrap repetitions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32.7 (30.8-34.6)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56.7 (54.6-58.8)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-0.07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10.0 (8.8-11.2)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+0.03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15.0 (13.2-16.8)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+0.05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43.0 (40.4-45.6)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41.8 (39.1-44.4)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+0.03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14.7 (12.9-16.6)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26.0 (23.0-29.2)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47.7 (44.7-50.8)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-0.05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30.1 (27.3-33.0)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+0.03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21.4 (18.8-24.0)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S2A continued</w:t>
      </w:r>
    </w:p>
    <w:tbl>
      <w:tblPr>
        <w:tblW w:type="dxa" w:w="1368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936"/>
        <w:gridCol w:w="3240"/>
        <w:gridCol w:w="1008"/>
        <w:gridCol w:w="2232"/>
        <w:gridCol w:w="1728"/>
        <w:gridCol w:w="144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Estimate, % (95% CI)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 from primary, pp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Bootstrap repetitions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982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41.5 (37.1-45.7)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32.8 (30.8-34.7)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+0.11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56.6 (54.6-58.5)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-0.15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10.0 (8.8-11.2)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+0.03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15.0 (13.3-16.8)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+0.08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43.1 (40.4-45.6)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41.7 (38.9-44.3)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14.7 (12.9-16.6)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26.0 (23.0-29.2)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47.7 (44.4-51.0)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30.1 (27.3-33.1)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21.3 (18.8-23.9)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S2A continued</w:t>
      </w:r>
    </w:p>
    <w:tbl>
      <w:tblPr>
        <w:tblW w:type="dxa" w:w="1368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936"/>
        <w:gridCol w:w="3240"/>
        <w:gridCol w:w="1008"/>
        <w:gridCol w:w="2232"/>
        <w:gridCol w:w="1728"/>
        <w:gridCol w:w="144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Estimate, % (95% CI)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 from primary, pp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Bootstrap repetitions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41.5 (37.2-45.7)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2238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34.2 (32.3-36.2)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+1.59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2238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55.1 (53.0-57.1)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-1.70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2238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10.0 (8.8-11.3)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+0.08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2238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15.4 (13.6-17.3)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+0.50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1334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45.0 (42.2-47.7)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+1.90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1334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40.1 (37.4-42.7)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-1.68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1334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14.5 (12.6-16.4)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-0.17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1334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26.6 (23.4-29.7)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+0.56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957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49.0 (45.9-52.3)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+1.30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957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29.0 (26.2-31.9)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-1.06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957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21.1 (18.5-23.7)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-0.26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S2A continued</w:t>
      </w:r>
    </w:p>
    <w:tbl>
      <w:tblPr>
        <w:tblW w:type="dxa" w:w="1368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936"/>
        <w:gridCol w:w="3240"/>
        <w:gridCol w:w="1008"/>
        <w:gridCol w:w="2232"/>
        <w:gridCol w:w="1728"/>
        <w:gridCol w:w="144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Estimate, % (95% CI)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 from primary, pp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Bootstrap repetitions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957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42.1 (37.6-46.4)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+0.58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2325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57.3 (55.2-59.3)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+0.54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2325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10.0 (8.9-11.3)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+0.09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2325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14.9 (13.2-16.7)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42.1 (39.5-44.8)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+0.36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14.8 (13.0-16.8)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+0.13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26.0 (23.0-29.2)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974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30.4 (27.5-33.3)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+0.28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974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21.5 (19.0-24.2)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+0.20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974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41.5 (37.2-45.8)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56.8 (54.8-58.7)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10.6 (9.3-11.8)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+0.64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S2A continued</w:t>
      </w:r>
    </w:p>
    <w:tbl>
      <w:tblPr>
        <w:tblW w:type="dxa" w:w="1368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936"/>
        <w:gridCol w:w="3240"/>
        <w:gridCol w:w="1008"/>
        <w:gridCol w:w="2232"/>
        <w:gridCol w:w="1728"/>
        <w:gridCol w:w="144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Estimate, % (95% CI)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 from primary, pp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Bootstrap repetitions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2347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15.7 (14.0-17.5)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+0.81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41.7 (39.1-44.3)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15.2 (13.2-17.0)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+0.50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1393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26.7 (23.6-29.8)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+0.65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30.1 (27.3-33.1)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22.2 (19.5-24.7)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+0.82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983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42.4 (38.0-46.5)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+0.92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32.7 (30.7-34.6)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+0.03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56.7 (54.7-58.8)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9.9 (8.7-11.2)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2339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14.9 (13.1-16.7)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43.2 (40.6-45.9)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+0.08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S2A continued</w:t>
      </w:r>
    </w:p>
    <w:tbl>
      <w:tblPr>
        <w:tblW w:type="dxa" w:w="1368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936"/>
        <w:gridCol w:w="3240"/>
        <w:gridCol w:w="1008"/>
        <w:gridCol w:w="2232"/>
        <w:gridCol w:w="1728"/>
        <w:gridCol w:w="1440"/>
      </w:tblGrid>
      <w:tr>
        <w:trPr>
          <w:tblHeader w:val="true"/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Estimate, % (95% CI)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 from primary, pp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Bootstrap repetitions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41.7 (39.1-44.3)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+0.01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14.6 (12.8-16.5)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-0.09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1388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25.9 (22.9-28.9)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-0.12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47.7 (44.7-51.1)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-0.00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30.2 (27.3-33.1)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+0.06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21.3 (18.7-24.0)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-0.06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981</w:t>
            </w:r>
          </w:p>
        </w:tc>
        <w:tc>
          <w:tcPr>
            <w:tcW w:type="dxa" w:w="223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41.4 (37.1-45.6)</w:t>
            </w:r>
          </w:p>
        </w:tc>
        <w:tc>
          <w:tcPr>
            <w:tcW w:type="dxa" w:w="172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-0.12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000000"/>
          <w:sz w:val="15"/>
        </w:rPr>
        <w:t>Differences from primary are percentage-point differences. CI denotes confidence interval; CIF, cumulative incidence function; OS, overall survival; pp, percentage points.</w:t>
      </w:r>
    </w:p>
    <w:p>
      <w:r>
        <w:br w:type="page"/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S2 continued</w:t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18"/>
        </w:rPr>
        <w:t>S2B Sensitivity contrasts across nested landmark risk sets</w:t>
      </w:r>
    </w:p>
    <w:tbl>
      <w:tblPr>
        <w:tblW w:type="dxa" w:w="13752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84"/>
        <w:gridCol w:w="1296"/>
        <w:gridCol w:w="2520"/>
        <w:gridCol w:w="1944"/>
        <w:gridCol w:w="1296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Contrast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Difference, pp (95% CI)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Descriptive bootstrap P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Repetitions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+10.3 (+8.3 to +12.3)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+4.7 (+2.1 to +7.1)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+15.0 (+12.0 to +18.0)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-14.9 (-16.9 to -13.0)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-11.6 (-14.1 to -9.2)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-26.6 (-29.6 to -23.7)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+4.7 (+3.3 to +6.3)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+6.7 (+4.6 to +8.6)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+11.4 (+8.9 to +13.9)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+11.1 (+8.7 to +13.6)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+15.5 (+12.1 to +18.9)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S2B continued</w:t>
      </w:r>
    </w:p>
    <w:tbl>
      <w:tblPr>
        <w:tblW w:type="dxa" w:w="13752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84"/>
        <w:gridCol w:w="1296"/>
        <w:gridCol w:w="2520"/>
        <w:gridCol w:w="1944"/>
        <w:gridCol w:w="1296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Contrast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Difference, pp (95% CI)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Descriptive bootstrap P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Repetitions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Microscopically confirmed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+26.5 (+22.4 to +30.7)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+10.3 (+8.3 to +12.3)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+4.7 (+2.1 to +7.3)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0.002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+15.0 (+11.8 to +18.2)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-14.9 (-17.1 to -12.9)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-11.6 (-14.0 to -9.3)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-26.5 (-29.5 to -23.6)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+4.7 (+3.3 to +6.3)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+6.6 (+4.7 to +8.6)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+11.4 (+8.9 to +13.9)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+11.1 (+8.6 to +13.6)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+15.5 (+12.1 to +18.8)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S2B continued</w:t>
      </w:r>
    </w:p>
    <w:tbl>
      <w:tblPr>
        <w:tblW w:type="dxa" w:w="13752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84"/>
        <w:gridCol w:w="1296"/>
        <w:gridCol w:w="2520"/>
        <w:gridCol w:w="1944"/>
        <w:gridCol w:w="1296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Contrast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Difference, pp (95% CI)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Descriptive bootstrap P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Repetitions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identical record profiles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+26.5 (+22.5 to +30.8)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+10.7 (+8.7 to +12.9)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+4.1 (+1.6 to +6.7)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0.005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+14.8 (+11.7 to +18.1)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-15.0 (-17.0 to -12.9)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-11.0 (-13.5 to -8.6)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-26.0 (-29.1 to -23.1)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+4.5 (+3.0 to +6.1)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+6.6 (+4.6 to +8.5)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+11.1 (+8.4 to +13.6)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+11.2 (+8.7 to +13.9)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+15.5 (+12.1 to +19.1)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S2B continued</w:t>
      </w:r>
    </w:p>
    <w:tbl>
      <w:tblPr>
        <w:tblW w:type="dxa" w:w="13752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84"/>
        <w:gridCol w:w="1296"/>
        <w:gridCol w:w="2520"/>
        <w:gridCol w:w="1944"/>
        <w:gridCol w:w="1296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Contrast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Difference, pp (95% CI)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Descriptive bootstrap P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Repetitions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Strict T &gt; L landmark rule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+26.7 (+22.1 to +31.0)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-15.2 (-17.2 to -13.1)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-11.7 (-14.1 to -9.3)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-26.9 (-29.8 to -23.8)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+4.8 (+3.2 to +6.3)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+6.7 (+4.7 to +8.7)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+11.5 (+8.9 to +14.1)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+11.1 (+8.6 to +13.7)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+15.5 (+12.1 to +18.8)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Exclude unknown-cause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+26.6 (+22.4 to +30.8)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-15.0 (-17.0 to -13.0)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-11.6 (-14.0 to -9.4)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S2B continued</w:t>
      </w:r>
    </w:p>
    <w:tbl>
      <w:tblPr>
        <w:tblW w:type="dxa" w:w="13752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84"/>
        <w:gridCol w:w="1296"/>
        <w:gridCol w:w="2520"/>
        <w:gridCol w:w="1944"/>
        <w:gridCol w:w="1296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Contrast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Difference, pp (95% CI)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Descriptive bootstrap P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Repetitions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-26.7 (-29.8 to -23.8)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+4.6 (+3.1 to +6.2)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+7.0 (+4.9 to +8.9)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+11.6 (+8.9 to +14.1)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+11.0 (+8.4 to +13.6)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+15.7 (+12.4 to +19.2)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Classify unknown causes as other-cause deaths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+26.7 (+22.2 to +30.7)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+10.5 (+8.5 to +12.6)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+4.6 (+2.2 to +7.1)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+15.1 (+12.1 to +18.3)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-15.0 (-17.0 to -13.0)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-11.6 (-13.9 to -9.3)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S2B continued</w:t>
      </w:r>
    </w:p>
    <w:tbl>
      <w:tblPr>
        <w:tblW w:type="dxa" w:w="13752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84"/>
        <w:gridCol w:w="1296"/>
        <w:gridCol w:w="2520"/>
        <w:gridCol w:w="1944"/>
        <w:gridCol w:w="1296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Scenario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Estimand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Contrast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Difference, pp (95% CI)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Descriptive bootstrap P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Repetitions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SCLC-death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-26.6 (-29.6 to -23.6)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+4.7 (+3.2 to +6.2)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+6.7 (+4.8 to +8.6)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Other-cause-death 3-year CIF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+11.3 (+8.8 to +13.9)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+11.0 (+8.6 to +13.6)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L36-L24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+15.5 (+12.2 to +18.9)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Complete survival dates</w:t>
            </w:r>
          </w:p>
        </w:tc>
        <w:tc>
          <w:tcPr>
            <w:tcW w:type="dxa" w:w="338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Other-cause contribution among known causes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L36-L12</w:t>
            </w:r>
          </w:p>
        </w:tc>
        <w:tc>
          <w:tcPr>
            <w:tcW w:type="dxa" w:w="252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+26.5 (+22.3 to +30.7)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2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2000</w:t>
            </w:r>
          </w:p>
        </w:tc>
      </w:tr>
    </w:tbl>
    <w:p>
      <w:pPr>
        <w:spacing w:after="0"/>
      </w:pP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000000"/>
          <w:sz w:val="15"/>
        </w:rPr>
        <w:t>Contrasts were estimated by record-level bootstrap so the dependence created by nested landmark risk sets was retained. P values are descriptive rather than independent-sample tests.</w:t>
      </w:r>
    </w:p>
    <w:p>
      <w:r>
        <w:br w:type="page"/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S2 continued</w:t>
      </w:r>
    </w:p>
    <w:p>
      <w:pPr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18"/>
        </w:rPr>
        <w:t>S2C Simplified adjustment models</w:t>
      </w:r>
    </w:p>
    <w:tbl>
      <w:tblPr>
        <w:tblW w:type="dxa" w:w="13608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1008"/>
        <w:gridCol w:w="4680"/>
        <w:gridCol w:w="2448"/>
        <w:gridCol w:w="1152"/>
        <w:gridCol w:w="1080"/>
      </w:tblGrid>
      <w:tr>
        <w:trPr>
          <w:tblHeader w:val="true"/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Model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HR or sHR (95% CI)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P value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SE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1.13 (1.08-1.18)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1.10 (1.00-1.21)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0.99 (0.97-1.01)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0.270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1.49 (1.29-1.72)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0.073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1.11 (1.05-1.17)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0.026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1.06 (0.95-1.18)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0.278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0.055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0.98 (0.96-1.00)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0.077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0.012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1.61 (1.37-1.89)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0.082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1.24 (1.10-1.40)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1.29 (1.00-1.67)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0.054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0.131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1.04 (0.99-1.10)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0.151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0.028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1.06 (0.76-1.46)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0.738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0.166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S2C continued</w:t>
      </w:r>
    </w:p>
    <w:tbl>
      <w:tblPr>
        <w:tblW w:type="dxa" w:w="13608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1008"/>
        <w:gridCol w:w="4680"/>
        <w:gridCol w:w="2448"/>
        <w:gridCol w:w="1152"/>
        <w:gridCol w:w="1080"/>
      </w:tblGrid>
      <w:tr>
        <w:trPr>
          <w:tblHeader w:val="true"/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Model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HR or sHR (95% CI)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P value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SE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1.09 (1.04-1.14)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0.026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1.04 (0.93-1.15)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0.510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0.98 (0.95-1.00)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0.012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1.59 (1.36-1.86)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1.17 (1.04-1.30)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0.006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0.056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1.22 (0.95-1.58)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0.125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0.131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1.05 (1.00-1.12)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0.029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0.83 (0.60-1.15)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0.263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0.164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1.14 (1.07-1.22)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1.08 (0.94-1.25)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0.269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0.072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0.99 (0.96-1.02)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0.504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0.015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1.28 (1.07-1.54)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0.094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1.11 (1.02-1.20)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0.040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S2C continued</w:t>
      </w:r>
    </w:p>
    <w:tbl>
      <w:tblPr>
        <w:tblW w:type="dxa" w:w="13608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1008"/>
        <w:gridCol w:w="4680"/>
        <w:gridCol w:w="2448"/>
        <w:gridCol w:w="1152"/>
        <w:gridCol w:w="1080"/>
      </w:tblGrid>
      <w:tr>
        <w:trPr>
          <w:tblHeader w:val="true"/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Model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HR or sHR (95% CI)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P value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SE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1.01 (0.86-1.19)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0.898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0.97 (0.94-1.01)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0.018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1.45 (1.16-1.82)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0.115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1.27 (1.11-1.44)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0.065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1.33 (1.01-1.75)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0.045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0.141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1.05 (0.99-1.12)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0.086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1.04 (0.74-1.45)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0.820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0.171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1.09 (1.00-1.18)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0.037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0.040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0.98 (0.83-1.15)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0.766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0.083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0.97 (0.94-1.00)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0.084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0.018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1.44 (1.16-1.80)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0.112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1.21 (1.08-1.36)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1.30 (0.98-1.71)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0.141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S2C continued</w:t>
      </w:r>
    </w:p>
    <w:tbl>
      <w:tblPr>
        <w:tblW w:type="dxa" w:w="13608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1008"/>
        <w:gridCol w:w="4680"/>
        <w:gridCol w:w="2448"/>
        <w:gridCol w:w="1152"/>
        <w:gridCol w:w="1080"/>
      </w:tblGrid>
      <w:tr>
        <w:trPr>
          <w:tblHeader w:val="true"/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Model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HR or sHR (95% CI)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P value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SE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1.07 (1.00-1.13)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0.039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0.031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0.89 (0.64-1.25)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0.510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0.169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1.19 (1.09-1.29)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0.043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1.04 (0.87-1.24)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0.675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0.090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0.99 (0.96-1.03)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0.695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0.019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OS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1.12 (0.91-1.40)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0.291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1.15 (1.03-1.29)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0.013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0.057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0.99 (0.79-1.25)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0.943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0.119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0.97 (0.93-1.02)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0.261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0.025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1.31 (0.97-1.76)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0.080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0.153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1.24 (1.09-1.42)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0.066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1.12 (0.85-1.47)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0.425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0.140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1.02 (0.96-1.08)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0.569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0.030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S2C continued</w:t>
      </w:r>
    </w:p>
    <w:tbl>
      <w:tblPr>
        <w:tblW w:type="dxa" w:w="13608"/>
        <w:jc w:val="center"/>
        <w:tblLayout w:type="fixed"/>
        <w:tblLook w:firstColumn="1" w:firstRow="1" w:lastColumn="0" w:lastRow="0" w:noHBand="0" w:noVBand="1" w:val="04A0"/>
      </w:tblPr>
      <w:tblGrid>
        <w:gridCol w:w="3240"/>
        <w:gridCol w:w="1008"/>
        <w:gridCol w:w="4680"/>
        <w:gridCol w:w="2448"/>
        <w:gridCol w:w="1152"/>
        <w:gridCol w:w="1080"/>
      </w:tblGrid>
      <w:tr>
        <w:trPr>
          <w:tblHeader w:val="true"/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Model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Covariate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HR or sHR (95% CI)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P value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SE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cause-specific Cox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0.94 (0.68-1.30)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0.712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0.164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1.12 (1.00-1.26)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0.048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0.058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0.98 (0.78-1.24)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0.886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0.117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0.97 (0.92-1.02)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0.183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0.024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SCLC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1.31 (0.98-1.76)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0.072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0.150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Age, per 5 years from age 65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1.19 (1.05-1.34)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0.062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Male (reference: female)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1.10 (0.83-1.45)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0.503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0.140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Diagnosis year, per calendar year from 2010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1.02 (0.97-1.09)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0.431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0.030</w:t>
            </w:r>
          </w:p>
        </w:tc>
      </w:tr>
      <w:tr>
        <w:trPr>
          <w:cantSplit w:val="true"/>
        </w:trPr>
        <w:tc>
          <w:tcPr>
            <w:tcW w:type="dxa" w:w="32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S9 simple other-cause Fine-Gray</w:t>
            </w:r>
          </w:p>
        </w:tc>
        <w:tc>
          <w:tcPr>
            <w:tcW w:type="dxa" w:w="100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46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 (reference: localized)</w:t>
            </w:r>
          </w:p>
        </w:tc>
        <w:tc>
          <w:tcPr>
            <w:tcW w:type="dxa" w:w="244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0.86 (0.63-1.18)</w:t>
            </w:r>
          </w:p>
        </w:tc>
        <w:tc>
          <w:tcPr>
            <w:tcW w:type="dxa" w:w="115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0.355</w:t>
            </w:r>
          </w:p>
        </w:tc>
        <w:tc>
          <w:tcPr>
            <w:tcW w:type="dxa" w:w="108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0.162</w:t>
            </w:r>
          </w:p>
        </w:tc>
      </w:tr>
    </w:tbl>
    <w:p>
      <w:pPr>
        <w:spacing w:after="0"/>
      </w:pP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000000"/>
          <w:sz w:val="15"/>
        </w:rPr>
        <w:t>The simplified adjustment set included age, sex, diagnosis year, and Summary Stage 2000. HR and sHR are association measures and do not estimate a treatment effect.</w:t>
      </w:r>
    </w:p>
    <w:p>
      <w:r>
        <w:br w:type="page"/>
      </w:r>
    </w:p>
    <w:p>
      <w:pPr>
        <w:keepNext/>
        <w:spacing w:before="4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S3 Detailed prespecified subgroup estimates</w:t>
      </w:r>
    </w:p>
    <w:tbl>
      <w:tblPr>
        <w:tblW w:type="dxa" w:w="12096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1368"/>
        <w:gridCol w:w="1224"/>
        <w:gridCol w:w="3096"/>
        <w:gridCol w:w="936"/>
        <w:gridCol w:w="936"/>
        <w:gridCol w:w="2160"/>
        <w:gridCol w:w="1440"/>
      </w:tblGrid>
      <w:tr>
        <w:trPr>
          <w:tblHeader w:val="true"/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Subgroup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Outcome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Events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 (95% CI)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BH-adjusted Gray P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1648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152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9.2% (7.8–10.6)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656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78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11.9% (9.4–14.4)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&lt;11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Suppressed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1648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908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55.2% (52.8–57.6)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0.009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656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393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59.9% (56.2–63.7)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0.009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68.6% (54.2–83.0)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0.009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1648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1071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34.9% (32.6–37.2)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656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475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27.5% (24.2–31.0)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32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24.4% (12.7–38.1)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391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46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11.8% (8.6–15.0)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0.318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1956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187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9.6% (8.3–10.9)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0.318</w:t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S3 continued</w:t>
      </w:r>
    </w:p>
    <w:tbl>
      <w:tblPr>
        <w:tblW w:type="dxa" w:w="12096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1368"/>
        <w:gridCol w:w="1224"/>
        <w:gridCol w:w="3096"/>
        <w:gridCol w:w="936"/>
        <w:gridCol w:w="936"/>
        <w:gridCol w:w="2160"/>
        <w:gridCol w:w="1440"/>
      </w:tblGrid>
      <w:tr>
        <w:trPr>
          <w:tblHeader w:val="true"/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Subgroup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Outcome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Events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 (95% CI)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BH-adjusted Gray P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391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172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44.1% (39.2–49.0)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1956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1158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59.3% (57.1–61.5)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&lt;0.001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391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221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43.4% (38.4–48.2)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L12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1956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1357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30.5% (28.5–32.6)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1019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138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13.6% (11.5–15.7)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354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64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18.2% (14.2–22.2)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&lt;11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Suppressed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1019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413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40.6% (37.6–43.6)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0.053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354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154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43.7% (38.5–48.8)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0.053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13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65.0% (43.0–87.0)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0.053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1019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557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45.2% (42.1–48.3)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354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219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37.9% (32.8–42.9)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S3 continued</w:t>
      </w:r>
    </w:p>
    <w:tbl>
      <w:tblPr>
        <w:tblW w:type="dxa" w:w="12096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1368"/>
        <w:gridCol w:w="1224"/>
        <w:gridCol w:w="3096"/>
        <w:gridCol w:w="936"/>
        <w:gridCol w:w="936"/>
        <w:gridCol w:w="2160"/>
        <w:gridCol w:w="1440"/>
      </w:tblGrid>
      <w:tr>
        <w:trPr>
          <w:tblHeader w:val="true"/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Subgroup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Outcome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Events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 (95% CI)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BH-adjusted Gray P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25.0% (9.1–44.9)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45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16.7% (12.3–21.2)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0.318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1124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14.2% (12.2–16.3)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0.318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91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33.8% (28.2–39.5)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0.003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1124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489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43.6% (40.7–46.5)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0.003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140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48.0% (41.9–53.8)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L24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1124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41.9% (39.0–44.8)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731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145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19.9% (17.0–22.8)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241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25.5% (20.0–31.0)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&lt;11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Suppressed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731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28.6% (25.4–31.9)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241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82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34.2% (28.2–40.2)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</w:tbl>
    <w:p>
      <w:pPr>
        <w:spacing w:after="0"/>
      </w:pPr>
    </w:p>
    <w:p>
      <w:pPr>
        <w:keepNext/>
        <w:pageBreakBefore/>
        <w:spacing w:before="0" w:after="100" w:line="252" w:lineRule="auto"/>
      </w:pPr>
      <w:r>
        <w:rPr>
          <w:rFonts w:ascii="Arial" w:hAnsi="Arial"/>
          <w:b/>
          <w:i w:val="0"/>
          <w:color w:val="000000"/>
          <w:sz w:val="20"/>
        </w:rPr>
        <w:t>Supplementary Table S3 continued</w:t>
      </w:r>
    </w:p>
    <w:tbl>
      <w:tblPr>
        <w:tblW w:type="dxa" w:w="12096"/>
        <w:jc w:val="center"/>
        <w:tblLayout w:type="fixed"/>
        <w:tblLook w:firstColumn="1" w:firstRow="1" w:lastColumn="0" w:lastRow="0" w:noHBand="0" w:noVBand="1" w:val="04A0"/>
      </w:tblPr>
      <w:tblGrid>
        <w:gridCol w:w="936"/>
        <w:gridCol w:w="1368"/>
        <w:gridCol w:w="1224"/>
        <w:gridCol w:w="3096"/>
        <w:gridCol w:w="936"/>
        <w:gridCol w:w="936"/>
        <w:gridCol w:w="2160"/>
        <w:gridCol w:w="1440"/>
      </w:tblGrid>
      <w:tr>
        <w:trPr>
          <w:tblHeader w:val="true"/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Landmark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Subgroup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Level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Outcome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Records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Events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Estimate (95% CI)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4"/>
              </w:rPr>
              <w:t>BH-adjusted Gray P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&lt;11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Suppressed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65–74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731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359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50.8% (47.1–54.3)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75–84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241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146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39.0% (32.9–45.2)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Age group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≥85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11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&lt;11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Suppressed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50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24.5% (18.6–30.4)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0.318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other-cause-death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779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159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20.5% (17.7–23.4)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0.318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53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26.0% (20.0–32.0)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0.110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3-year SCLC-death CIF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779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242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31.2% (27.9–34.4)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0.110</w:t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Localized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204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105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48.5% (41.5–55.2)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  <w:tr>
        <w:trPr>
          <w:cantSplit w:val="true"/>
        </w:trPr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L36</w:t>
            </w:r>
          </w:p>
        </w:tc>
        <w:tc>
          <w:tcPr>
            <w:tcW w:type="dxa" w:w="13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Summary stage</w:t>
            </w:r>
          </w:p>
        </w:tc>
        <w:tc>
          <w:tcPr>
            <w:tcW w:type="dxa" w:w="122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Regional</w:t>
            </w:r>
          </w:p>
        </w:tc>
        <w:tc>
          <w:tcPr>
            <w:tcW w:type="dxa" w:w="309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Conditional 3-year overall survival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779</w:t>
            </w:r>
          </w:p>
        </w:tc>
        <w:tc>
          <w:tcPr>
            <w:tcW w:type="dxa" w:w="936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407</w:t>
            </w:r>
          </w:p>
        </w:tc>
        <w:tc>
          <w:tcPr>
            <w:tcW w:type="dxa" w:w="216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  <w:t>47.5% (44.0–51.0)</w:t>
            </w:r>
          </w:p>
        </w:tc>
        <w:tc>
          <w:tcPr>
            <w:tcW w:type="dxa" w:w="1440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4"/>
              </w:rPr>
            </w:r>
          </w:p>
        </w:tc>
      </w:tr>
    </w:tbl>
    <w:p>
      <w:pPr>
        <w:spacing w:after="0"/>
      </w:pP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000000"/>
          <w:sz w:val="15"/>
        </w:rPr>
        <w:t>Gray tests compare mutually exclusive subgroups within the same landmark only. P values were adjusted by the Benjamini-Hochberg method within prespecified test families. Sparse cells are suppressed.</w:t>
      </w:r>
    </w:p>
    <w:p>
      <w:r>
        <w:br w:type="page"/>
      </w:r>
    </w:p>
    <w:p>
      <w:pPr>
        <w:keepNext/>
        <w:spacing w:before="40" w:after="100" w:line="252" w:lineRule="auto"/>
      </w:pPr>
      <w:r>
        <w:rPr>
          <w:rFonts w:ascii="Arial" w:hAnsi="Arial"/>
          <w:b/>
          <w:i w:val="0"/>
          <w:color w:val="000000"/>
          <w:sz w:val="22"/>
        </w:rPr>
        <w:t>Supplementary Table S4 Histology and data-quality characteristics</w:t>
      </w:r>
    </w:p>
    <w:tbl>
      <w:tblPr>
        <w:tblW w:type="dxa" w:w="13536"/>
        <w:jc w:val="center"/>
        <w:tblLayout w:type="fixed"/>
        <w:tblLook w:firstColumn="1" w:firstRow="1" w:lastColumn="0" w:lastRow="0" w:noHBand="0" w:noVBand="1" w:val="04A0"/>
      </w:tblPr>
      <w:tblGrid>
        <w:gridCol w:w="2592"/>
        <w:gridCol w:w="3168"/>
        <w:gridCol w:w="1944"/>
        <w:gridCol w:w="1944"/>
        <w:gridCol w:w="1944"/>
        <w:gridCol w:w="1944"/>
      </w:tblGrid>
      <w:tr>
        <w:trPr>
          <w:tblHeader w:val="true"/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Characteristic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Level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Overall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L12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L24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top w:val="single" w:sz="14" w:color="000000"/>
              <w:bottom w:val="single" w:sz="8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color w:val="000000"/>
                <w:sz w:val="16"/>
              </w:rPr>
              <w:t>L36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Histology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8041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3323 (97.1%)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2280 (97.1%)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1357 (97.4%)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962 (97.9%)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Histology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8042–8045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99 (2.9%)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67 (2.9%)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36 (2.6%)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21 (2.1%)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Diagnostic confirmation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Microscopically confirmed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3411 (99.7%)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2341 (99.7%)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1392 (99.9%)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982 (99.9%)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Diagnostic confirmation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Not microscopically confirmed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11 (0.3%)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&lt;11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&lt;11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&lt;11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Sequence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One primary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2257 (66.0%)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1485 (63.3%)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858 (61.6%)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598 (60.8%)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Sequence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Multiple primaries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1165 (34.0%)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862 (36.7%)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535 (38.4%)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385 (39.2%)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Survival dates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Complete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3411 (99.7%)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2339 (99.7%)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1388 (99.6%)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2" w:color="D9D9D9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981 (99.8%)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Survival dates</w:t>
            </w:r>
          </w:p>
        </w:tc>
        <w:tc>
          <w:tcPr>
            <w:tcW w:type="dxa" w:w="3168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Incomplete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11 (0.3%)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&lt;11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&lt;11</w:t>
            </w:r>
          </w:p>
        </w:tc>
        <w:tc>
          <w:tcPr>
            <w:tcW w:type="dxa" w:w="1944"/>
            <w:vAlign w:val="center"/>
            <w:tcMar>
              <w:top w:w="55" w:type="dxa"/>
              <w:start w:w="65" w:type="dxa"/>
              <w:bottom w:w="55" w:type="dxa"/>
              <w:end w:w="65" w:type="dxa"/>
            </w:tcMar>
            <w:tcBorders>
              <w:bottom w:val="single" w:sz="14" w:color="000000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&lt;11</w:t>
            </w:r>
          </w:p>
        </w:tc>
      </w:tr>
    </w:tbl>
    <w:p>
      <w:pPr>
        <w:spacing w:after="0"/>
      </w:pP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000000"/>
          <w:sz w:val="15"/>
        </w:rPr>
        <w:t>Values are n (%) unless otherwise stated. Landmark sets are nested. Cells containing 1-10 records are reported as &lt;11 under the disclosure rule.</w:t>
      </w:r>
    </w:p>
    <w:sectPr w:rsidR="00FC693F" w:rsidRPr="0006063C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Tables S1 to S4</dc:title>
  <dc:subject>Supplementary material for Discover Oncology submission</dc:subject>
  <dc:creator>Xiaolin Chen, MD; Yuyi Lin, MD; Yangchao Xie, MD; Fenpen Huang, MD; Shaofeng Wang, MD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