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89726D">
      <w:pPr>
        <w:rPr>
          <w:rFonts w:ascii="Times New Roman" w:hAnsi="Times New Roman" w:eastAsia="等线" w:cs="Times New Roman"/>
          <w:b/>
          <w:bCs/>
          <w:sz w:val="22"/>
          <w:szCs w:val="22"/>
          <w:lang w:bidi="ar"/>
        </w:rPr>
      </w:pPr>
      <w:r>
        <w:rPr>
          <w:rFonts w:hint="eastAsia" w:ascii="Times New Roman" w:hAnsi="Times New Roman" w:eastAsia="等线" w:cs="Times New Roman"/>
          <w:b/>
          <w:bCs/>
          <w:sz w:val="22"/>
          <w:szCs w:val="22"/>
          <w:lang w:bidi="ar"/>
        </w:rPr>
        <w:t>Supplementary Table S</w:t>
      </w:r>
      <w:r>
        <w:rPr>
          <w:rFonts w:hint="eastAsia" w:ascii="Times New Roman" w:hAnsi="Times New Roman" w:eastAsia="等线" w:cs="Times New Roman"/>
          <w:b/>
          <w:bCs/>
          <w:sz w:val="22"/>
          <w:szCs w:val="22"/>
          <w:lang w:val="en-US" w:eastAsia="zh-CN" w:bidi="ar"/>
        </w:rPr>
        <w:t>1</w:t>
      </w:r>
      <w:r>
        <w:rPr>
          <w:rFonts w:hint="eastAsia" w:ascii="Times New Roman" w:hAnsi="Times New Roman" w:eastAsia="等线" w:cs="Times New Roman"/>
          <w:b/>
          <w:bCs/>
          <w:sz w:val="22"/>
          <w:szCs w:val="22"/>
          <w:lang w:bidi="ar"/>
        </w:rPr>
        <w:t>. Pairwise comparisons of AUROCs among nutritional indices using the DeLong test.</w:t>
      </w:r>
    </w:p>
    <w:p w14:paraId="3A062229">
      <w:pPr>
        <w:rPr>
          <w:rFonts w:ascii="Times New Roman" w:hAnsi="Times New Roman" w:eastAsia="等线" w:cs="Times New Roman"/>
          <w:b/>
          <w:bCs/>
          <w:sz w:val="24"/>
          <w:lang w:bidi="ar"/>
        </w:rPr>
      </w:pPr>
    </w:p>
    <w:tbl>
      <w:tblPr>
        <w:tblStyle w:val="4"/>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Layout w:type="autofit"/>
        <w:tblCellMar>
          <w:top w:w="0" w:type="dxa"/>
          <w:left w:w="108" w:type="dxa"/>
          <w:bottom w:w="0" w:type="dxa"/>
          <w:right w:w="108" w:type="dxa"/>
        </w:tblCellMar>
      </w:tblPr>
      <w:tblGrid>
        <w:gridCol w:w="2157"/>
        <w:gridCol w:w="2736"/>
        <w:gridCol w:w="1883"/>
        <w:gridCol w:w="1746"/>
      </w:tblGrid>
      <w:tr w14:paraId="7F80277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c>
          <w:tcPr>
            <w:tcW w:w="2157" w:type="dxa"/>
            <w:tcBorders>
              <w:top w:val="single" w:color="auto" w:sz="12" w:space="0"/>
              <w:left w:val="single" w:color="FFFFFF" w:sz="6" w:space="0"/>
              <w:bottom w:val="single" w:color="auto" w:sz="6" w:space="0"/>
              <w:right w:val="single" w:color="FFFFFF" w:sz="8" w:space="0"/>
            </w:tcBorders>
            <w:shd w:val="clear" w:color="auto" w:fill="FFFFFF" w:themeFill="background1"/>
          </w:tcPr>
          <w:p w14:paraId="21195D32">
            <w:pPr>
              <w:jc w:val="center"/>
              <w:rPr>
                <w:rFonts w:hint="default" w:ascii="Times New Roman" w:hAnsi="Times New Roman" w:eastAsia="等线" w:cs="Times New Roman"/>
                <w:b/>
                <w:bCs/>
                <w:sz w:val="22"/>
                <w:szCs w:val="22"/>
                <w:lang w:bidi="ar"/>
              </w:rPr>
            </w:pPr>
            <w:r>
              <w:rPr>
                <w:rFonts w:hint="default" w:ascii="Times New Roman" w:hAnsi="Times New Roman" w:eastAsia="等线" w:cs="Times New Roman"/>
                <w:b/>
                <w:bCs/>
                <w:sz w:val="22"/>
                <w:szCs w:val="22"/>
                <w:lang w:bidi="ar"/>
              </w:rPr>
              <w:t>Comparison</w:t>
            </w:r>
          </w:p>
        </w:tc>
        <w:tc>
          <w:tcPr>
            <w:tcW w:w="2736" w:type="dxa"/>
            <w:tcBorders>
              <w:top w:val="single" w:color="auto" w:sz="12" w:space="0"/>
              <w:left w:val="single" w:color="FFFFFF" w:sz="8" w:space="0"/>
              <w:bottom w:val="single" w:color="auto" w:sz="6" w:space="0"/>
            </w:tcBorders>
            <w:shd w:val="clear" w:color="auto" w:fill="FFFFFF" w:themeFill="background1"/>
          </w:tcPr>
          <w:p w14:paraId="66E3ACA5">
            <w:pPr>
              <w:jc w:val="center"/>
              <w:rPr>
                <w:rFonts w:hint="default" w:ascii="Times New Roman" w:hAnsi="Times New Roman" w:eastAsia="等线" w:cs="Times New Roman"/>
                <w:b/>
                <w:bCs/>
                <w:sz w:val="22"/>
                <w:szCs w:val="22"/>
                <w:lang w:bidi="ar"/>
              </w:rPr>
            </w:pPr>
            <w:r>
              <w:rPr>
                <w:rFonts w:hint="default" w:ascii="Times New Roman" w:hAnsi="Times New Roman" w:eastAsia="等线" w:cs="Times New Roman"/>
                <w:b/>
                <w:bCs/>
                <w:sz w:val="22"/>
                <w:szCs w:val="22"/>
                <w:lang w:bidi="ar"/>
              </w:rPr>
              <w:t xml:space="preserve">Difference in AUROC </w:t>
            </w:r>
          </w:p>
        </w:tc>
        <w:tc>
          <w:tcPr>
            <w:tcW w:w="1883" w:type="dxa"/>
            <w:tcBorders>
              <w:top w:val="single" w:color="auto" w:sz="12" w:space="0"/>
              <w:bottom w:val="single" w:color="auto" w:sz="6" w:space="0"/>
            </w:tcBorders>
            <w:shd w:val="clear" w:color="auto" w:fill="FFFFFF" w:themeFill="background1"/>
          </w:tcPr>
          <w:p w14:paraId="7F67B662">
            <w:pPr>
              <w:jc w:val="center"/>
              <w:rPr>
                <w:rFonts w:hint="default" w:ascii="Times New Roman" w:hAnsi="Times New Roman" w:eastAsia="等线" w:cs="Times New Roman"/>
                <w:b/>
                <w:bCs/>
                <w:sz w:val="22"/>
                <w:szCs w:val="22"/>
                <w:lang w:bidi="ar"/>
              </w:rPr>
            </w:pPr>
            <w:r>
              <w:rPr>
                <w:rFonts w:hint="default" w:ascii="Times New Roman" w:hAnsi="Times New Roman" w:eastAsia="等线" w:cs="Times New Roman"/>
                <w:b/>
                <w:bCs/>
                <w:sz w:val="22"/>
                <w:szCs w:val="22"/>
                <w:lang w:bidi="ar"/>
              </w:rPr>
              <w:t>95% CI</w:t>
            </w:r>
          </w:p>
        </w:tc>
        <w:tc>
          <w:tcPr>
            <w:tcW w:w="1746" w:type="dxa"/>
            <w:tcBorders>
              <w:top w:val="single" w:color="auto" w:sz="12" w:space="0"/>
              <w:bottom w:val="single" w:color="auto" w:sz="6" w:space="0"/>
            </w:tcBorders>
            <w:shd w:val="clear" w:color="auto" w:fill="FFFFFF" w:themeFill="background1"/>
          </w:tcPr>
          <w:p w14:paraId="225B3661">
            <w:pPr>
              <w:jc w:val="center"/>
              <w:rPr>
                <w:rFonts w:hint="default" w:ascii="Times New Roman" w:hAnsi="Times New Roman" w:eastAsia="等线" w:cs="Times New Roman"/>
                <w:b/>
                <w:bCs/>
                <w:sz w:val="22"/>
                <w:szCs w:val="22"/>
                <w:lang w:bidi="ar"/>
              </w:rPr>
            </w:pPr>
            <w:r>
              <w:rPr>
                <w:rFonts w:hint="default" w:ascii="Times New Roman" w:hAnsi="Times New Roman" w:eastAsia="等线" w:cs="Times New Roman"/>
                <w:b/>
                <w:bCs/>
                <w:sz w:val="22"/>
                <w:szCs w:val="22"/>
                <w:lang w:bidi="ar"/>
              </w:rPr>
              <w:t>P-value</w:t>
            </w:r>
          </w:p>
        </w:tc>
      </w:tr>
      <w:tr w14:paraId="6E46162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c>
          <w:tcPr>
            <w:tcW w:w="2157" w:type="dxa"/>
            <w:tcBorders>
              <w:top w:val="single" w:color="FFFFFF" w:sz="6" w:space="0"/>
            </w:tcBorders>
            <w:shd w:val="clear" w:color="auto" w:fill="FFFFFF" w:themeFill="background1"/>
          </w:tcPr>
          <w:p w14:paraId="4476C1B7">
            <w:pPr>
              <w:rPr>
                <w:rFonts w:hint="default" w:ascii="Times New Roman" w:hAnsi="Times New Roman" w:eastAsia="等线" w:cs="Times New Roman"/>
                <w:sz w:val="22"/>
                <w:szCs w:val="22"/>
                <w:lang w:bidi="ar"/>
              </w:rPr>
            </w:pPr>
            <w:r>
              <w:rPr>
                <w:rFonts w:hint="default" w:ascii="Times New Roman" w:hAnsi="Times New Roman" w:eastAsia="等线" w:cs="Times New Roman"/>
                <w:sz w:val="22"/>
                <w:szCs w:val="22"/>
                <w:lang w:bidi="ar"/>
              </w:rPr>
              <w:t>GNRI vs PNI</w:t>
            </w:r>
          </w:p>
        </w:tc>
        <w:tc>
          <w:tcPr>
            <w:tcW w:w="2736" w:type="dxa"/>
            <w:shd w:val="clear" w:color="auto" w:fill="FFFFFF" w:themeFill="background1"/>
          </w:tcPr>
          <w:p w14:paraId="3AD9D678">
            <w:pPr>
              <w:pStyle w:val="2"/>
              <w:widowControl/>
              <w:jc w:val="center"/>
              <w:rPr>
                <w:rFonts w:hint="default" w:ascii="Times New Roman" w:hAnsi="Times New Roman" w:eastAsia="等线" w:cs="Times New Roman"/>
                <w:color w:val="000000" w:themeColor="text1"/>
                <w:kern w:val="2"/>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0.0702</w:t>
            </w:r>
          </w:p>
        </w:tc>
        <w:tc>
          <w:tcPr>
            <w:tcW w:w="1883" w:type="dxa"/>
            <w:shd w:val="clear" w:color="auto" w:fill="FFFFFF" w:themeFill="background1"/>
          </w:tcPr>
          <w:p w14:paraId="75ED1B77">
            <w:pPr>
              <w:pStyle w:val="2"/>
              <w:widowControl/>
              <w:jc w:val="center"/>
              <w:rPr>
                <w:rFonts w:hint="default" w:ascii="Times New Roman" w:hAnsi="Times New Roman" w:cs="Times New Roman"/>
                <w:color w:val="000000" w:themeColor="text1"/>
                <w:kern w:val="2"/>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0.0378</w:t>
            </w:r>
            <w:r>
              <w:rPr>
                <w:sz w:val="18"/>
              </w:rPr>
              <w:t>–</w:t>
            </w:r>
            <w:r>
              <w:rPr>
                <w:rFonts w:hint="default" w:ascii="Times New Roman" w:hAnsi="Times New Roman" w:cs="Times New Roman"/>
                <w:color w:val="000000" w:themeColor="text1"/>
                <w:sz w:val="22"/>
                <w:szCs w:val="22"/>
                <w14:textFill>
                  <w14:solidFill>
                    <w14:schemeClr w14:val="tx1"/>
                  </w14:solidFill>
                </w14:textFill>
              </w:rPr>
              <w:t>0.1030</w:t>
            </w:r>
          </w:p>
        </w:tc>
        <w:tc>
          <w:tcPr>
            <w:tcW w:w="1746" w:type="dxa"/>
            <w:tcBorders>
              <w:top w:val="single" w:color="FFFFFF" w:sz="6" w:space="0"/>
              <w:right w:val="single" w:color="FFFFFF" w:sz="6" w:space="0"/>
            </w:tcBorders>
            <w:shd w:val="clear" w:color="auto" w:fill="FFFFFF" w:themeFill="background1"/>
          </w:tcPr>
          <w:p w14:paraId="019AB83E">
            <w:pPr>
              <w:pStyle w:val="2"/>
              <w:widowControl/>
              <w:jc w:val="center"/>
              <w:rPr>
                <w:rFonts w:hint="default" w:ascii="Times New Roman" w:hAnsi="Times New Roman" w:eastAsia="等线" w:cs="Times New Roman"/>
                <w:color w:val="000000" w:themeColor="text1"/>
                <w:kern w:val="2"/>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P &lt; 0.0001</w:t>
            </w:r>
          </w:p>
        </w:tc>
      </w:tr>
      <w:tr w14:paraId="6675D91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57" w:type="dxa"/>
            <w:shd w:val="clear" w:color="auto" w:fill="FFFFFF" w:themeFill="background1"/>
          </w:tcPr>
          <w:p w14:paraId="56018CE7">
            <w:pPr>
              <w:rPr>
                <w:rFonts w:hint="default" w:ascii="Times New Roman" w:hAnsi="Times New Roman" w:eastAsia="等线" w:cs="Times New Roman"/>
                <w:sz w:val="22"/>
                <w:szCs w:val="22"/>
                <w:lang w:bidi="ar"/>
              </w:rPr>
            </w:pPr>
            <w:r>
              <w:rPr>
                <w:rFonts w:hint="default" w:ascii="Times New Roman" w:hAnsi="Times New Roman" w:eastAsia="等线" w:cs="Times New Roman"/>
                <w:sz w:val="22"/>
                <w:szCs w:val="22"/>
                <w:lang w:bidi="ar"/>
              </w:rPr>
              <w:t>GNRI vs TCBI</w:t>
            </w:r>
          </w:p>
        </w:tc>
        <w:tc>
          <w:tcPr>
            <w:tcW w:w="2736" w:type="dxa"/>
            <w:shd w:val="clear" w:color="auto" w:fill="FFFFFF" w:themeFill="background1"/>
          </w:tcPr>
          <w:p w14:paraId="01982486">
            <w:pPr>
              <w:pStyle w:val="2"/>
              <w:widowControl/>
              <w:jc w:val="center"/>
              <w:rPr>
                <w:rFonts w:hint="default" w:ascii="Times New Roman" w:hAnsi="Times New Roman" w:eastAsia="等线" w:cs="Times New Roman"/>
                <w:color w:val="000000" w:themeColor="text1"/>
                <w:kern w:val="2"/>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0.0864</w:t>
            </w:r>
          </w:p>
        </w:tc>
        <w:tc>
          <w:tcPr>
            <w:tcW w:w="1883" w:type="dxa"/>
            <w:shd w:val="clear" w:color="auto" w:fill="FFFFFF" w:themeFill="background1"/>
          </w:tcPr>
          <w:p w14:paraId="69042302">
            <w:pPr>
              <w:pStyle w:val="2"/>
              <w:widowControl/>
              <w:jc w:val="center"/>
              <w:rPr>
                <w:rFonts w:hint="default" w:ascii="Times New Roman" w:hAnsi="Times New Roman" w:cs="Times New Roman"/>
                <w:color w:val="000000" w:themeColor="text1"/>
                <w:kern w:val="2"/>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0.0264</w:t>
            </w:r>
            <w:r>
              <w:rPr>
                <w:sz w:val="18"/>
              </w:rPr>
              <w:t>–</w:t>
            </w:r>
            <w:r>
              <w:rPr>
                <w:rFonts w:hint="default" w:ascii="Times New Roman" w:hAnsi="Times New Roman" w:cs="Times New Roman"/>
                <w:color w:val="000000" w:themeColor="text1"/>
                <w:sz w:val="22"/>
                <w:szCs w:val="22"/>
                <w14:textFill>
                  <w14:solidFill>
                    <w14:schemeClr w14:val="tx1"/>
                  </w14:solidFill>
                </w14:textFill>
              </w:rPr>
              <w:t>0.1460</w:t>
            </w:r>
          </w:p>
        </w:tc>
        <w:tc>
          <w:tcPr>
            <w:tcW w:w="1746" w:type="dxa"/>
            <w:tcBorders>
              <w:right w:val="single" w:color="FFFFFF" w:sz="6" w:space="0"/>
            </w:tcBorders>
            <w:shd w:val="clear" w:color="auto" w:fill="FFFFFF" w:themeFill="background1"/>
          </w:tcPr>
          <w:p w14:paraId="674B1005">
            <w:pPr>
              <w:jc w:val="center"/>
              <w:rPr>
                <w:rFonts w:hint="default" w:ascii="Times New Roman" w:hAnsi="Times New Roman" w:eastAsia="等线" w:cs="Times New Roman"/>
                <w:color w:val="000000" w:themeColor="text1"/>
                <w:sz w:val="22"/>
                <w:szCs w:val="22"/>
                <w:lang w:bidi="ar"/>
                <w14:textFill>
                  <w14:solidFill>
                    <w14:schemeClr w14:val="tx1"/>
                  </w14:solidFill>
                </w14:textFill>
              </w:rPr>
            </w:pPr>
            <w:r>
              <w:rPr>
                <w:rFonts w:hint="default" w:ascii="Times New Roman" w:hAnsi="Times New Roman" w:eastAsia="宋体" w:cs="Times New Roman"/>
                <w:color w:val="000000" w:themeColor="text1"/>
                <w:sz w:val="22"/>
                <w:szCs w:val="22"/>
                <w14:textFill>
                  <w14:solidFill>
                    <w14:schemeClr w14:val="tx1"/>
                  </w14:solidFill>
                </w14:textFill>
              </w:rPr>
              <w:t>0.0048</w:t>
            </w:r>
          </w:p>
        </w:tc>
      </w:tr>
      <w:tr w14:paraId="217ACC5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57" w:type="dxa"/>
            <w:shd w:val="clear" w:color="auto" w:fill="FFFFFF" w:themeFill="background1"/>
          </w:tcPr>
          <w:p w14:paraId="72A4E2AF">
            <w:pPr>
              <w:rPr>
                <w:rFonts w:hint="default" w:ascii="Times New Roman" w:hAnsi="Times New Roman" w:eastAsia="等线" w:cs="Times New Roman"/>
                <w:sz w:val="22"/>
                <w:szCs w:val="22"/>
                <w:lang w:bidi="ar"/>
              </w:rPr>
            </w:pPr>
            <w:r>
              <w:rPr>
                <w:rFonts w:hint="default" w:ascii="Times New Roman" w:hAnsi="Times New Roman" w:eastAsia="等线" w:cs="Times New Roman"/>
                <w:sz w:val="22"/>
                <w:szCs w:val="22"/>
                <w:lang w:bidi="ar"/>
              </w:rPr>
              <w:t>GNRI vs CONUT</w:t>
            </w:r>
          </w:p>
        </w:tc>
        <w:tc>
          <w:tcPr>
            <w:tcW w:w="2736" w:type="dxa"/>
            <w:shd w:val="clear" w:color="auto" w:fill="FFFFFF" w:themeFill="background1"/>
          </w:tcPr>
          <w:p w14:paraId="308A0E16">
            <w:pPr>
              <w:jc w:val="center"/>
              <w:rPr>
                <w:rFonts w:hint="default" w:ascii="Times New Roman" w:hAnsi="Times New Roman" w:eastAsia="等线" w:cs="Times New Roman"/>
                <w:color w:val="000000" w:themeColor="text1"/>
                <w:sz w:val="22"/>
                <w:szCs w:val="22"/>
                <w:lang w:bidi="ar"/>
                <w14:textFill>
                  <w14:solidFill>
                    <w14:schemeClr w14:val="tx1"/>
                  </w14:solidFill>
                </w14:textFill>
              </w:rPr>
            </w:pPr>
            <w:r>
              <w:rPr>
                <w:rStyle w:val="6"/>
                <w:rFonts w:hint="default" w:ascii="Times New Roman" w:hAnsi="Times New Roman" w:eastAsia="等线" w:cs="Times New Roman"/>
                <w:color w:val="000000" w:themeColor="text1"/>
                <w:sz w:val="22"/>
                <w:szCs w:val="22"/>
                <w14:textFill>
                  <w14:solidFill>
                    <w14:schemeClr w14:val="tx1"/>
                  </w14:solidFill>
                </w14:textFill>
              </w:rPr>
              <w:t>0.0918</w:t>
            </w:r>
          </w:p>
        </w:tc>
        <w:tc>
          <w:tcPr>
            <w:tcW w:w="1883" w:type="dxa"/>
            <w:shd w:val="clear" w:color="auto" w:fill="FFFFFF" w:themeFill="background1"/>
          </w:tcPr>
          <w:p w14:paraId="39058F27">
            <w:pPr>
              <w:pStyle w:val="2"/>
              <w:widowControl/>
              <w:jc w:val="center"/>
              <w:rPr>
                <w:rFonts w:hint="default" w:ascii="Times New Roman" w:hAnsi="Times New Roman" w:cs="Times New Roman"/>
                <w:color w:val="000000" w:themeColor="text1"/>
                <w:kern w:val="2"/>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0.0358</w:t>
            </w:r>
            <w:r>
              <w:rPr>
                <w:sz w:val="18"/>
              </w:rPr>
              <w:t>–</w:t>
            </w:r>
            <w:r>
              <w:rPr>
                <w:rFonts w:hint="default" w:ascii="Times New Roman" w:hAnsi="Times New Roman" w:cs="Times New Roman"/>
                <w:color w:val="000000" w:themeColor="text1"/>
                <w:sz w:val="22"/>
                <w:szCs w:val="22"/>
                <w14:textFill>
                  <w14:solidFill>
                    <w14:schemeClr w14:val="tx1"/>
                  </w14:solidFill>
                </w14:textFill>
              </w:rPr>
              <w:t>0.1480</w:t>
            </w:r>
          </w:p>
        </w:tc>
        <w:tc>
          <w:tcPr>
            <w:tcW w:w="1746" w:type="dxa"/>
            <w:shd w:val="clear" w:color="auto" w:fill="FFFFFF" w:themeFill="background1"/>
          </w:tcPr>
          <w:p w14:paraId="30DD4AE1">
            <w:pPr>
              <w:jc w:val="center"/>
              <w:rPr>
                <w:rFonts w:hint="default" w:ascii="Times New Roman" w:hAnsi="Times New Roman" w:eastAsia="等线" w:cs="Times New Roman"/>
                <w:color w:val="000000" w:themeColor="text1"/>
                <w:sz w:val="22"/>
                <w:szCs w:val="22"/>
                <w:lang w:bidi="ar"/>
                <w14:textFill>
                  <w14:solidFill>
                    <w14:schemeClr w14:val="tx1"/>
                  </w14:solidFill>
                </w14:textFill>
              </w:rPr>
            </w:pPr>
            <w:r>
              <w:rPr>
                <w:rFonts w:hint="default" w:ascii="Times New Roman" w:hAnsi="Times New Roman" w:eastAsia="宋体" w:cs="Times New Roman"/>
                <w:color w:val="000000" w:themeColor="text1"/>
                <w:sz w:val="22"/>
                <w:szCs w:val="22"/>
                <w14:textFill>
                  <w14:solidFill>
                    <w14:schemeClr w14:val="tx1"/>
                  </w14:solidFill>
                </w14:textFill>
              </w:rPr>
              <w:t>0.0013</w:t>
            </w:r>
          </w:p>
        </w:tc>
      </w:tr>
      <w:tr w14:paraId="66E97D6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c>
          <w:tcPr>
            <w:tcW w:w="2157" w:type="dxa"/>
            <w:shd w:val="clear" w:color="auto" w:fill="FFFFFF" w:themeFill="background1"/>
          </w:tcPr>
          <w:p w14:paraId="0D80B6BF">
            <w:pPr>
              <w:rPr>
                <w:rFonts w:hint="default" w:ascii="Times New Roman" w:hAnsi="Times New Roman" w:eastAsia="等线" w:cs="Times New Roman"/>
                <w:sz w:val="22"/>
                <w:szCs w:val="22"/>
                <w:lang w:bidi="ar"/>
              </w:rPr>
            </w:pPr>
            <w:r>
              <w:rPr>
                <w:rFonts w:hint="default" w:ascii="Times New Roman" w:hAnsi="Times New Roman" w:eastAsia="等线" w:cs="Times New Roman"/>
                <w:sz w:val="22"/>
                <w:szCs w:val="22"/>
                <w:lang w:bidi="ar"/>
              </w:rPr>
              <w:t>GNRI vs NPS</w:t>
            </w:r>
          </w:p>
        </w:tc>
        <w:tc>
          <w:tcPr>
            <w:tcW w:w="2736" w:type="dxa"/>
            <w:shd w:val="clear" w:color="auto" w:fill="FFFFFF" w:themeFill="background1"/>
          </w:tcPr>
          <w:p w14:paraId="510F1616">
            <w:pPr>
              <w:pStyle w:val="2"/>
              <w:widowControl/>
              <w:jc w:val="center"/>
              <w:rPr>
                <w:rFonts w:hint="default" w:ascii="Times New Roman" w:hAnsi="Times New Roman" w:cs="Times New Roman"/>
                <w:color w:val="000000" w:themeColor="text1"/>
                <w:kern w:val="2"/>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0.1020</w:t>
            </w:r>
          </w:p>
        </w:tc>
        <w:tc>
          <w:tcPr>
            <w:tcW w:w="1883" w:type="dxa"/>
            <w:shd w:val="clear" w:color="auto" w:fill="FFFFFF" w:themeFill="background1"/>
          </w:tcPr>
          <w:p w14:paraId="54E44728">
            <w:pPr>
              <w:pStyle w:val="2"/>
              <w:widowControl/>
              <w:jc w:val="center"/>
              <w:rPr>
                <w:rFonts w:hint="default" w:ascii="Times New Roman" w:hAnsi="Times New Roman" w:cs="Times New Roman"/>
                <w:color w:val="000000" w:themeColor="text1"/>
                <w:kern w:val="2"/>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0.0480</w:t>
            </w:r>
            <w:r>
              <w:rPr>
                <w:sz w:val="18"/>
              </w:rPr>
              <w:t>–</w:t>
            </w:r>
            <w:r>
              <w:rPr>
                <w:rFonts w:hint="default" w:ascii="Times New Roman" w:hAnsi="Times New Roman" w:cs="Times New Roman"/>
                <w:color w:val="000000" w:themeColor="text1"/>
                <w:sz w:val="22"/>
                <w:szCs w:val="22"/>
                <w14:textFill>
                  <w14:solidFill>
                    <w14:schemeClr w14:val="tx1"/>
                  </w14:solidFill>
                </w14:textFill>
              </w:rPr>
              <w:t>0.1560</w:t>
            </w:r>
          </w:p>
        </w:tc>
        <w:tc>
          <w:tcPr>
            <w:tcW w:w="1746" w:type="dxa"/>
            <w:shd w:val="clear" w:color="auto" w:fill="FFFFFF" w:themeFill="background1"/>
          </w:tcPr>
          <w:p w14:paraId="5BCC8BDB">
            <w:pPr>
              <w:jc w:val="center"/>
              <w:rPr>
                <w:rFonts w:hint="default" w:ascii="Times New Roman" w:hAnsi="Times New Roman" w:eastAsia="等线" w:cs="Times New Roman"/>
                <w:color w:val="000000" w:themeColor="text1"/>
                <w:sz w:val="22"/>
                <w:szCs w:val="22"/>
                <w:lang w:bidi="ar"/>
                <w14:textFill>
                  <w14:solidFill>
                    <w14:schemeClr w14:val="tx1"/>
                  </w14:solidFill>
                </w14:textFill>
              </w:rPr>
            </w:pPr>
            <w:r>
              <w:rPr>
                <w:rFonts w:hint="default" w:ascii="Times New Roman" w:hAnsi="Times New Roman" w:eastAsia="宋体" w:cs="Times New Roman"/>
                <w:color w:val="000000" w:themeColor="text1"/>
                <w:sz w:val="22"/>
                <w:szCs w:val="22"/>
                <w14:textFill>
                  <w14:solidFill>
                    <w14:schemeClr w14:val="tx1"/>
                  </w14:solidFill>
                </w14:textFill>
              </w:rPr>
              <w:t>0.0002</w:t>
            </w:r>
          </w:p>
        </w:tc>
      </w:tr>
      <w:tr w14:paraId="59D9165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57" w:type="dxa"/>
            <w:shd w:val="clear" w:color="auto" w:fill="FFFFFF" w:themeFill="background1"/>
          </w:tcPr>
          <w:p w14:paraId="72EB0B85">
            <w:pPr>
              <w:rPr>
                <w:rFonts w:hint="default" w:ascii="Times New Roman" w:hAnsi="Times New Roman" w:eastAsia="等线" w:cs="Times New Roman"/>
                <w:sz w:val="22"/>
                <w:szCs w:val="22"/>
                <w:lang w:bidi="ar"/>
              </w:rPr>
            </w:pPr>
            <w:r>
              <w:rPr>
                <w:rFonts w:hint="default" w:ascii="Times New Roman" w:hAnsi="Times New Roman" w:eastAsia="等线" w:cs="Times New Roman"/>
                <w:sz w:val="22"/>
                <w:szCs w:val="22"/>
                <w:lang w:bidi="ar"/>
              </w:rPr>
              <w:t>PNI vs TCBI</w:t>
            </w:r>
          </w:p>
        </w:tc>
        <w:tc>
          <w:tcPr>
            <w:tcW w:w="2736" w:type="dxa"/>
            <w:shd w:val="clear" w:color="auto" w:fill="FFFFFF" w:themeFill="background1"/>
          </w:tcPr>
          <w:p w14:paraId="536FE661">
            <w:pPr>
              <w:pStyle w:val="2"/>
              <w:widowControl/>
              <w:jc w:val="center"/>
              <w:rPr>
                <w:rFonts w:hint="default" w:ascii="Times New Roman" w:hAnsi="Times New Roman" w:eastAsia="等线" w:cs="Times New Roman"/>
                <w:color w:val="000000" w:themeColor="text1"/>
                <w:kern w:val="2"/>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0.0162</w:t>
            </w:r>
          </w:p>
        </w:tc>
        <w:tc>
          <w:tcPr>
            <w:tcW w:w="1883" w:type="dxa"/>
            <w:shd w:val="clear" w:color="auto" w:fill="FFFFFF" w:themeFill="background1"/>
          </w:tcPr>
          <w:p w14:paraId="44EF7AE6">
            <w:pPr>
              <w:pStyle w:val="2"/>
              <w:widowControl/>
              <w:jc w:val="center"/>
              <w:rPr>
                <w:rFonts w:hint="default" w:ascii="Times New Roman" w:hAnsi="Times New Roman" w:eastAsia="等线" w:cs="Times New Roman"/>
                <w:color w:val="000000" w:themeColor="text1"/>
                <w:kern w:val="2"/>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-0.0546</w:t>
            </w:r>
            <w:r>
              <w:rPr>
                <w:sz w:val="18"/>
              </w:rPr>
              <w:t>–</w:t>
            </w:r>
            <w:r>
              <w:rPr>
                <w:rFonts w:hint="default" w:ascii="Times New Roman" w:hAnsi="Times New Roman" w:cs="Times New Roman"/>
                <w:color w:val="000000" w:themeColor="text1"/>
                <w:sz w:val="22"/>
                <w:szCs w:val="22"/>
                <w14:textFill>
                  <w14:solidFill>
                    <w14:schemeClr w14:val="tx1"/>
                  </w14:solidFill>
                </w14:textFill>
              </w:rPr>
              <w:t>0.0870</w:t>
            </w:r>
          </w:p>
        </w:tc>
        <w:tc>
          <w:tcPr>
            <w:tcW w:w="1746" w:type="dxa"/>
            <w:shd w:val="clear" w:color="auto" w:fill="FFFFFF" w:themeFill="background1"/>
          </w:tcPr>
          <w:p w14:paraId="5B0680AA">
            <w:pPr>
              <w:jc w:val="center"/>
              <w:rPr>
                <w:rFonts w:hint="default" w:ascii="Times New Roman" w:hAnsi="Times New Roman" w:eastAsia="等线" w:cs="Times New Roman"/>
                <w:color w:val="000000" w:themeColor="text1"/>
                <w:sz w:val="22"/>
                <w:szCs w:val="22"/>
                <w:lang w:bidi="ar"/>
                <w14:textFill>
                  <w14:solidFill>
                    <w14:schemeClr w14:val="tx1"/>
                  </w14:solidFill>
                </w14:textFill>
              </w:rPr>
            </w:pPr>
            <w:r>
              <w:rPr>
                <w:rFonts w:hint="default" w:ascii="Times New Roman" w:hAnsi="Times New Roman" w:eastAsia="宋体" w:cs="Times New Roman"/>
                <w:color w:val="000000" w:themeColor="text1"/>
                <w:sz w:val="22"/>
                <w:szCs w:val="22"/>
                <w14:textFill>
                  <w14:solidFill>
                    <w14:schemeClr w14:val="tx1"/>
                  </w14:solidFill>
                </w14:textFill>
              </w:rPr>
              <w:t>0.6540</w:t>
            </w:r>
          </w:p>
        </w:tc>
      </w:tr>
      <w:tr w14:paraId="38068E8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c>
          <w:tcPr>
            <w:tcW w:w="2157" w:type="dxa"/>
            <w:shd w:val="clear" w:color="auto" w:fill="FFFFFF" w:themeFill="background1"/>
          </w:tcPr>
          <w:p w14:paraId="0233ABEF">
            <w:pPr>
              <w:rPr>
                <w:rFonts w:hint="default" w:ascii="Times New Roman" w:hAnsi="Times New Roman" w:eastAsia="等线" w:cs="Times New Roman"/>
                <w:sz w:val="22"/>
                <w:szCs w:val="22"/>
                <w:lang w:bidi="ar"/>
              </w:rPr>
            </w:pPr>
            <w:r>
              <w:rPr>
                <w:rFonts w:hint="default" w:ascii="Times New Roman" w:hAnsi="Times New Roman" w:eastAsia="等线" w:cs="Times New Roman"/>
                <w:sz w:val="22"/>
                <w:szCs w:val="22"/>
                <w:lang w:bidi="ar"/>
              </w:rPr>
              <w:t>PNI vs CONUT</w:t>
            </w:r>
          </w:p>
        </w:tc>
        <w:tc>
          <w:tcPr>
            <w:tcW w:w="2736" w:type="dxa"/>
            <w:shd w:val="clear" w:color="auto" w:fill="FFFFFF" w:themeFill="background1"/>
          </w:tcPr>
          <w:p w14:paraId="0D143E54">
            <w:pPr>
              <w:pStyle w:val="2"/>
              <w:widowControl/>
              <w:jc w:val="center"/>
              <w:rPr>
                <w:rFonts w:hint="default" w:ascii="Times New Roman" w:hAnsi="Times New Roman" w:eastAsia="等线" w:cs="Times New Roman"/>
                <w:color w:val="000000" w:themeColor="text1"/>
                <w:kern w:val="2"/>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0.0216</w:t>
            </w:r>
          </w:p>
        </w:tc>
        <w:tc>
          <w:tcPr>
            <w:tcW w:w="1883" w:type="dxa"/>
            <w:shd w:val="clear" w:color="auto" w:fill="FFFFFF" w:themeFill="background1"/>
          </w:tcPr>
          <w:p w14:paraId="5A5707AF">
            <w:pPr>
              <w:pStyle w:val="2"/>
              <w:widowControl/>
              <w:jc w:val="center"/>
              <w:rPr>
                <w:rFonts w:hint="default" w:ascii="Times New Roman" w:hAnsi="Times New Roman" w:eastAsia="等线" w:cs="Times New Roman"/>
                <w:color w:val="000000" w:themeColor="text1"/>
                <w:kern w:val="2"/>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-0.0273</w:t>
            </w:r>
            <w:r>
              <w:rPr>
                <w:sz w:val="18"/>
              </w:rPr>
              <w:t>–</w:t>
            </w:r>
            <w:r>
              <w:rPr>
                <w:rFonts w:hint="default" w:ascii="Times New Roman" w:hAnsi="Times New Roman" w:cs="Times New Roman"/>
                <w:color w:val="000000" w:themeColor="text1"/>
                <w:sz w:val="22"/>
                <w:szCs w:val="22"/>
                <w14:textFill>
                  <w14:solidFill>
                    <w14:schemeClr w14:val="tx1"/>
                  </w14:solidFill>
                </w14:textFill>
              </w:rPr>
              <w:t>0.0704</w:t>
            </w:r>
          </w:p>
        </w:tc>
        <w:tc>
          <w:tcPr>
            <w:tcW w:w="1746" w:type="dxa"/>
            <w:shd w:val="clear" w:color="auto" w:fill="FFFFFF" w:themeFill="background1"/>
          </w:tcPr>
          <w:p w14:paraId="00BE93D1">
            <w:pPr>
              <w:jc w:val="center"/>
              <w:rPr>
                <w:rFonts w:hint="default" w:ascii="Times New Roman" w:hAnsi="Times New Roman" w:eastAsia="等线" w:cs="Times New Roman"/>
                <w:color w:val="000000" w:themeColor="text1"/>
                <w:sz w:val="22"/>
                <w:szCs w:val="22"/>
                <w:lang w:bidi="ar"/>
                <w14:textFill>
                  <w14:solidFill>
                    <w14:schemeClr w14:val="tx1"/>
                  </w14:solidFill>
                </w14:textFill>
              </w:rPr>
            </w:pPr>
            <w:r>
              <w:rPr>
                <w:rFonts w:hint="default" w:ascii="Times New Roman" w:hAnsi="Times New Roman" w:eastAsia="宋体" w:cs="Times New Roman"/>
                <w:color w:val="000000" w:themeColor="text1"/>
                <w:sz w:val="22"/>
                <w:szCs w:val="22"/>
                <w14:textFill>
                  <w14:solidFill>
                    <w14:schemeClr w14:val="tx1"/>
                  </w14:solidFill>
                </w14:textFill>
              </w:rPr>
              <w:t>0.3866</w:t>
            </w:r>
          </w:p>
        </w:tc>
      </w:tr>
      <w:tr w14:paraId="26BD961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57" w:type="dxa"/>
            <w:shd w:val="clear" w:color="auto" w:fill="FFFFFF" w:themeFill="background1"/>
          </w:tcPr>
          <w:p w14:paraId="67B033C7">
            <w:pPr>
              <w:rPr>
                <w:rFonts w:hint="default" w:ascii="Times New Roman" w:hAnsi="Times New Roman" w:eastAsia="等线" w:cs="Times New Roman"/>
                <w:sz w:val="22"/>
                <w:szCs w:val="22"/>
                <w:lang w:bidi="ar"/>
              </w:rPr>
            </w:pPr>
            <w:r>
              <w:rPr>
                <w:rFonts w:hint="default" w:ascii="Times New Roman" w:hAnsi="Times New Roman" w:eastAsia="等线" w:cs="Times New Roman"/>
                <w:sz w:val="22"/>
                <w:szCs w:val="22"/>
                <w:lang w:bidi="ar"/>
              </w:rPr>
              <w:t>PNI vs NPS</w:t>
            </w:r>
          </w:p>
        </w:tc>
        <w:tc>
          <w:tcPr>
            <w:tcW w:w="2736" w:type="dxa"/>
            <w:shd w:val="clear" w:color="auto" w:fill="FFFFFF" w:themeFill="background1"/>
          </w:tcPr>
          <w:p w14:paraId="4CF60DDA">
            <w:pPr>
              <w:pStyle w:val="2"/>
              <w:widowControl/>
              <w:jc w:val="center"/>
              <w:rPr>
                <w:rFonts w:hint="default" w:ascii="Times New Roman" w:hAnsi="Times New Roman" w:eastAsia="等线" w:cs="Times New Roman"/>
                <w:color w:val="000000" w:themeColor="text1"/>
                <w:kern w:val="2"/>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0.0319</w:t>
            </w:r>
          </w:p>
        </w:tc>
        <w:tc>
          <w:tcPr>
            <w:tcW w:w="1883" w:type="dxa"/>
            <w:shd w:val="clear" w:color="auto" w:fill="FFFFFF" w:themeFill="background1"/>
          </w:tcPr>
          <w:p w14:paraId="1000A572">
            <w:pPr>
              <w:pStyle w:val="2"/>
              <w:widowControl/>
              <w:jc w:val="center"/>
              <w:rPr>
                <w:rFonts w:hint="default" w:ascii="Times New Roman" w:hAnsi="Times New Roman" w:eastAsia="等线" w:cs="Times New Roman"/>
                <w:color w:val="000000" w:themeColor="text1"/>
                <w:kern w:val="2"/>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-0.0193</w:t>
            </w:r>
            <w:r>
              <w:rPr>
                <w:sz w:val="18"/>
              </w:rPr>
              <w:t>–</w:t>
            </w:r>
            <w:r>
              <w:rPr>
                <w:rFonts w:hint="default" w:ascii="Times New Roman" w:hAnsi="Times New Roman" w:cs="Times New Roman"/>
                <w:color w:val="000000" w:themeColor="text1"/>
                <w:sz w:val="22"/>
                <w:szCs w:val="22"/>
                <w14:textFill>
                  <w14:solidFill>
                    <w14:schemeClr w14:val="tx1"/>
                  </w14:solidFill>
                </w14:textFill>
              </w:rPr>
              <w:t>0.0831</w:t>
            </w:r>
          </w:p>
        </w:tc>
        <w:tc>
          <w:tcPr>
            <w:tcW w:w="1746" w:type="dxa"/>
            <w:shd w:val="clear" w:color="auto" w:fill="FFFFFF" w:themeFill="background1"/>
          </w:tcPr>
          <w:p w14:paraId="0312F42D">
            <w:pPr>
              <w:jc w:val="center"/>
              <w:rPr>
                <w:rFonts w:hint="default" w:ascii="Times New Roman" w:hAnsi="Times New Roman" w:eastAsia="等线" w:cs="Times New Roman"/>
                <w:color w:val="000000" w:themeColor="text1"/>
                <w:sz w:val="22"/>
                <w:szCs w:val="22"/>
                <w:lang w:bidi="ar"/>
                <w14:textFill>
                  <w14:solidFill>
                    <w14:schemeClr w14:val="tx1"/>
                  </w14:solidFill>
                </w14:textFill>
              </w:rPr>
            </w:pPr>
            <w:r>
              <w:rPr>
                <w:rFonts w:hint="default" w:ascii="Times New Roman" w:hAnsi="Times New Roman" w:eastAsia="宋体" w:cs="Times New Roman"/>
                <w:color w:val="000000" w:themeColor="text1"/>
                <w:sz w:val="22"/>
                <w:szCs w:val="22"/>
                <w14:textFill>
                  <w14:solidFill>
                    <w14:schemeClr w14:val="tx1"/>
                  </w14:solidFill>
                </w14:textFill>
              </w:rPr>
              <w:t>0.2221</w:t>
            </w:r>
          </w:p>
        </w:tc>
      </w:tr>
      <w:tr w14:paraId="7D8630C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57" w:type="dxa"/>
            <w:shd w:val="clear" w:color="auto" w:fill="FFFFFF" w:themeFill="background1"/>
          </w:tcPr>
          <w:p w14:paraId="1B0D6376">
            <w:pPr>
              <w:rPr>
                <w:rFonts w:hint="default" w:ascii="Times New Roman" w:hAnsi="Times New Roman" w:eastAsia="等线" w:cs="Times New Roman"/>
                <w:sz w:val="22"/>
                <w:szCs w:val="22"/>
                <w:lang w:bidi="ar"/>
              </w:rPr>
            </w:pPr>
            <w:r>
              <w:rPr>
                <w:rFonts w:hint="default" w:ascii="Times New Roman" w:hAnsi="Times New Roman" w:eastAsia="等线" w:cs="Times New Roman"/>
                <w:sz w:val="22"/>
                <w:szCs w:val="22"/>
                <w:lang w:bidi="ar"/>
              </w:rPr>
              <w:t>TCBI vs CONUT</w:t>
            </w:r>
          </w:p>
        </w:tc>
        <w:tc>
          <w:tcPr>
            <w:tcW w:w="2736" w:type="dxa"/>
            <w:shd w:val="clear" w:color="auto" w:fill="FFFFFF" w:themeFill="background1"/>
          </w:tcPr>
          <w:p w14:paraId="6DC090E1">
            <w:pPr>
              <w:pStyle w:val="2"/>
              <w:widowControl/>
              <w:jc w:val="center"/>
              <w:rPr>
                <w:rFonts w:hint="default" w:ascii="Times New Roman" w:hAnsi="Times New Roman" w:cs="Times New Roman"/>
                <w:color w:val="000000" w:themeColor="text1"/>
                <w:kern w:val="2"/>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0.0054</w:t>
            </w:r>
          </w:p>
        </w:tc>
        <w:tc>
          <w:tcPr>
            <w:tcW w:w="1883" w:type="dxa"/>
            <w:shd w:val="clear" w:color="auto" w:fill="FFFFFF" w:themeFill="background1"/>
          </w:tcPr>
          <w:p w14:paraId="7DA230C6">
            <w:pPr>
              <w:pStyle w:val="2"/>
              <w:widowControl/>
              <w:jc w:val="center"/>
              <w:rPr>
                <w:rFonts w:hint="default" w:ascii="Times New Roman" w:hAnsi="Times New Roman" w:eastAsia="等线" w:cs="Times New Roman"/>
                <w:color w:val="000000" w:themeColor="text1"/>
                <w:kern w:val="2"/>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-0.0633</w:t>
            </w:r>
            <w:r>
              <w:rPr>
                <w:sz w:val="18"/>
              </w:rPr>
              <w:t>–</w:t>
            </w:r>
            <w:r>
              <w:rPr>
                <w:rFonts w:hint="default" w:ascii="Times New Roman" w:hAnsi="Times New Roman" w:cs="Times New Roman"/>
                <w:color w:val="000000" w:themeColor="text1"/>
                <w:sz w:val="22"/>
                <w:szCs w:val="22"/>
                <w14:textFill>
                  <w14:solidFill>
                    <w14:schemeClr w14:val="tx1"/>
                  </w14:solidFill>
                </w14:textFill>
              </w:rPr>
              <w:t>0.0741</w:t>
            </w:r>
          </w:p>
        </w:tc>
        <w:tc>
          <w:tcPr>
            <w:tcW w:w="1746" w:type="dxa"/>
            <w:shd w:val="clear" w:color="auto" w:fill="FFFFFF" w:themeFill="background1"/>
          </w:tcPr>
          <w:p w14:paraId="6556C5D0">
            <w:pPr>
              <w:jc w:val="center"/>
              <w:rPr>
                <w:rFonts w:hint="default" w:ascii="Times New Roman" w:hAnsi="Times New Roman" w:eastAsia="等线" w:cs="Times New Roman"/>
                <w:color w:val="000000" w:themeColor="text1"/>
                <w:sz w:val="22"/>
                <w:szCs w:val="22"/>
                <w:lang w:bidi="ar"/>
                <w14:textFill>
                  <w14:solidFill>
                    <w14:schemeClr w14:val="tx1"/>
                  </w14:solidFill>
                </w14:textFill>
              </w:rPr>
            </w:pPr>
            <w:r>
              <w:rPr>
                <w:rFonts w:hint="default" w:ascii="Times New Roman" w:hAnsi="Times New Roman" w:eastAsia="宋体" w:cs="Times New Roman"/>
                <w:color w:val="000000" w:themeColor="text1"/>
                <w:sz w:val="22"/>
                <w:szCs w:val="22"/>
                <w14:textFill>
                  <w14:solidFill>
                    <w14:schemeClr w14:val="tx1"/>
                  </w14:solidFill>
                </w14:textFill>
              </w:rPr>
              <w:t>0.8781</w:t>
            </w:r>
          </w:p>
        </w:tc>
      </w:tr>
      <w:tr w14:paraId="28056F8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c>
          <w:tcPr>
            <w:tcW w:w="2157" w:type="dxa"/>
            <w:shd w:val="clear" w:color="auto" w:fill="FFFFFF" w:themeFill="background1"/>
          </w:tcPr>
          <w:p w14:paraId="547B88AC">
            <w:pPr>
              <w:rPr>
                <w:rFonts w:hint="default" w:ascii="Times New Roman" w:hAnsi="Times New Roman" w:eastAsia="等线" w:cs="Times New Roman"/>
                <w:sz w:val="22"/>
                <w:szCs w:val="22"/>
                <w:lang w:bidi="ar"/>
              </w:rPr>
            </w:pPr>
            <w:r>
              <w:rPr>
                <w:rFonts w:hint="default" w:ascii="Times New Roman" w:hAnsi="Times New Roman" w:eastAsia="等线" w:cs="Times New Roman"/>
                <w:sz w:val="22"/>
                <w:szCs w:val="22"/>
                <w:lang w:bidi="ar"/>
              </w:rPr>
              <w:t>TCBI vs NPS</w:t>
            </w:r>
          </w:p>
        </w:tc>
        <w:tc>
          <w:tcPr>
            <w:tcW w:w="2736" w:type="dxa"/>
            <w:shd w:val="clear" w:color="auto" w:fill="FFFFFF" w:themeFill="background1"/>
          </w:tcPr>
          <w:p w14:paraId="67FEA74F">
            <w:pPr>
              <w:pStyle w:val="2"/>
              <w:widowControl/>
              <w:jc w:val="center"/>
              <w:rPr>
                <w:rFonts w:hint="default" w:ascii="Times New Roman" w:hAnsi="Times New Roman" w:eastAsia="等线" w:cs="Times New Roman"/>
                <w:color w:val="000000" w:themeColor="text1"/>
                <w:kern w:val="2"/>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0.0157</w:t>
            </w:r>
          </w:p>
        </w:tc>
        <w:tc>
          <w:tcPr>
            <w:tcW w:w="1883" w:type="dxa"/>
            <w:shd w:val="clear" w:color="auto" w:fill="FFFFFF" w:themeFill="background1"/>
          </w:tcPr>
          <w:p w14:paraId="4BAC2EE7">
            <w:pPr>
              <w:pStyle w:val="2"/>
              <w:widowControl/>
              <w:jc w:val="center"/>
              <w:rPr>
                <w:rFonts w:hint="default" w:ascii="Times New Roman" w:hAnsi="Times New Roman" w:eastAsia="等线" w:cs="Times New Roman"/>
                <w:color w:val="000000" w:themeColor="text1"/>
                <w:kern w:val="2"/>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-0.0548</w:t>
            </w:r>
            <w:r>
              <w:rPr>
                <w:sz w:val="18"/>
              </w:rPr>
              <w:t>–</w:t>
            </w:r>
            <w:r>
              <w:rPr>
                <w:rFonts w:hint="default" w:ascii="Times New Roman" w:hAnsi="Times New Roman" w:cs="Times New Roman"/>
                <w:color w:val="000000" w:themeColor="text1"/>
                <w:sz w:val="22"/>
                <w:szCs w:val="22"/>
                <w14:textFill>
                  <w14:solidFill>
                    <w14:schemeClr w14:val="tx1"/>
                  </w14:solidFill>
                </w14:textFill>
              </w:rPr>
              <w:t>0.0862</w:t>
            </w:r>
          </w:p>
        </w:tc>
        <w:tc>
          <w:tcPr>
            <w:tcW w:w="1746" w:type="dxa"/>
            <w:shd w:val="clear" w:color="auto" w:fill="FFFFFF" w:themeFill="background1"/>
          </w:tcPr>
          <w:p w14:paraId="47287F64">
            <w:pPr>
              <w:jc w:val="center"/>
              <w:rPr>
                <w:rFonts w:hint="default" w:ascii="Times New Roman" w:hAnsi="Times New Roman" w:eastAsia="等线" w:cs="Times New Roman"/>
                <w:color w:val="000000" w:themeColor="text1"/>
                <w:sz w:val="22"/>
                <w:szCs w:val="22"/>
                <w:lang w:bidi="ar"/>
                <w14:textFill>
                  <w14:solidFill>
                    <w14:schemeClr w14:val="tx1"/>
                  </w14:solidFill>
                </w14:textFill>
              </w:rPr>
            </w:pPr>
            <w:r>
              <w:rPr>
                <w:rFonts w:hint="default" w:ascii="Times New Roman" w:hAnsi="Times New Roman" w:eastAsia="宋体" w:cs="Times New Roman"/>
                <w:color w:val="000000" w:themeColor="text1"/>
                <w:sz w:val="22"/>
                <w:szCs w:val="22"/>
                <w14:textFill>
                  <w14:solidFill>
                    <w14:schemeClr w14:val="tx1"/>
                  </w14:solidFill>
                </w14:textFill>
              </w:rPr>
              <w:t>0.6624</w:t>
            </w:r>
          </w:p>
        </w:tc>
      </w:tr>
      <w:tr w14:paraId="0DB812F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362" w:hRule="atLeast"/>
        </w:trPr>
        <w:tc>
          <w:tcPr>
            <w:tcW w:w="2157" w:type="dxa"/>
            <w:shd w:val="clear" w:color="auto" w:fill="FFFFFF" w:themeFill="background1"/>
          </w:tcPr>
          <w:p w14:paraId="6CFE37E2">
            <w:pPr>
              <w:rPr>
                <w:rFonts w:hint="default" w:ascii="Times New Roman" w:hAnsi="Times New Roman" w:eastAsia="等线" w:cs="Times New Roman"/>
                <w:sz w:val="22"/>
                <w:szCs w:val="22"/>
                <w:lang w:bidi="ar"/>
              </w:rPr>
            </w:pPr>
            <w:r>
              <w:rPr>
                <w:rFonts w:hint="default" w:ascii="Times New Roman" w:hAnsi="Times New Roman" w:eastAsia="等线" w:cs="Times New Roman"/>
                <w:sz w:val="22"/>
                <w:szCs w:val="22"/>
                <w:lang w:bidi="ar"/>
              </w:rPr>
              <w:t>CONUT vs NPS</w:t>
            </w:r>
          </w:p>
        </w:tc>
        <w:tc>
          <w:tcPr>
            <w:tcW w:w="2736" w:type="dxa"/>
            <w:shd w:val="clear" w:color="auto" w:fill="FFFFFF" w:themeFill="background1"/>
          </w:tcPr>
          <w:p w14:paraId="7643B43A">
            <w:pPr>
              <w:pStyle w:val="2"/>
              <w:widowControl/>
              <w:jc w:val="center"/>
              <w:rPr>
                <w:rFonts w:hint="default" w:ascii="Times New Roman" w:hAnsi="Times New Roman" w:cs="Times New Roman"/>
                <w:sz w:val="22"/>
                <w:szCs w:val="22"/>
              </w:rPr>
            </w:pPr>
            <w:r>
              <w:rPr>
                <w:rFonts w:hint="default" w:ascii="Times New Roman" w:hAnsi="Times New Roman" w:cs="Times New Roman"/>
                <w:color w:val="000000" w:themeColor="text1"/>
                <w:sz w:val="22"/>
                <w:szCs w:val="22"/>
                <w14:textFill>
                  <w14:solidFill>
                    <w14:schemeClr w14:val="tx1"/>
                  </w14:solidFill>
                </w14:textFill>
              </w:rPr>
              <w:t>0.0103</w:t>
            </w:r>
          </w:p>
        </w:tc>
        <w:tc>
          <w:tcPr>
            <w:tcW w:w="1883" w:type="dxa"/>
            <w:shd w:val="clear" w:color="auto" w:fill="FFFFFF" w:themeFill="background1"/>
          </w:tcPr>
          <w:p w14:paraId="4811AA60">
            <w:pPr>
              <w:pStyle w:val="2"/>
              <w:widowControl/>
              <w:jc w:val="center"/>
              <w:rPr>
                <w:rFonts w:hint="default" w:ascii="Times New Roman" w:hAnsi="Times New Roman" w:cs="Times New Roman"/>
                <w:color w:val="000000" w:themeColor="text1"/>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-0.0397</w:t>
            </w:r>
            <w:r>
              <w:rPr>
                <w:sz w:val="18"/>
              </w:rPr>
              <w:t>–</w:t>
            </w:r>
            <w:r>
              <w:rPr>
                <w:rFonts w:hint="default" w:ascii="Times New Roman" w:hAnsi="Times New Roman" w:cs="Times New Roman"/>
                <w:color w:val="000000" w:themeColor="text1"/>
                <w:sz w:val="22"/>
                <w:szCs w:val="22"/>
                <w14:textFill>
                  <w14:solidFill>
                    <w14:schemeClr w14:val="tx1"/>
                  </w14:solidFill>
                </w14:textFill>
              </w:rPr>
              <w:t>0.0604</w:t>
            </w:r>
          </w:p>
        </w:tc>
        <w:tc>
          <w:tcPr>
            <w:tcW w:w="1746" w:type="dxa"/>
            <w:shd w:val="clear" w:color="auto" w:fill="FFFFFF" w:themeFill="background1"/>
          </w:tcPr>
          <w:p w14:paraId="4E4DBF09">
            <w:pPr>
              <w:pStyle w:val="2"/>
              <w:widowControl/>
              <w:jc w:val="center"/>
              <w:rPr>
                <w:rFonts w:hint="default" w:ascii="Times New Roman" w:hAnsi="Times New Roman" w:eastAsia="等线" w:cs="Times New Roman"/>
                <w:color w:val="000000" w:themeColor="text1"/>
                <w:kern w:val="2"/>
                <w:sz w:val="22"/>
                <w:szCs w:val="22"/>
                <w14:textFill>
                  <w14:solidFill>
                    <w14:schemeClr w14:val="tx1"/>
                  </w14:solidFill>
                </w14:textFill>
              </w:rPr>
            </w:pPr>
            <w:r>
              <w:rPr>
                <w:rFonts w:hint="default" w:ascii="Times New Roman" w:hAnsi="Times New Roman" w:cs="Times New Roman"/>
                <w:color w:val="000000" w:themeColor="text1"/>
                <w:sz w:val="22"/>
                <w:szCs w:val="22"/>
                <w14:textFill>
                  <w14:solidFill>
                    <w14:schemeClr w14:val="tx1"/>
                  </w14:solidFill>
                </w14:textFill>
              </w:rPr>
              <w:t>0.6857</w:t>
            </w:r>
          </w:p>
        </w:tc>
      </w:tr>
    </w:tbl>
    <w:p w14:paraId="7320F9BD"/>
    <w:tbl>
      <w:tblPr>
        <w:tblStyle w:val="4"/>
        <w:tblpPr w:leftFromText="180" w:rightFromText="180" w:vertAnchor="text" w:tblpX="8866" w:tblpY="-9820"/>
        <w:tblOverlap w:val="never"/>
        <w:tblW w:w="0" w:type="auto"/>
        <w:tblInd w:w="0" w:type="dxa"/>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Layout w:type="autofit"/>
        <w:tblCellMar>
          <w:top w:w="0" w:type="dxa"/>
          <w:left w:w="108" w:type="dxa"/>
          <w:bottom w:w="0" w:type="dxa"/>
          <w:right w:w="108" w:type="dxa"/>
        </w:tblCellMar>
      </w:tblPr>
      <w:tblGrid>
        <w:gridCol w:w="324"/>
      </w:tblGrid>
      <w:tr w14:paraId="5AD2883C">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108" w:type="dxa"/>
            <w:bottom w:w="0" w:type="dxa"/>
            <w:right w:w="108" w:type="dxa"/>
          </w:tblCellMar>
        </w:tblPrEx>
        <w:trPr>
          <w:trHeight w:val="534" w:hRule="atLeast"/>
        </w:trPr>
        <w:tc>
          <w:tcPr>
            <w:tcW w:w="324" w:type="dxa"/>
            <w:tcBorders>
              <w:top w:val="nil"/>
              <w:left w:val="nil"/>
              <w:bottom w:val="nil"/>
              <w:right w:val="nil"/>
            </w:tcBorders>
          </w:tcPr>
          <w:p w14:paraId="4334B403"/>
        </w:tc>
      </w:tr>
    </w:tbl>
    <w:p w14:paraId="5DDBC761"/>
    <w:tbl>
      <w:tblPr>
        <w:tblStyle w:val="4"/>
        <w:tblpPr w:leftFromText="180" w:rightFromText="180" w:vertAnchor="text" w:tblpX="10548" w:tblpY="-7249"/>
        <w:tblOverlap w:val="never"/>
        <w:tblW w:w="0" w:type="auto"/>
        <w:tblInd w:w="0" w:type="dxa"/>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Layout w:type="autofit"/>
        <w:tblCellMar>
          <w:top w:w="0" w:type="dxa"/>
          <w:left w:w="108" w:type="dxa"/>
          <w:bottom w:w="0" w:type="dxa"/>
          <w:right w:w="108" w:type="dxa"/>
        </w:tblCellMar>
      </w:tblPr>
      <w:tblGrid>
        <w:gridCol w:w="1343"/>
      </w:tblGrid>
      <w:tr w14:paraId="3B914BC0">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PrEx>
        <w:trPr>
          <w:trHeight w:val="30" w:hRule="atLeast"/>
        </w:trPr>
        <w:tc>
          <w:tcPr>
            <w:tcW w:w="1343" w:type="dxa"/>
          </w:tcPr>
          <w:p w14:paraId="643DFCCB"/>
        </w:tc>
      </w:tr>
    </w:tbl>
    <w:p w14:paraId="03EAA58A"/>
    <w:tbl>
      <w:tblPr>
        <w:tblStyle w:val="4"/>
        <w:tblpPr w:leftFromText="180" w:rightFromText="180" w:vertAnchor="text" w:tblpX="10548" w:tblpY="-750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tblGrid>
      <w:tr w14:paraId="4ECF1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 w:hRule="atLeast"/>
        </w:trPr>
        <w:tc>
          <w:tcPr>
            <w:tcW w:w="685" w:type="dxa"/>
          </w:tcPr>
          <w:p w14:paraId="000C6EFD">
            <w:pPr>
              <w:rPr>
                <w:rFonts w:ascii="Times New Roman" w:hAnsi="Times New Roman" w:eastAsia="等线" w:cs="Times New Roman"/>
                <w:sz w:val="24"/>
                <w:lang w:bidi="ar"/>
              </w:rPr>
            </w:pPr>
          </w:p>
        </w:tc>
      </w:tr>
    </w:tbl>
    <w:p w14:paraId="1ED182BE">
      <w:pPr>
        <w:rPr>
          <w:rFonts w:ascii="Times New Roman" w:hAnsi="Times New Roman" w:cs="Times New Roman"/>
          <w:sz w:val="22"/>
          <w:szCs w:val="22"/>
        </w:rPr>
      </w:pPr>
      <w:bookmarkStart w:id="0" w:name="_GoBack"/>
      <w:bookmarkEnd w:id="0"/>
      <w:r>
        <w:rPr>
          <w:rFonts w:hint="eastAsia" w:ascii="Times New Roman" w:hAnsi="Times New Roman" w:cs="Times New Roman"/>
          <w:sz w:val="22"/>
          <w:szCs w:val="22"/>
        </w:rPr>
        <w:t>Abbreviations: AUROC, area under the receiver operating characteristic curve; CI, confidence interval; CONUT, Controlling Nutritional Status; GNRI, Geriatric Nutritional Risk Index; NPS, Naples Prognostic Score; PNI, Prognostic Nutritional Index; TCBI, Triglyceride–Total Cholesterol–Body Weight Index. The difference in AUROC was calculated as the AUROC of the first index minus that of the second index. Pairwise comparisons of AUROCs were performed using the DeLong test.</w:t>
      </w:r>
    </w:p>
    <w:p w14:paraId="2134FC3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190D1D"/>
    <w:rsid w:val="13190D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jc w:val="left"/>
    </w:pPr>
    <w:rPr>
      <w:rFonts w:ascii="Arial" w:hAnsi="Arial" w:cs="Times New Roman"/>
      <w:kern w:val="0"/>
      <w:sz w:val="20"/>
      <w:szCs w:val="20"/>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
    <w:name w:val="result"/>
    <w:basedOn w:val="5"/>
    <w:qFormat/>
    <w:uiPriority w:val="0"/>
    <w:rPr>
      <w:color w:val="00008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2026-09-08T13:01:00Z</dcterms:created>
  <dc:creator>Hans Chalie</dc:creator>
  <cp:lastModifiedBy>Hans Chalie</cp:lastModifiedBy>
  <dcterms:modified xsi:type="dcterms:W3CDTF">2026-09-08T13:07:56Z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B054C12323384528B9CBAD4D1B916321_11</vt:lpwstr>
  </property>
  <property fmtid="{D5CDD505-2E9C-101B-9397-08002B2CF9AE}" pid="4" name="KSOTemplateDocerSaveRecord">
    <vt:lpwstr>eyJoZGlkIjoiMDljYzUzMWQ4OWI0YzBkYjYzMDRhZTY5ZjZkYmFmYTgiLCJ1c2VySWQiOiI2OTE3MzU3NzAifQ==</vt:lpwstr>
  </property>
</Properties>
</file>