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9F894" w14:textId="77777777" w:rsidR="00231260" w:rsidRDefault="00000000">
      <w:pPr>
        <w:pStyle w:val="Caption"/>
        <w:keepNext/>
        <w:pageBreakBefore/>
        <w:spacing w:after="60" w:line="480" w:lineRule="auto"/>
        <w:jc w:val="both"/>
        <w:rPr>
          <w:rFonts w:asciiTheme="majorBidi" w:hAnsiTheme="majorBidi" w:cstheme="majorBidi"/>
          <w:b w:val="0"/>
          <w:bCs w:val="0"/>
          <w:i w:val="0"/>
          <w:iCs/>
          <w:color w:val="000000" w:themeColor="text1"/>
          <w:sz w:val="24"/>
          <w:szCs w:val="24"/>
        </w:rPr>
      </w:pPr>
      <w:bookmarkStart w:id="0" w:name="X7ba0f2b9a2962f47bdc0a4829eede1e8c1c53a1"/>
      <w:bookmarkStart w:id="1" w:name="X8213b05c1a3f5a883513e5d786ef546c47f8390"/>
      <w:r>
        <w:rPr>
          <w:rFonts w:asciiTheme="majorBidi" w:hAnsiTheme="majorBidi" w:cstheme="majorBidi"/>
          <w:i w:val="0"/>
          <w:iCs/>
          <w:color w:val="000000" w:themeColor="text1"/>
          <w:sz w:val="24"/>
          <w:szCs w:val="24"/>
        </w:rPr>
        <w:t>Table 1.</w:t>
      </w:r>
      <w:r>
        <w:rPr>
          <w:rFonts w:asciiTheme="majorBidi" w:hAnsiTheme="majorBidi" w:cstheme="majorBidi"/>
          <w:b w:val="0"/>
          <w:bCs w:val="0"/>
          <w:i w:val="0"/>
          <w:iCs/>
          <w:color w:val="000000" w:themeColor="text1"/>
          <w:sz w:val="24"/>
          <w:szCs w:val="24"/>
        </w:rPr>
        <w:t xml:space="preserve"> Thresholds for Propagation-Aware Rectification</w:t>
      </w:r>
    </w:p>
    <w:tbl>
      <w:tblPr>
        <w:tblStyle w:val="TableGrid"/>
        <w:tblW w:w="9918" w:type="dxa"/>
        <w:jc w:val="center"/>
        <w:tblLook w:val="04A0" w:firstRow="1" w:lastRow="0" w:firstColumn="1" w:lastColumn="0" w:noHBand="0" w:noVBand="1"/>
      </w:tblPr>
      <w:tblGrid>
        <w:gridCol w:w="2547"/>
        <w:gridCol w:w="3689"/>
        <w:gridCol w:w="3682"/>
      </w:tblGrid>
      <w:tr w:rsidR="00231260" w14:paraId="4FD4F662" w14:textId="77777777">
        <w:trPr>
          <w:cantSplit/>
          <w:tblHeader/>
          <w:jc w:val="center"/>
        </w:trPr>
        <w:tc>
          <w:tcPr>
            <w:tcW w:w="2547" w:type="dxa"/>
            <w:vAlign w:val="center"/>
          </w:tcPr>
          <w:p w14:paraId="5C11FDE3"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Concept</w:t>
            </w:r>
          </w:p>
        </w:tc>
        <w:tc>
          <w:tcPr>
            <w:tcW w:w="3689" w:type="dxa"/>
            <w:vAlign w:val="center"/>
          </w:tcPr>
          <w:p w14:paraId="3945C92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Working definition and principal factors</w:t>
            </w:r>
          </w:p>
        </w:tc>
        <w:tc>
          <w:tcPr>
            <w:tcW w:w="3682" w:type="dxa"/>
            <w:vAlign w:val="center"/>
          </w:tcPr>
          <w:p w14:paraId="4543A9C6"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Burden and brief example</w:t>
            </w:r>
          </w:p>
        </w:tc>
      </w:tr>
      <w:tr w:rsidR="00231260" w14:paraId="2E1FA2CD" w14:textId="77777777">
        <w:trPr>
          <w:cantSplit/>
          <w:jc w:val="center"/>
        </w:trPr>
        <w:tc>
          <w:tcPr>
            <w:tcW w:w="2547" w:type="dxa"/>
            <w:vAlign w:val="center"/>
          </w:tcPr>
          <w:p w14:paraId="37FCE532"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Credible notice</w:t>
            </w:r>
          </w:p>
        </w:tc>
        <w:tc>
          <w:tcPr>
            <w:tcW w:w="3689" w:type="dxa"/>
            <w:vAlign w:val="center"/>
          </w:tcPr>
          <w:p w14:paraId="7BF16F99"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A request identifying the person, the disputed meaning-bearing proposition, the relevant service or workflow, and a </w:t>
            </w:r>
            <w:r>
              <w:rPr>
                <w:rFonts w:asciiTheme="majorBidi" w:hAnsiTheme="majorBidi" w:cstheme="majorBidi"/>
                <w:i/>
                <w:iCs/>
                <w:sz w:val="18"/>
                <w:szCs w:val="20"/>
              </w:rPr>
              <w:t>prima facie</w:t>
            </w:r>
            <w:r>
              <w:rPr>
                <w:rFonts w:asciiTheme="majorBidi" w:hAnsiTheme="majorBidi" w:cstheme="majorBidi"/>
                <w:sz w:val="18"/>
                <w:szCs w:val="20"/>
              </w:rPr>
              <w:t xml:space="preserve"> basis for inaccuracy using evidence reasonably available to the claimant.</w:t>
            </w:r>
          </w:p>
        </w:tc>
        <w:tc>
          <w:tcPr>
            <w:tcW w:w="3682" w:type="dxa"/>
            <w:vAlign w:val="center"/>
          </w:tcPr>
          <w:p w14:paraId="785348E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The claimant bears the initial burden of establishing a </w:t>
            </w:r>
            <w:r>
              <w:rPr>
                <w:rFonts w:asciiTheme="majorBidi" w:hAnsiTheme="majorBidi" w:cstheme="majorBidi"/>
                <w:i/>
                <w:iCs/>
                <w:sz w:val="18"/>
                <w:szCs w:val="20"/>
              </w:rPr>
              <w:t>prima facie</w:t>
            </w:r>
            <w:r>
              <w:rPr>
                <w:rFonts w:asciiTheme="majorBidi" w:hAnsiTheme="majorBidi" w:cstheme="majorBidi"/>
                <w:sz w:val="18"/>
                <w:szCs w:val="20"/>
              </w:rPr>
              <w:t xml:space="preserve"> basis for falsity using evidence reasonably available to them. An official record contradicting an invented conviction will ordinarily satisfy that threshold, while a bare assertion may not.</w:t>
            </w:r>
          </w:p>
        </w:tc>
      </w:tr>
      <w:tr w:rsidR="00231260" w14:paraId="0CB1EC8F" w14:textId="77777777">
        <w:trPr>
          <w:cantSplit/>
          <w:jc w:val="center"/>
        </w:trPr>
        <w:tc>
          <w:tcPr>
            <w:tcW w:w="2547" w:type="dxa"/>
            <w:vAlign w:val="center"/>
          </w:tcPr>
          <w:p w14:paraId="0EB55BD5"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Plausible propagation pathway</w:t>
            </w:r>
          </w:p>
        </w:tc>
        <w:tc>
          <w:tcPr>
            <w:tcW w:w="3689" w:type="dxa"/>
            <w:vAlign w:val="center"/>
          </w:tcPr>
          <w:p w14:paraId="5E90A72F"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 technically or organisationally credible route by which the proposition could have moved from a known output into memory, retrieval, disclosure, a record, API output, or a decision.</w:t>
            </w:r>
          </w:p>
        </w:tc>
        <w:tc>
          <w:tcPr>
            <w:tcW w:w="3682" w:type="dxa"/>
            <w:vAlign w:val="center"/>
          </w:tcPr>
          <w:p w14:paraId="6E6AA7BD" w14:textId="59CECDD1"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The claimant shows a credible link; the actor controlling the relevant non-public processing evidence should explain the pathway within its responsibility. </w:t>
            </w:r>
            <w:r w:rsidR="00E1597D" w:rsidRPr="00E1597D">
              <w:rPr>
                <w:rFonts w:asciiTheme="majorBidi" w:hAnsiTheme="majorBidi" w:cstheme="majorBidi"/>
                <w:sz w:val="18"/>
                <w:szCs w:val="20"/>
              </w:rPr>
              <w:t>A matching risk field created after the relevant output may be sufficient to trigger inquiry</w:t>
            </w:r>
            <w:r>
              <w:rPr>
                <w:rFonts w:asciiTheme="majorBidi" w:hAnsiTheme="majorBidi" w:cstheme="majorBidi"/>
                <w:sz w:val="18"/>
                <w:szCs w:val="20"/>
              </w:rPr>
              <w:t>.</w:t>
            </w:r>
          </w:p>
        </w:tc>
      </w:tr>
      <w:tr w:rsidR="00231260" w14:paraId="01C624F7" w14:textId="77777777">
        <w:trPr>
          <w:cantSplit/>
          <w:jc w:val="center"/>
        </w:trPr>
        <w:tc>
          <w:tcPr>
            <w:tcW w:w="2547" w:type="dxa"/>
            <w:vAlign w:val="center"/>
          </w:tcPr>
          <w:p w14:paraId="20CCD6D5"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Reasonably identifiable node</w:t>
            </w:r>
          </w:p>
        </w:tc>
        <w:tc>
          <w:tcPr>
            <w:tcW w:w="3689" w:type="dxa"/>
            <w:vAlign w:val="center"/>
          </w:tcPr>
          <w:p w14:paraId="6D5A7BA6"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 node locatable through proportionately obtainable logs, versions, transaction records, data-flow documentation, recipient information, processor assistance, or workflow knowledge.</w:t>
            </w:r>
          </w:p>
        </w:tc>
        <w:tc>
          <w:tcPr>
            <w:tcW w:w="3682" w:type="dxa"/>
            <w:vAlign w:val="center"/>
          </w:tcPr>
          <w:p w14:paraId="43467A14"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Under the proposed framework, the actor seeking closure should identify the nodes examined and explain the basis for excluding other plausible nodes from further inquiry. A known enterprise recipient is ordinarily identifiable; an unknown internet reader ordinarily is not.</w:t>
            </w:r>
          </w:p>
        </w:tc>
      </w:tr>
      <w:tr w:rsidR="00231260" w14:paraId="2B42D8C8" w14:textId="77777777">
        <w:trPr>
          <w:cantSplit/>
          <w:jc w:val="center"/>
        </w:trPr>
        <w:tc>
          <w:tcPr>
            <w:tcW w:w="2547" w:type="dxa"/>
            <w:vAlign w:val="center"/>
          </w:tcPr>
          <w:p w14:paraId="2984C716"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Material reliance</w:t>
            </w:r>
          </w:p>
        </w:tc>
        <w:tc>
          <w:tcPr>
            <w:tcW w:w="3689" w:type="dxa"/>
            <w:vAlign w:val="center"/>
          </w:tcPr>
          <w:p w14:paraId="65D6690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Use of the false proposition with a realistic capacity to influence reasoning, procedural treatment, recommendation, or outcome; certainty of a different result is unnecessary.</w:t>
            </w:r>
          </w:p>
        </w:tc>
        <w:tc>
          <w:tcPr>
            <w:tcW w:w="3682" w:type="dxa"/>
            <w:vAlign w:val="center"/>
          </w:tcPr>
          <w:p w14:paraId="6D88918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Under the proposed framework, once a credible reliance link is shown, the actor responsible for the relevant decision process should investigate the extent of reliance. A criminal-risk flag used in screening is material; an unread attachment may not be.</w:t>
            </w:r>
          </w:p>
        </w:tc>
      </w:tr>
      <w:tr w:rsidR="00231260" w14:paraId="064E4944" w14:textId="77777777">
        <w:trPr>
          <w:cantSplit/>
          <w:jc w:val="center"/>
        </w:trPr>
        <w:tc>
          <w:tcPr>
            <w:tcW w:w="2547" w:type="dxa"/>
            <w:vAlign w:val="center"/>
          </w:tcPr>
          <w:p w14:paraId="3E833F1B"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lastRenderedPageBreak/>
              <w:t>Disproportionate effort</w:t>
            </w:r>
          </w:p>
        </w:tc>
        <w:tc>
          <w:tcPr>
            <w:tcW w:w="3689" w:type="dxa"/>
            <w:vAlign w:val="center"/>
          </w:tcPr>
          <w:p w14:paraId="4C18CF77"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Tracing or communication whose cost, intrusion, or technical burden is excessive relative to severity, continuing risk, likelihood of finding a useful node, and available alternatives.</w:t>
            </w:r>
          </w:p>
        </w:tc>
        <w:tc>
          <w:tcPr>
            <w:tcW w:w="3682" w:type="dxa"/>
            <w:vAlign w:val="center"/>
          </w:tcPr>
          <w:p w14:paraId="6EDBEE35"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Under the proposed framework, the actor invoking disproportionate effort should document the methods considered, the steps attempted, the reasons further inquiry would be excessive, and any less burdensome alternatives. High-severity employment screening ordinarily justifies greater remedial effort than an ephemeral low-risk chat error.</w:t>
            </w:r>
          </w:p>
        </w:tc>
      </w:tr>
      <w:tr w:rsidR="00231260" w14:paraId="03E3CE84" w14:textId="77777777">
        <w:trPr>
          <w:cantSplit/>
          <w:jc w:val="center"/>
        </w:trPr>
        <w:tc>
          <w:tcPr>
            <w:tcW w:w="2547" w:type="dxa"/>
            <w:vAlign w:val="center"/>
          </w:tcPr>
          <w:p w14:paraId="045D594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Material recurrence</w:t>
            </w:r>
          </w:p>
        </w:tc>
        <w:tc>
          <w:tcPr>
            <w:tcW w:w="3689" w:type="dxa"/>
            <w:vAlign w:val="center"/>
          </w:tcPr>
          <w:p w14:paraId="0C3776C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Reproduction or reintroduction of a materially equivalent false proposition during ordinary, foreseeable use after correction, through paraphrase, another node or a later version.</w:t>
            </w:r>
          </w:p>
        </w:tc>
        <w:tc>
          <w:tcPr>
            <w:tcW w:w="3682" w:type="dxa"/>
            <w:vAlign w:val="center"/>
          </w:tcPr>
          <w:p w14:paraId="46D5672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Under the proposed framework, the actor relying on closure should conduct recurrence testing proportionate to the identified risk and the technical pathways reasonably implicated by the case. Reappearance across routine fresh sessions is stronger evidence of material recurrence than a single remote adversarial prompt.</w:t>
            </w:r>
          </w:p>
        </w:tc>
      </w:tr>
      <w:tr w:rsidR="00231260" w14:paraId="5513CC7B" w14:textId="77777777">
        <w:trPr>
          <w:cantSplit/>
          <w:jc w:val="center"/>
        </w:trPr>
        <w:tc>
          <w:tcPr>
            <w:tcW w:w="2547" w:type="dxa"/>
            <w:vAlign w:val="center"/>
          </w:tcPr>
          <w:p w14:paraId="55765506"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Reasonable and demonstrable assurance</w:t>
            </w:r>
          </w:p>
        </w:tc>
        <w:tc>
          <w:tcPr>
            <w:tcW w:w="3689" w:type="dxa"/>
            <w:vAlign w:val="center"/>
          </w:tcPr>
          <w:p w14:paraId="37A8B46D"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Documented evidence that relevant nodes within the actor’s responsibility were corrected, applicable recipient-communication duties were fulfilled, materially affected decisions were investigated, proportionate recurrence testing was completed, and residual risks and limitations were explained.</w:t>
            </w:r>
          </w:p>
        </w:tc>
        <w:tc>
          <w:tcPr>
            <w:tcW w:w="3682" w:type="dxa"/>
            <w:vAlign w:val="center"/>
          </w:tcPr>
          <w:p w14:paraId="5E1E8CFE" w14:textId="6DBABA7E"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Under the proposed framework, the actor seeking closure bears the burden of demonstrating that the conditions for reasonable and demonstrable assurance have been satisfied. Assurance does not require proof of deletion from every model parameter or a guarantee against recurrence in every future system</w:t>
            </w:r>
            <w:r w:rsidR="00E1597D">
              <w:rPr>
                <w:rFonts w:asciiTheme="majorBidi" w:hAnsiTheme="majorBidi" w:cstheme="majorBidi"/>
                <w:sz w:val="18"/>
                <w:szCs w:val="20"/>
              </w:rPr>
              <w:t>.</w:t>
            </w:r>
          </w:p>
        </w:tc>
      </w:tr>
    </w:tbl>
    <w:p w14:paraId="73986D36" w14:textId="77777777" w:rsidR="00231260" w:rsidRDefault="00000000" w:rsidP="003715F8">
      <w:pPr>
        <w:spacing w:line="240" w:lineRule="auto"/>
        <w:rPr>
          <w:rFonts w:asciiTheme="majorBidi" w:hAnsiTheme="majorBidi" w:cstheme="majorBidi"/>
          <w:i/>
          <w:iCs/>
          <w:sz w:val="18"/>
          <w:szCs w:val="18"/>
        </w:rPr>
      </w:pPr>
      <w:r w:rsidRPr="002F3FF8">
        <w:rPr>
          <w:rFonts w:asciiTheme="majorBidi" w:hAnsiTheme="majorBidi" w:cstheme="majorBidi"/>
          <w:b/>
          <w:bCs/>
          <w:i/>
          <w:iCs/>
          <w:sz w:val="18"/>
          <w:szCs w:val="18"/>
        </w:rPr>
        <w:t>Source</w:t>
      </w:r>
      <w:r w:rsidRPr="003715F8">
        <w:rPr>
          <w:rFonts w:asciiTheme="majorBidi" w:hAnsiTheme="majorBidi" w:cstheme="majorBidi"/>
          <w:i/>
          <w:iCs/>
          <w:sz w:val="18"/>
          <w:szCs w:val="18"/>
        </w:rPr>
        <w:t>: Authors’ synthesis from GDPR Articles 5, 16, 19, 24 and 25; relevant CJEU case law; EDPB guidance; and the interdisciplinary technical literature cited in Sections 4.3–4.4.</w:t>
      </w:r>
    </w:p>
    <w:p w14:paraId="2F4641C1" w14:textId="77777777" w:rsidR="00EE4371" w:rsidRDefault="00EE4371" w:rsidP="003715F8">
      <w:pPr>
        <w:spacing w:line="240" w:lineRule="auto"/>
        <w:rPr>
          <w:rFonts w:asciiTheme="majorBidi" w:hAnsiTheme="majorBidi" w:cstheme="majorBidi"/>
          <w:i/>
          <w:iCs/>
          <w:sz w:val="18"/>
          <w:szCs w:val="18"/>
        </w:rPr>
      </w:pPr>
    </w:p>
    <w:p w14:paraId="605CB2D9" w14:textId="77777777" w:rsidR="00EE4371" w:rsidRDefault="00EE4371" w:rsidP="003715F8">
      <w:pPr>
        <w:spacing w:line="240" w:lineRule="auto"/>
        <w:rPr>
          <w:rFonts w:asciiTheme="majorBidi" w:hAnsiTheme="majorBidi" w:cstheme="majorBidi"/>
          <w:i/>
          <w:iCs/>
          <w:sz w:val="18"/>
          <w:szCs w:val="18"/>
        </w:rPr>
      </w:pPr>
    </w:p>
    <w:p w14:paraId="744970C4" w14:textId="77777777" w:rsidR="00EE4371" w:rsidRDefault="00EE4371" w:rsidP="003715F8">
      <w:pPr>
        <w:spacing w:line="240" w:lineRule="auto"/>
        <w:rPr>
          <w:rFonts w:asciiTheme="majorBidi" w:hAnsiTheme="majorBidi" w:cstheme="majorBidi"/>
          <w:i/>
          <w:iCs/>
          <w:sz w:val="18"/>
          <w:szCs w:val="18"/>
        </w:rPr>
      </w:pPr>
    </w:p>
    <w:p w14:paraId="5EB08113" w14:textId="77777777" w:rsidR="00EE4371" w:rsidRDefault="00EE4371" w:rsidP="003715F8">
      <w:pPr>
        <w:spacing w:line="240" w:lineRule="auto"/>
        <w:rPr>
          <w:rFonts w:asciiTheme="majorBidi" w:hAnsiTheme="majorBidi" w:cstheme="majorBidi"/>
          <w:i/>
          <w:iCs/>
          <w:sz w:val="18"/>
          <w:szCs w:val="18"/>
        </w:rPr>
      </w:pPr>
    </w:p>
    <w:p w14:paraId="1F5038BC" w14:textId="77777777" w:rsidR="00EE4371" w:rsidRDefault="00EE4371" w:rsidP="003715F8">
      <w:pPr>
        <w:spacing w:line="240" w:lineRule="auto"/>
        <w:rPr>
          <w:rFonts w:asciiTheme="majorBidi" w:hAnsiTheme="majorBidi" w:cstheme="majorBidi"/>
          <w:i/>
          <w:iCs/>
          <w:sz w:val="18"/>
          <w:szCs w:val="18"/>
        </w:rPr>
      </w:pPr>
    </w:p>
    <w:p w14:paraId="69F58B0B" w14:textId="77777777" w:rsidR="00EE4371" w:rsidRDefault="00EE4371" w:rsidP="003715F8">
      <w:pPr>
        <w:spacing w:line="240" w:lineRule="auto"/>
        <w:rPr>
          <w:rFonts w:asciiTheme="majorBidi" w:hAnsiTheme="majorBidi" w:cstheme="majorBidi"/>
          <w:i/>
          <w:iCs/>
          <w:sz w:val="18"/>
          <w:szCs w:val="18"/>
        </w:rPr>
      </w:pPr>
    </w:p>
    <w:p w14:paraId="722F92AA" w14:textId="77777777" w:rsidR="00EE4371" w:rsidRDefault="00EE4371" w:rsidP="003715F8">
      <w:pPr>
        <w:spacing w:line="240" w:lineRule="auto"/>
        <w:rPr>
          <w:rFonts w:asciiTheme="majorBidi" w:hAnsiTheme="majorBidi" w:cstheme="majorBidi"/>
          <w:i/>
          <w:iCs/>
          <w:sz w:val="18"/>
          <w:szCs w:val="18"/>
        </w:rPr>
      </w:pPr>
    </w:p>
    <w:p w14:paraId="0B30393C" w14:textId="77777777" w:rsidR="00EE4371" w:rsidRDefault="00EE4371" w:rsidP="003715F8">
      <w:pPr>
        <w:spacing w:line="240" w:lineRule="auto"/>
        <w:rPr>
          <w:rFonts w:asciiTheme="majorBidi" w:hAnsiTheme="majorBidi" w:cstheme="majorBidi"/>
          <w:i/>
          <w:iCs/>
          <w:sz w:val="18"/>
          <w:szCs w:val="18"/>
        </w:rPr>
      </w:pPr>
    </w:p>
    <w:p w14:paraId="1587BB4D" w14:textId="77777777" w:rsidR="00EE4371" w:rsidRDefault="00EE4371" w:rsidP="003715F8">
      <w:pPr>
        <w:spacing w:line="240" w:lineRule="auto"/>
        <w:rPr>
          <w:rFonts w:asciiTheme="majorBidi" w:hAnsiTheme="majorBidi" w:cstheme="majorBidi"/>
          <w:i/>
          <w:iCs/>
          <w:sz w:val="18"/>
          <w:szCs w:val="18"/>
        </w:rPr>
      </w:pPr>
    </w:p>
    <w:p w14:paraId="5449616C" w14:textId="77777777" w:rsidR="00EE4371" w:rsidRPr="003715F8" w:rsidRDefault="00EE4371" w:rsidP="003715F8">
      <w:pPr>
        <w:spacing w:line="240" w:lineRule="auto"/>
        <w:rPr>
          <w:rFonts w:asciiTheme="majorBidi" w:hAnsiTheme="majorBidi" w:cstheme="majorBidi"/>
          <w:i/>
          <w:iCs/>
          <w:sz w:val="18"/>
          <w:szCs w:val="18"/>
        </w:rPr>
      </w:pPr>
    </w:p>
    <w:p w14:paraId="1BA879FD" w14:textId="77777777" w:rsidR="00231260" w:rsidRDefault="00000000">
      <w:pPr>
        <w:pStyle w:val="Caption"/>
        <w:keepNext/>
        <w:spacing w:after="60" w:line="480" w:lineRule="auto"/>
        <w:jc w:val="both"/>
        <w:rPr>
          <w:rFonts w:asciiTheme="majorBidi" w:hAnsiTheme="majorBidi" w:cstheme="majorBidi"/>
          <w:b w:val="0"/>
          <w:bCs w:val="0"/>
          <w:i w:val="0"/>
          <w:iCs/>
          <w:color w:val="000000" w:themeColor="text1"/>
          <w:sz w:val="24"/>
          <w:szCs w:val="24"/>
        </w:rPr>
      </w:pPr>
      <w:bookmarkStart w:id="2" w:name="recipients-decisions-and-reparation"/>
      <w:bookmarkEnd w:id="0"/>
      <w:r>
        <w:rPr>
          <w:rFonts w:asciiTheme="majorBidi" w:hAnsiTheme="majorBidi" w:cstheme="majorBidi"/>
          <w:i w:val="0"/>
          <w:iCs/>
          <w:color w:val="000000" w:themeColor="text1"/>
          <w:sz w:val="24"/>
          <w:szCs w:val="24"/>
        </w:rPr>
        <w:t>Table 2.</w:t>
      </w:r>
      <w:r>
        <w:rPr>
          <w:rFonts w:asciiTheme="majorBidi" w:hAnsiTheme="majorBidi" w:cstheme="majorBidi"/>
          <w:b w:val="0"/>
          <w:bCs w:val="0"/>
          <w:i w:val="0"/>
          <w:iCs/>
          <w:color w:val="000000" w:themeColor="text1"/>
          <w:sz w:val="24"/>
          <w:szCs w:val="24"/>
        </w:rPr>
        <w:t xml:space="preserve"> Material Reliance and Proportionate Remedial Responses</w:t>
      </w:r>
    </w:p>
    <w:tbl>
      <w:tblPr>
        <w:tblStyle w:val="TableGrid"/>
        <w:tblW w:w="0" w:type="auto"/>
        <w:jc w:val="center"/>
        <w:tblLook w:val="04A0" w:firstRow="1" w:lastRow="0" w:firstColumn="1" w:lastColumn="0" w:noHBand="0" w:noVBand="1"/>
      </w:tblPr>
      <w:tblGrid>
        <w:gridCol w:w="3115"/>
        <w:gridCol w:w="3119"/>
        <w:gridCol w:w="3116"/>
      </w:tblGrid>
      <w:tr w:rsidR="00231260" w14:paraId="5E6A284F" w14:textId="77777777">
        <w:trPr>
          <w:cantSplit/>
          <w:tblHeader/>
          <w:jc w:val="center"/>
        </w:trPr>
        <w:tc>
          <w:tcPr>
            <w:tcW w:w="3115" w:type="dxa"/>
            <w:vAlign w:val="center"/>
          </w:tcPr>
          <w:p w14:paraId="295CA75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Reliance situation</w:t>
            </w:r>
          </w:p>
        </w:tc>
        <w:tc>
          <w:tcPr>
            <w:tcW w:w="3119" w:type="dxa"/>
            <w:vAlign w:val="center"/>
          </w:tcPr>
          <w:p w14:paraId="628D8D6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Required inquiry</w:t>
            </w:r>
          </w:p>
        </w:tc>
        <w:tc>
          <w:tcPr>
            <w:tcW w:w="3116" w:type="dxa"/>
            <w:vAlign w:val="center"/>
          </w:tcPr>
          <w:p w14:paraId="6B7764FD"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Proportionate remedial response</w:t>
            </w:r>
          </w:p>
        </w:tc>
      </w:tr>
      <w:tr w:rsidR="00231260" w14:paraId="7559DF11" w14:textId="77777777">
        <w:trPr>
          <w:cantSplit/>
          <w:jc w:val="center"/>
        </w:trPr>
        <w:tc>
          <w:tcPr>
            <w:tcW w:w="3115" w:type="dxa"/>
            <w:vAlign w:val="center"/>
          </w:tcPr>
          <w:p w14:paraId="299935D8"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False data was present but not used</w:t>
            </w:r>
          </w:p>
        </w:tc>
        <w:tc>
          <w:tcPr>
            <w:tcW w:w="3119" w:type="dxa"/>
            <w:vAlign w:val="center"/>
          </w:tcPr>
          <w:p w14:paraId="75B35C75"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Verify that the proposition did not enter reasoning, recommendation, procedural treatment, or outcome.</w:t>
            </w:r>
          </w:p>
        </w:tc>
        <w:tc>
          <w:tcPr>
            <w:tcW w:w="3116" w:type="dxa"/>
            <w:vAlign w:val="center"/>
          </w:tcPr>
          <w:p w14:paraId="7CEEEF28"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Correct or restrict the data and document non-reliance; renewed review of the decision is ordinarily unnecessary.</w:t>
            </w:r>
          </w:p>
        </w:tc>
      </w:tr>
      <w:tr w:rsidR="00231260" w14:paraId="54F3A6F5" w14:textId="77777777">
        <w:trPr>
          <w:cantSplit/>
          <w:jc w:val="center"/>
        </w:trPr>
        <w:tc>
          <w:tcPr>
            <w:tcW w:w="3115" w:type="dxa"/>
            <w:vAlign w:val="center"/>
          </w:tcPr>
          <w:p w14:paraId="13CF9407"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False data affected procedure but not the </w:t>
            </w:r>
            <w:proofErr w:type="gramStart"/>
            <w:r>
              <w:rPr>
                <w:rFonts w:asciiTheme="majorBidi" w:hAnsiTheme="majorBidi" w:cstheme="majorBidi"/>
                <w:sz w:val="18"/>
                <w:szCs w:val="20"/>
              </w:rPr>
              <w:t>final outcome</w:t>
            </w:r>
            <w:proofErr w:type="gramEnd"/>
          </w:p>
        </w:tc>
        <w:tc>
          <w:tcPr>
            <w:tcW w:w="3119" w:type="dxa"/>
            <w:vAlign w:val="center"/>
          </w:tcPr>
          <w:p w14:paraId="1D6E85F8"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Determine whether it changed scrutiny, delay, burden, explanation, or the opportunity to participate.</w:t>
            </w:r>
          </w:p>
        </w:tc>
        <w:tc>
          <w:tcPr>
            <w:tcW w:w="3116" w:type="dxa"/>
            <w:vAlign w:val="center"/>
          </w:tcPr>
          <w:p w14:paraId="3416422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Correct the record, repair the affected procedure where feasible, and provide a revised explanation.</w:t>
            </w:r>
          </w:p>
        </w:tc>
      </w:tr>
      <w:tr w:rsidR="00231260" w14:paraId="699680BF" w14:textId="77777777">
        <w:trPr>
          <w:cantSplit/>
          <w:jc w:val="center"/>
        </w:trPr>
        <w:tc>
          <w:tcPr>
            <w:tcW w:w="3115" w:type="dxa"/>
            <w:vAlign w:val="center"/>
          </w:tcPr>
          <w:p w14:paraId="2258DCF9"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False data materially affected a recommendation or intermediate score</w:t>
            </w:r>
          </w:p>
        </w:tc>
        <w:tc>
          <w:tcPr>
            <w:tcW w:w="3119" w:type="dxa"/>
            <w:vAlign w:val="center"/>
          </w:tcPr>
          <w:p w14:paraId="4621F96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Assess assigned weight, causal proximity, and downstream reliance.</w:t>
            </w:r>
          </w:p>
        </w:tc>
        <w:tc>
          <w:tcPr>
            <w:tcW w:w="3116" w:type="dxa"/>
            <w:vAlign w:val="center"/>
          </w:tcPr>
          <w:p w14:paraId="2068A534" w14:textId="52D15203"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Recalculate or reassess the recommendation and, where an applicable recipient-communication duty attaches, </w:t>
            </w:r>
            <w:r w:rsidR="00E1597D" w:rsidRPr="00E1597D">
              <w:rPr>
                <w:rFonts w:asciiTheme="majorBidi" w:hAnsiTheme="majorBidi" w:cstheme="majorBidi"/>
                <w:sz w:val="18"/>
                <w:szCs w:val="20"/>
              </w:rPr>
              <w:t>communicate the correction to the relevant recipient</w:t>
            </w:r>
            <w:r>
              <w:rPr>
                <w:rFonts w:asciiTheme="majorBidi" w:hAnsiTheme="majorBidi" w:cstheme="majorBidi"/>
                <w:sz w:val="18"/>
                <w:szCs w:val="20"/>
              </w:rPr>
              <w:t>.</w:t>
            </w:r>
          </w:p>
        </w:tc>
      </w:tr>
      <w:tr w:rsidR="00231260" w14:paraId="47773A0C" w14:textId="77777777">
        <w:trPr>
          <w:cantSplit/>
          <w:jc w:val="center"/>
        </w:trPr>
        <w:tc>
          <w:tcPr>
            <w:tcW w:w="3115" w:type="dxa"/>
            <w:vAlign w:val="center"/>
          </w:tcPr>
          <w:p w14:paraId="4DD61CD1"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False data materially influenced a final decision</w:t>
            </w:r>
          </w:p>
        </w:tc>
        <w:tc>
          <w:tcPr>
            <w:tcW w:w="3119" w:type="dxa"/>
            <w:vAlign w:val="center"/>
          </w:tcPr>
          <w:p w14:paraId="2A1C5A5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Determine whether the result or treatment could realistically have differed without the false proposition.</w:t>
            </w:r>
          </w:p>
        </w:tc>
        <w:tc>
          <w:tcPr>
            <w:tcW w:w="3116" w:type="dxa"/>
            <w:vAlign w:val="center"/>
          </w:tcPr>
          <w:p w14:paraId="1CC1877B"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Reopen, repeat, or reconsider where applicable law permits or requires; preserve access to supervisory or judicial review where such review is available.</w:t>
            </w:r>
          </w:p>
        </w:tc>
      </w:tr>
      <w:tr w:rsidR="00231260" w14:paraId="717C5FA3" w14:textId="77777777">
        <w:trPr>
          <w:cantSplit/>
          <w:jc w:val="center"/>
        </w:trPr>
        <w:tc>
          <w:tcPr>
            <w:tcW w:w="3115" w:type="dxa"/>
            <w:vAlign w:val="center"/>
          </w:tcPr>
          <w:p w14:paraId="43FAB953"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 human allegedly verified the automated result</w:t>
            </w:r>
          </w:p>
        </w:tc>
        <w:tc>
          <w:tcPr>
            <w:tcW w:w="3119" w:type="dxa"/>
            <w:vAlign w:val="center"/>
          </w:tcPr>
          <w:p w14:paraId="04A46C43"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Examine the reviewer’s authority and competence, access to contrary evidence, available time and freedom to depart from the automated result.</w:t>
            </w:r>
          </w:p>
        </w:tc>
        <w:tc>
          <w:tcPr>
            <w:tcW w:w="3116" w:type="dxa"/>
            <w:vAlign w:val="center"/>
          </w:tcPr>
          <w:p w14:paraId="32DA0847"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Where the purported human review was merely nominal, the proposed framework treats it as insufficient to establish meaningful independent scrutiny; a fresh reassessment should be undertaken where applicable law or the relevant remedial process permits or requires.</w:t>
            </w:r>
          </w:p>
        </w:tc>
      </w:tr>
      <w:tr w:rsidR="00231260" w14:paraId="5350FC37" w14:textId="77777777">
        <w:trPr>
          <w:cantSplit/>
          <w:jc w:val="center"/>
        </w:trPr>
        <w:tc>
          <w:tcPr>
            <w:tcW w:w="3115" w:type="dxa"/>
            <w:vAlign w:val="center"/>
          </w:tcPr>
          <w:p w14:paraId="4B6DD3D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lastRenderedPageBreak/>
              <w:t>Renewed review of the decision is legally or practically unavailable</w:t>
            </w:r>
          </w:p>
        </w:tc>
        <w:tc>
          <w:tcPr>
            <w:tcW w:w="3119" w:type="dxa"/>
            <w:vAlign w:val="center"/>
          </w:tcPr>
          <w:p w14:paraId="4F65DBF7" w14:textId="20CBC7E5" w:rsidR="00231260" w:rsidRDefault="00E1597D">
            <w:pPr>
              <w:spacing w:after="40" w:line="480" w:lineRule="auto"/>
              <w:rPr>
                <w:rFonts w:asciiTheme="majorBidi" w:hAnsiTheme="majorBidi" w:cstheme="majorBidi"/>
                <w:sz w:val="20"/>
                <w:szCs w:val="20"/>
              </w:rPr>
            </w:pPr>
            <w:r w:rsidRPr="00E1597D">
              <w:rPr>
                <w:rFonts w:asciiTheme="majorBidi" w:hAnsiTheme="majorBidi" w:cstheme="majorBidi"/>
                <w:sz w:val="18"/>
                <w:szCs w:val="20"/>
              </w:rPr>
              <w:t>Identify why renewed review is unavailable and whether another measure can mitigate continuing or completed harm.</w:t>
            </w:r>
          </w:p>
        </w:tc>
        <w:tc>
          <w:tcPr>
            <w:tcW w:w="3116" w:type="dxa"/>
            <w:vAlign w:val="center"/>
          </w:tcPr>
          <w:p w14:paraId="11B4774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Use available lawful alternatives proportionate to the harm, which may include a correction notice, prospective exclusion, independent review, explanation, compensation where legally available, or another appropriate remedy.</w:t>
            </w:r>
          </w:p>
        </w:tc>
      </w:tr>
    </w:tbl>
    <w:p w14:paraId="64E8BBDF" w14:textId="63D66DE8" w:rsidR="00231260" w:rsidRDefault="00000000" w:rsidP="002F3FF8">
      <w:pPr>
        <w:spacing w:line="240" w:lineRule="auto"/>
        <w:rPr>
          <w:rFonts w:asciiTheme="majorBidi" w:hAnsiTheme="majorBidi" w:cstheme="majorBidi"/>
          <w:i/>
          <w:iCs/>
          <w:sz w:val="18"/>
          <w:szCs w:val="18"/>
        </w:rPr>
      </w:pPr>
      <w:r w:rsidRPr="002F3FF8">
        <w:rPr>
          <w:rFonts w:asciiTheme="majorBidi" w:hAnsiTheme="majorBidi" w:cstheme="majorBidi"/>
          <w:b/>
          <w:bCs/>
          <w:i/>
          <w:iCs/>
          <w:sz w:val="18"/>
          <w:szCs w:val="18"/>
        </w:rPr>
        <w:t>Source:</w:t>
      </w:r>
      <w:r w:rsidRPr="002F3FF8">
        <w:rPr>
          <w:rFonts w:asciiTheme="majorBidi" w:hAnsiTheme="majorBidi" w:cstheme="majorBidi"/>
          <w:i/>
          <w:iCs/>
          <w:sz w:val="18"/>
          <w:szCs w:val="18"/>
        </w:rPr>
        <w:t xml:space="preserve"> Authors’ synthesis from GDPR Articles 16, 19, 22 and 82; </w:t>
      </w:r>
      <w:r w:rsidRPr="002F3FF8">
        <w:rPr>
          <w:rStyle w:val="Emphasis"/>
          <w:rFonts w:asciiTheme="majorBidi" w:hAnsiTheme="majorBidi" w:cstheme="majorBidi"/>
          <w:i w:val="0"/>
          <w:iCs w:val="0"/>
          <w:sz w:val="18"/>
          <w:szCs w:val="18"/>
        </w:rPr>
        <w:t>SCHUFA</w:t>
      </w:r>
      <w:r w:rsidRPr="002F3FF8">
        <w:rPr>
          <w:rFonts w:asciiTheme="majorBidi" w:hAnsiTheme="majorBidi" w:cstheme="majorBidi"/>
          <w:i/>
          <w:iCs/>
          <w:sz w:val="18"/>
          <w:szCs w:val="18"/>
        </w:rPr>
        <w:t xml:space="preserve">; </w:t>
      </w:r>
      <w:r w:rsidR="00647E87" w:rsidRPr="002F3FF8">
        <w:rPr>
          <w:rStyle w:val="Emphasis"/>
          <w:rFonts w:asciiTheme="majorBidi" w:hAnsiTheme="majorBidi" w:cstheme="majorBidi"/>
          <w:i w:val="0"/>
          <w:iCs w:val="0"/>
          <w:sz w:val="18"/>
          <w:szCs w:val="18"/>
        </w:rPr>
        <w:t>Dun &amp; Bradstreet Austria (2025)</w:t>
      </w:r>
      <w:r w:rsidRPr="002F3FF8">
        <w:rPr>
          <w:rFonts w:asciiTheme="majorBidi" w:hAnsiTheme="majorBidi" w:cstheme="majorBidi"/>
          <w:i/>
          <w:iCs/>
          <w:sz w:val="18"/>
          <w:szCs w:val="18"/>
        </w:rPr>
        <w:t>; compensation jurisprudence; and peer-reviewed scholarship on meaningful human oversight.</w:t>
      </w:r>
    </w:p>
    <w:p w14:paraId="0EBFE4F0" w14:textId="77777777" w:rsidR="00EE4371" w:rsidRDefault="00EE4371" w:rsidP="002F3FF8">
      <w:pPr>
        <w:spacing w:line="240" w:lineRule="auto"/>
        <w:rPr>
          <w:rFonts w:asciiTheme="majorBidi" w:hAnsiTheme="majorBidi" w:cstheme="majorBidi"/>
          <w:i/>
          <w:iCs/>
          <w:sz w:val="18"/>
          <w:szCs w:val="18"/>
        </w:rPr>
      </w:pPr>
    </w:p>
    <w:p w14:paraId="6B323347" w14:textId="77777777" w:rsidR="00EE4371" w:rsidRDefault="00EE4371" w:rsidP="002F3FF8">
      <w:pPr>
        <w:spacing w:line="240" w:lineRule="auto"/>
        <w:rPr>
          <w:rFonts w:asciiTheme="majorBidi" w:hAnsiTheme="majorBidi" w:cstheme="majorBidi"/>
          <w:i/>
          <w:iCs/>
          <w:sz w:val="18"/>
          <w:szCs w:val="18"/>
        </w:rPr>
      </w:pPr>
    </w:p>
    <w:p w14:paraId="38A05192" w14:textId="77777777" w:rsidR="00EE4371" w:rsidRDefault="00EE4371" w:rsidP="002F3FF8">
      <w:pPr>
        <w:spacing w:line="240" w:lineRule="auto"/>
        <w:rPr>
          <w:rFonts w:asciiTheme="majorBidi" w:hAnsiTheme="majorBidi" w:cstheme="majorBidi"/>
          <w:i/>
          <w:iCs/>
          <w:sz w:val="18"/>
          <w:szCs w:val="18"/>
        </w:rPr>
      </w:pPr>
    </w:p>
    <w:p w14:paraId="05C88BB5" w14:textId="77777777" w:rsidR="00EE4371" w:rsidRDefault="00EE4371" w:rsidP="002F3FF8">
      <w:pPr>
        <w:spacing w:line="240" w:lineRule="auto"/>
        <w:rPr>
          <w:rFonts w:asciiTheme="majorBidi" w:hAnsiTheme="majorBidi" w:cstheme="majorBidi"/>
          <w:i/>
          <w:iCs/>
          <w:sz w:val="18"/>
          <w:szCs w:val="18"/>
        </w:rPr>
      </w:pPr>
    </w:p>
    <w:p w14:paraId="3CECC574" w14:textId="77777777" w:rsidR="00EE4371" w:rsidRDefault="00EE4371" w:rsidP="002F3FF8">
      <w:pPr>
        <w:spacing w:line="240" w:lineRule="auto"/>
        <w:rPr>
          <w:rFonts w:asciiTheme="majorBidi" w:hAnsiTheme="majorBidi" w:cstheme="majorBidi"/>
          <w:i/>
          <w:iCs/>
          <w:sz w:val="18"/>
          <w:szCs w:val="18"/>
        </w:rPr>
      </w:pPr>
    </w:p>
    <w:p w14:paraId="722024D0" w14:textId="77777777" w:rsidR="00EE4371" w:rsidRDefault="00EE4371" w:rsidP="002F3FF8">
      <w:pPr>
        <w:spacing w:line="240" w:lineRule="auto"/>
        <w:rPr>
          <w:rFonts w:asciiTheme="majorBidi" w:hAnsiTheme="majorBidi" w:cstheme="majorBidi"/>
          <w:i/>
          <w:iCs/>
          <w:sz w:val="18"/>
          <w:szCs w:val="18"/>
        </w:rPr>
      </w:pPr>
    </w:p>
    <w:p w14:paraId="0CB8CF1E" w14:textId="77777777" w:rsidR="00EE4371" w:rsidRDefault="00EE4371" w:rsidP="002F3FF8">
      <w:pPr>
        <w:spacing w:line="240" w:lineRule="auto"/>
        <w:rPr>
          <w:rFonts w:asciiTheme="majorBidi" w:hAnsiTheme="majorBidi" w:cstheme="majorBidi"/>
          <w:i/>
          <w:iCs/>
          <w:sz w:val="18"/>
          <w:szCs w:val="18"/>
        </w:rPr>
      </w:pPr>
    </w:p>
    <w:p w14:paraId="32B5718D" w14:textId="77777777" w:rsidR="00EE4371" w:rsidRDefault="00EE4371" w:rsidP="002F3FF8">
      <w:pPr>
        <w:spacing w:line="240" w:lineRule="auto"/>
        <w:rPr>
          <w:rFonts w:asciiTheme="majorBidi" w:hAnsiTheme="majorBidi" w:cstheme="majorBidi"/>
          <w:i/>
          <w:iCs/>
          <w:sz w:val="18"/>
          <w:szCs w:val="18"/>
        </w:rPr>
      </w:pPr>
    </w:p>
    <w:p w14:paraId="7C5129D1" w14:textId="77777777" w:rsidR="00EE4371" w:rsidRDefault="00EE4371" w:rsidP="002F3FF8">
      <w:pPr>
        <w:spacing w:line="240" w:lineRule="auto"/>
        <w:rPr>
          <w:rFonts w:asciiTheme="majorBidi" w:hAnsiTheme="majorBidi" w:cstheme="majorBidi"/>
          <w:i/>
          <w:iCs/>
          <w:sz w:val="18"/>
          <w:szCs w:val="18"/>
        </w:rPr>
      </w:pPr>
    </w:p>
    <w:p w14:paraId="180EEB08" w14:textId="77777777" w:rsidR="00EE4371" w:rsidRDefault="00EE4371" w:rsidP="002F3FF8">
      <w:pPr>
        <w:spacing w:line="240" w:lineRule="auto"/>
        <w:rPr>
          <w:rFonts w:asciiTheme="majorBidi" w:hAnsiTheme="majorBidi" w:cstheme="majorBidi"/>
          <w:i/>
          <w:iCs/>
          <w:sz w:val="18"/>
          <w:szCs w:val="18"/>
        </w:rPr>
      </w:pPr>
    </w:p>
    <w:p w14:paraId="3AB40C44" w14:textId="77777777" w:rsidR="00EE4371" w:rsidRDefault="00EE4371" w:rsidP="002F3FF8">
      <w:pPr>
        <w:spacing w:line="240" w:lineRule="auto"/>
        <w:rPr>
          <w:rFonts w:asciiTheme="majorBidi" w:hAnsiTheme="majorBidi" w:cstheme="majorBidi"/>
          <w:i/>
          <w:iCs/>
          <w:sz w:val="18"/>
          <w:szCs w:val="18"/>
        </w:rPr>
      </w:pPr>
    </w:p>
    <w:p w14:paraId="24B37536" w14:textId="77777777" w:rsidR="00EE4371" w:rsidRDefault="00EE4371" w:rsidP="002F3FF8">
      <w:pPr>
        <w:spacing w:line="240" w:lineRule="auto"/>
        <w:rPr>
          <w:rFonts w:asciiTheme="majorBidi" w:hAnsiTheme="majorBidi" w:cstheme="majorBidi"/>
          <w:i/>
          <w:iCs/>
          <w:sz w:val="18"/>
          <w:szCs w:val="18"/>
        </w:rPr>
      </w:pPr>
    </w:p>
    <w:p w14:paraId="3AC41337" w14:textId="77777777" w:rsidR="00EE4371" w:rsidRDefault="00EE4371" w:rsidP="002F3FF8">
      <w:pPr>
        <w:spacing w:line="240" w:lineRule="auto"/>
        <w:rPr>
          <w:rFonts w:asciiTheme="majorBidi" w:hAnsiTheme="majorBidi" w:cstheme="majorBidi"/>
          <w:i/>
          <w:iCs/>
          <w:sz w:val="18"/>
          <w:szCs w:val="18"/>
        </w:rPr>
      </w:pPr>
    </w:p>
    <w:p w14:paraId="375EA9F2" w14:textId="77777777" w:rsidR="00EE4371" w:rsidRDefault="00EE4371" w:rsidP="002F3FF8">
      <w:pPr>
        <w:spacing w:line="240" w:lineRule="auto"/>
        <w:rPr>
          <w:rFonts w:asciiTheme="majorBidi" w:hAnsiTheme="majorBidi" w:cstheme="majorBidi"/>
          <w:i/>
          <w:iCs/>
          <w:sz w:val="18"/>
          <w:szCs w:val="18"/>
        </w:rPr>
      </w:pPr>
    </w:p>
    <w:p w14:paraId="2BCD4CC8" w14:textId="77777777" w:rsidR="00EE4371" w:rsidRDefault="00EE4371" w:rsidP="002F3FF8">
      <w:pPr>
        <w:spacing w:line="240" w:lineRule="auto"/>
        <w:rPr>
          <w:rFonts w:asciiTheme="majorBidi" w:hAnsiTheme="majorBidi" w:cstheme="majorBidi"/>
          <w:i/>
          <w:iCs/>
          <w:sz w:val="18"/>
          <w:szCs w:val="18"/>
        </w:rPr>
      </w:pPr>
    </w:p>
    <w:p w14:paraId="55CA0774" w14:textId="77777777" w:rsidR="00EE4371" w:rsidRDefault="00EE4371" w:rsidP="002F3FF8">
      <w:pPr>
        <w:spacing w:line="240" w:lineRule="auto"/>
        <w:rPr>
          <w:rFonts w:asciiTheme="majorBidi" w:hAnsiTheme="majorBidi" w:cstheme="majorBidi"/>
          <w:i/>
          <w:iCs/>
          <w:sz w:val="18"/>
          <w:szCs w:val="18"/>
        </w:rPr>
      </w:pPr>
    </w:p>
    <w:p w14:paraId="23427362" w14:textId="77777777" w:rsidR="00EE4371" w:rsidRDefault="00EE4371" w:rsidP="002F3FF8">
      <w:pPr>
        <w:spacing w:line="240" w:lineRule="auto"/>
        <w:rPr>
          <w:rFonts w:asciiTheme="majorBidi" w:hAnsiTheme="majorBidi" w:cstheme="majorBidi"/>
          <w:i/>
          <w:iCs/>
          <w:sz w:val="18"/>
          <w:szCs w:val="18"/>
        </w:rPr>
      </w:pPr>
    </w:p>
    <w:p w14:paraId="2EE30B15" w14:textId="77777777" w:rsidR="00EE4371" w:rsidRDefault="00EE4371" w:rsidP="002F3FF8">
      <w:pPr>
        <w:spacing w:line="240" w:lineRule="auto"/>
        <w:rPr>
          <w:rFonts w:asciiTheme="majorBidi" w:hAnsiTheme="majorBidi" w:cstheme="majorBidi"/>
          <w:i/>
          <w:iCs/>
          <w:sz w:val="18"/>
          <w:szCs w:val="18"/>
        </w:rPr>
      </w:pPr>
    </w:p>
    <w:p w14:paraId="751526AB" w14:textId="77777777" w:rsidR="00EE4371" w:rsidRDefault="00EE4371" w:rsidP="002F3FF8">
      <w:pPr>
        <w:spacing w:line="240" w:lineRule="auto"/>
        <w:rPr>
          <w:rFonts w:asciiTheme="majorBidi" w:hAnsiTheme="majorBidi" w:cstheme="majorBidi"/>
          <w:i/>
          <w:iCs/>
          <w:sz w:val="18"/>
          <w:szCs w:val="18"/>
        </w:rPr>
      </w:pPr>
    </w:p>
    <w:p w14:paraId="34B78DBE" w14:textId="77777777" w:rsidR="00EE4371" w:rsidRPr="002F3FF8" w:rsidRDefault="00EE4371" w:rsidP="002F3FF8">
      <w:pPr>
        <w:spacing w:line="240" w:lineRule="auto"/>
        <w:rPr>
          <w:rFonts w:asciiTheme="majorBidi" w:hAnsiTheme="majorBidi" w:cstheme="majorBidi"/>
          <w:i/>
          <w:iCs/>
          <w:sz w:val="18"/>
          <w:szCs w:val="18"/>
        </w:rPr>
      </w:pPr>
    </w:p>
    <w:p w14:paraId="7F1998AA" w14:textId="77777777" w:rsidR="00231260" w:rsidRDefault="00000000">
      <w:pPr>
        <w:pStyle w:val="Caption"/>
        <w:keepNext/>
        <w:spacing w:after="60" w:line="480" w:lineRule="auto"/>
        <w:jc w:val="both"/>
        <w:rPr>
          <w:rFonts w:asciiTheme="majorBidi" w:hAnsiTheme="majorBidi" w:cstheme="majorBidi"/>
          <w:b w:val="0"/>
          <w:bCs w:val="0"/>
          <w:i w:val="0"/>
          <w:iCs/>
          <w:color w:val="000000" w:themeColor="text1"/>
          <w:sz w:val="24"/>
          <w:szCs w:val="24"/>
        </w:rPr>
      </w:pPr>
      <w:bookmarkStart w:id="3" w:name="recurrence-testing-and-reasoned-closure"/>
      <w:bookmarkEnd w:id="2"/>
      <w:r>
        <w:rPr>
          <w:rFonts w:asciiTheme="majorBidi" w:hAnsiTheme="majorBidi" w:cstheme="majorBidi"/>
          <w:i w:val="0"/>
          <w:iCs/>
          <w:color w:val="000000" w:themeColor="text1"/>
          <w:sz w:val="24"/>
          <w:szCs w:val="24"/>
        </w:rPr>
        <w:lastRenderedPageBreak/>
        <w:t>Table 3</w:t>
      </w:r>
      <w:r>
        <w:rPr>
          <w:rFonts w:asciiTheme="majorBidi" w:hAnsiTheme="majorBidi" w:cstheme="majorBidi"/>
          <w:b w:val="0"/>
          <w:bCs w:val="0"/>
          <w:i w:val="0"/>
          <w:iCs/>
          <w:color w:val="000000" w:themeColor="text1"/>
          <w:sz w:val="24"/>
          <w:szCs w:val="24"/>
        </w:rPr>
        <w:t>. Five-Stage Post-Notice Rectification Test</w:t>
      </w:r>
    </w:p>
    <w:tbl>
      <w:tblPr>
        <w:tblStyle w:val="TableGrid"/>
        <w:tblW w:w="0" w:type="auto"/>
        <w:jc w:val="center"/>
        <w:tblLook w:val="04A0" w:firstRow="1" w:lastRow="0" w:firstColumn="1" w:lastColumn="0" w:noHBand="0" w:noVBand="1"/>
      </w:tblPr>
      <w:tblGrid>
        <w:gridCol w:w="2689"/>
        <w:gridCol w:w="3540"/>
        <w:gridCol w:w="3121"/>
      </w:tblGrid>
      <w:tr w:rsidR="00231260" w14:paraId="23B1F7F8" w14:textId="77777777">
        <w:trPr>
          <w:cantSplit/>
          <w:tblHeader/>
          <w:jc w:val="center"/>
        </w:trPr>
        <w:tc>
          <w:tcPr>
            <w:tcW w:w="2689" w:type="dxa"/>
            <w:vAlign w:val="center"/>
          </w:tcPr>
          <w:p w14:paraId="14029B43"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Stage</w:t>
            </w:r>
          </w:p>
        </w:tc>
        <w:tc>
          <w:tcPr>
            <w:tcW w:w="3540" w:type="dxa"/>
            <w:vAlign w:val="center"/>
          </w:tcPr>
          <w:p w14:paraId="430B033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Required inquiry and action</w:t>
            </w:r>
          </w:p>
        </w:tc>
        <w:tc>
          <w:tcPr>
            <w:tcW w:w="3121" w:type="dxa"/>
            <w:vAlign w:val="center"/>
          </w:tcPr>
          <w:p w14:paraId="18879027"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b/>
                <w:sz w:val="18"/>
                <w:szCs w:val="20"/>
              </w:rPr>
              <w:t>Human-rights function, record and legal character</w:t>
            </w:r>
          </w:p>
        </w:tc>
      </w:tr>
      <w:tr w:rsidR="00231260" w14:paraId="5C88E4C1" w14:textId="77777777">
        <w:trPr>
          <w:cantSplit/>
          <w:jc w:val="center"/>
        </w:trPr>
        <w:tc>
          <w:tcPr>
            <w:tcW w:w="2689" w:type="dxa"/>
            <w:vAlign w:val="center"/>
          </w:tcPr>
          <w:p w14:paraId="7D82A9B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Notice and containment</w:t>
            </w:r>
          </w:p>
        </w:tc>
        <w:tc>
          <w:tcPr>
            <w:tcW w:w="3540" w:type="dxa"/>
            <w:vAlign w:val="center"/>
          </w:tcPr>
          <w:p w14:paraId="18B62D19"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 xml:space="preserve">Identify the person, proposition, workflow, </w:t>
            </w:r>
            <w:r>
              <w:rPr>
                <w:rFonts w:asciiTheme="majorBidi" w:hAnsiTheme="majorBidi" w:cstheme="majorBidi"/>
                <w:i/>
                <w:iCs/>
                <w:sz w:val="18"/>
                <w:szCs w:val="20"/>
              </w:rPr>
              <w:t>prima facie</w:t>
            </w:r>
            <w:r>
              <w:rPr>
                <w:rFonts w:asciiTheme="majorBidi" w:hAnsiTheme="majorBidi" w:cstheme="majorBidi"/>
                <w:sz w:val="18"/>
                <w:szCs w:val="20"/>
              </w:rPr>
              <w:t xml:space="preserve"> contradiction and continuing risk; preserve evidence and use a narrowly tailored interim restriction where justified.</w:t>
            </w:r>
          </w:p>
        </w:tc>
        <w:tc>
          <w:tcPr>
            <w:tcW w:w="3121" w:type="dxa"/>
            <w:vAlign w:val="center"/>
          </w:tcPr>
          <w:p w14:paraId="1FECDA8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Access and cessation. Express legal duties, supplemented by interpretive interim containment.</w:t>
            </w:r>
          </w:p>
        </w:tc>
      </w:tr>
      <w:tr w:rsidR="00231260" w14:paraId="0B27B1AF" w14:textId="77777777">
        <w:trPr>
          <w:cantSplit/>
          <w:jc w:val="center"/>
        </w:trPr>
        <w:tc>
          <w:tcPr>
            <w:tcW w:w="2689" w:type="dxa"/>
            <w:vAlign w:val="center"/>
          </w:tcPr>
          <w:p w14:paraId="0ABCAD4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Determination and mapping</w:t>
            </w:r>
          </w:p>
        </w:tc>
        <w:tc>
          <w:tcPr>
            <w:tcW w:w="3540" w:type="dxa"/>
            <w:vAlign w:val="center"/>
          </w:tcPr>
          <w:p w14:paraId="035095F3"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Determine accuracy and identify reasonably identifiable nodes at which the proposition was stored, transmitted, transformed or materially used.</w:t>
            </w:r>
          </w:p>
        </w:tc>
        <w:tc>
          <w:tcPr>
            <w:tcW w:w="3121" w:type="dxa"/>
            <w:vAlign w:val="center"/>
          </w:tcPr>
          <w:p w14:paraId="4595493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Reasoned finding and bounded map. Interpretive application of accuracy, rectification, accountability and design duties.</w:t>
            </w:r>
          </w:p>
        </w:tc>
      </w:tr>
      <w:tr w:rsidR="00231260" w14:paraId="173B8ED6" w14:textId="77777777">
        <w:trPr>
          <w:cantSplit/>
          <w:jc w:val="center"/>
        </w:trPr>
        <w:tc>
          <w:tcPr>
            <w:tcW w:w="2689" w:type="dxa"/>
            <w:vAlign w:val="center"/>
          </w:tcPr>
          <w:p w14:paraId="0CD84F1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Allocation and correction</w:t>
            </w:r>
          </w:p>
        </w:tc>
        <w:tc>
          <w:tcPr>
            <w:tcW w:w="3540" w:type="dxa"/>
            <w:vAlign w:val="center"/>
          </w:tcPr>
          <w:p w14:paraId="615F920D"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Assign each node to the responsible actor and implement node-specific correction, restriction, or processor assistance.</w:t>
            </w:r>
          </w:p>
        </w:tc>
        <w:tc>
          <w:tcPr>
            <w:tcW w:w="3121" w:type="dxa"/>
            <w:vAlign w:val="center"/>
          </w:tcPr>
          <w:p w14:paraId="2A72F55C"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Actor-node allocation and action record. Express duties are allocated by operation; coordination safeguards are partly proposed.</w:t>
            </w:r>
          </w:p>
        </w:tc>
      </w:tr>
      <w:tr w:rsidR="00231260" w14:paraId="214BC2DE" w14:textId="77777777">
        <w:trPr>
          <w:cantSplit/>
          <w:jc w:val="center"/>
        </w:trPr>
        <w:tc>
          <w:tcPr>
            <w:tcW w:w="2689" w:type="dxa"/>
            <w:vAlign w:val="center"/>
          </w:tcPr>
          <w:p w14:paraId="62E354FF"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Recipients and decisions</w:t>
            </w:r>
          </w:p>
        </w:tc>
        <w:tc>
          <w:tcPr>
            <w:tcW w:w="3540" w:type="dxa"/>
            <w:vAlign w:val="center"/>
          </w:tcPr>
          <w:p w14:paraId="4640AFC0"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Fulfil applicable recipient-communication duties and investigate whether the false data materially affected an assessment or outcome.</w:t>
            </w:r>
          </w:p>
        </w:tc>
        <w:tc>
          <w:tcPr>
            <w:tcW w:w="3121" w:type="dxa"/>
            <w:vAlign w:val="center"/>
          </w:tcPr>
          <w:p w14:paraId="3AA32EEB"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Article 19 communication and reliance assessment. Decision consequences depend on Article 22 and applicable law.</w:t>
            </w:r>
          </w:p>
        </w:tc>
      </w:tr>
      <w:tr w:rsidR="00231260" w14:paraId="5DAAC040" w14:textId="77777777">
        <w:trPr>
          <w:cantSplit/>
          <w:jc w:val="center"/>
        </w:trPr>
        <w:tc>
          <w:tcPr>
            <w:tcW w:w="2689" w:type="dxa"/>
            <w:vAlign w:val="center"/>
          </w:tcPr>
          <w:p w14:paraId="727F7BCA"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Testing and closure</w:t>
            </w:r>
          </w:p>
        </w:tc>
        <w:tc>
          <w:tcPr>
            <w:tcW w:w="3540" w:type="dxa"/>
            <w:vAlign w:val="center"/>
          </w:tcPr>
          <w:p w14:paraId="1FBCD69E"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Test semantic, cascading and temporal recurrence; explain remedial reach, limits, residual risk and the route to renewed review where available under applicable law.</w:t>
            </w:r>
          </w:p>
        </w:tc>
        <w:tc>
          <w:tcPr>
            <w:tcW w:w="3121" w:type="dxa"/>
            <w:vAlign w:val="center"/>
          </w:tcPr>
          <w:p w14:paraId="2A8223F9" w14:textId="77777777" w:rsidR="00231260" w:rsidRDefault="00000000">
            <w:pPr>
              <w:spacing w:after="40" w:line="480" w:lineRule="auto"/>
              <w:rPr>
                <w:rFonts w:asciiTheme="majorBidi" w:hAnsiTheme="majorBidi" w:cstheme="majorBidi"/>
                <w:sz w:val="20"/>
                <w:szCs w:val="20"/>
              </w:rPr>
            </w:pPr>
            <w:r>
              <w:rPr>
                <w:rFonts w:asciiTheme="majorBidi" w:hAnsiTheme="majorBidi" w:cstheme="majorBidi"/>
                <w:sz w:val="18"/>
                <w:szCs w:val="20"/>
              </w:rPr>
              <w:t>Implementation and non-recurrence. Correction provenance and dated tests are proposed evidentiary safeguards.</w:t>
            </w:r>
          </w:p>
        </w:tc>
      </w:tr>
    </w:tbl>
    <w:p w14:paraId="7A9E4B50" w14:textId="77777777" w:rsidR="00231260" w:rsidRDefault="00000000" w:rsidP="00EE4371">
      <w:pPr>
        <w:spacing w:line="240" w:lineRule="auto"/>
        <w:rPr>
          <w:rFonts w:asciiTheme="majorBidi" w:hAnsiTheme="majorBidi" w:cstheme="majorBidi"/>
          <w:i/>
          <w:iCs/>
          <w:sz w:val="18"/>
          <w:szCs w:val="18"/>
        </w:rPr>
      </w:pPr>
      <w:r w:rsidRPr="00477409">
        <w:rPr>
          <w:rFonts w:asciiTheme="majorBidi" w:hAnsiTheme="majorBidi" w:cstheme="majorBidi"/>
          <w:b/>
          <w:bCs/>
          <w:i/>
          <w:iCs/>
          <w:sz w:val="18"/>
          <w:szCs w:val="18"/>
        </w:rPr>
        <w:t>Source:</w:t>
      </w:r>
      <w:r w:rsidRPr="00EE4371">
        <w:rPr>
          <w:rFonts w:asciiTheme="majorBidi" w:hAnsiTheme="majorBidi" w:cstheme="majorBidi"/>
          <w:i/>
          <w:iCs/>
          <w:sz w:val="18"/>
          <w:szCs w:val="18"/>
        </w:rPr>
        <w:t xml:space="preserve"> Authors’ synthesis of the five remedial functions outlined in Section 3.2, together with the international, regional and domestic legal authorities cited across Sections 3–5.</w:t>
      </w:r>
    </w:p>
    <w:p w14:paraId="03090A8A" w14:textId="77777777" w:rsidR="00EE4371" w:rsidRDefault="00EE4371" w:rsidP="00EE4371">
      <w:pPr>
        <w:spacing w:line="240" w:lineRule="auto"/>
        <w:rPr>
          <w:rFonts w:asciiTheme="majorBidi" w:hAnsiTheme="majorBidi" w:cstheme="majorBidi"/>
          <w:i/>
          <w:iCs/>
          <w:sz w:val="18"/>
          <w:szCs w:val="18"/>
        </w:rPr>
      </w:pPr>
    </w:p>
    <w:p w14:paraId="53C76E5E" w14:textId="77777777" w:rsidR="00EE4371" w:rsidRDefault="00EE4371" w:rsidP="00EE4371">
      <w:pPr>
        <w:spacing w:line="240" w:lineRule="auto"/>
        <w:rPr>
          <w:rFonts w:asciiTheme="majorBidi" w:hAnsiTheme="majorBidi" w:cstheme="majorBidi"/>
          <w:i/>
          <w:iCs/>
          <w:sz w:val="18"/>
          <w:szCs w:val="18"/>
        </w:rPr>
      </w:pPr>
    </w:p>
    <w:p w14:paraId="0C63C9CD" w14:textId="77777777" w:rsidR="00EE4371" w:rsidRDefault="00EE4371" w:rsidP="00EE4371">
      <w:pPr>
        <w:spacing w:line="240" w:lineRule="auto"/>
        <w:rPr>
          <w:rFonts w:asciiTheme="majorBidi" w:hAnsiTheme="majorBidi" w:cstheme="majorBidi"/>
          <w:i/>
          <w:iCs/>
          <w:sz w:val="18"/>
          <w:szCs w:val="18"/>
        </w:rPr>
      </w:pPr>
    </w:p>
    <w:p w14:paraId="4FEFAFB9" w14:textId="77777777" w:rsidR="00EE4371" w:rsidRDefault="00EE4371" w:rsidP="00EE4371">
      <w:pPr>
        <w:spacing w:line="240" w:lineRule="auto"/>
        <w:rPr>
          <w:rFonts w:asciiTheme="majorBidi" w:hAnsiTheme="majorBidi" w:cstheme="majorBidi"/>
          <w:i/>
          <w:iCs/>
          <w:sz w:val="18"/>
          <w:szCs w:val="18"/>
        </w:rPr>
      </w:pPr>
    </w:p>
    <w:p w14:paraId="2DE7DD0B" w14:textId="77777777" w:rsidR="00EE4371" w:rsidRDefault="00EE4371" w:rsidP="00EE4371">
      <w:pPr>
        <w:spacing w:line="240" w:lineRule="auto"/>
        <w:rPr>
          <w:rFonts w:asciiTheme="majorBidi" w:hAnsiTheme="majorBidi" w:cstheme="majorBidi"/>
          <w:i/>
          <w:iCs/>
          <w:sz w:val="18"/>
          <w:szCs w:val="18"/>
        </w:rPr>
      </w:pPr>
    </w:p>
    <w:p w14:paraId="3A1DF223" w14:textId="77777777" w:rsidR="00EE4371" w:rsidRDefault="00EE4371" w:rsidP="00EE4371">
      <w:pPr>
        <w:spacing w:line="240" w:lineRule="auto"/>
        <w:rPr>
          <w:rFonts w:asciiTheme="majorBidi" w:hAnsiTheme="majorBidi" w:cstheme="majorBidi"/>
          <w:i/>
          <w:iCs/>
          <w:sz w:val="18"/>
          <w:szCs w:val="18"/>
        </w:rPr>
      </w:pPr>
    </w:p>
    <w:p w14:paraId="5617B265" w14:textId="77777777" w:rsidR="00EE4371" w:rsidRDefault="00EE4371" w:rsidP="00EE4371">
      <w:pPr>
        <w:spacing w:line="240" w:lineRule="auto"/>
        <w:rPr>
          <w:rFonts w:asciiTheme="majorBidi" w:hAnsiTheme="majorBidi" w:cstheme="majorBidi"/>
          <w:i/>
          <w:iCs/>
          <w:sz w:val="18"/>
          <w:szCs w:val="18"/>
        </w:rPr>
      </w:pPr>
    </w:p>
    <w:p w14:paraId="45097595" w14:textId="77777777" w:rsidR="00EE4371" w:rsidRPr="00EE4371" w:rsidRDefault="00EE4371" w:rsidP="00EE4371">
      <w:pPr>
        <w:spacing w:line="240" w:lineRule="auto"/>
        <w:rPr>
          <w:rFonts w:asciiTheme="majorBidi" w:hAnsiTheme="majorBidi" w:cstheme="majorBidi"/>
          <w:i/>
          <w:iCs/>
          <w:sz w:val="18"/>
          <w:szCs w:val="18"/>
        </w:rPr>
      </w:pPr>
    </w:p>
    <w:p w14:paraId="7EF9F26B" w14:textId="77777777" w:rsidR="00231260" w:rsidRDefault="00000000">
      <w:pPr>
        <w:pStyle w:val="Caption"/>
        <w:keepNext/>
        <w:spacing w:after="60" w:line="480" w:lineRule="auto"/>
        <w:jc w:val="both"/>
        <w:rPr>
          <w:rFonts w:asciiTheme="majorBidi" w:hAnsiTheme="majorBidi" w:cstheme="majorBidi"/>
          <w:b w:val="0"/>
          <w:bCs w:val="0"/>
          <w:i w:val="0"/>
          <w:iCs/>
          <w:color w:val="000000" w:themeColor="text1"/>
          <w:sz w:val="24"/>
          <w:szCs w:val="24"/>
        </w:rPr>
      </w:pPr>
      <w:bookmarkStart w:id="4" w:name="application-proportionality-and-limits"/>
      <w:bookmarkStart w:id="5" w:name="X84fe2d6637a0310928f53da0894a33497edd584"/>
      <w:bookmarkEnd w:id="1"/>
      <w:bookmarkEnd w:id="3"/>
      <w:r>
        <w:rPr>
          <w:rFonts w:asciiTheme="majorBidi" w:hAnsiTheme="majorBidi" w:cstheme="majorBidi"/>
          <w:i w:val="0"/>
          <w:iCs/>
          <w:color w:val="000000" w:themeColor="text1"/>
          <w:sz w:val="24"/>
          <w:szCs w:val="24"/>
        </w:rPr>
        <w:lastRenderedPageBreak/>
        <w:t>Table 4.</w:t>
      </w:r>
      <w:r>
        <w:rPr>
          <w:rFonts w:asciiTheme="majorBidi" w:hAnsiTheme="majorBidi" w:cstheme="majorBidi"/>
          <w:b w:val="0"/>
          <w:bCs w:val="0"/>
          <w:i w:val="0"/>
          <w:iCs/>
          <w:color w:val="000000" w:themeColor="text1"/>
          <w:sz w:val="24"/>
          <w:szCs w:val="24"/>
        </w:rPr>
        <w:t xml:space="preserve"> Illustrative Six-Node Correction-Provenance Record</w:t>
      </w:r>
    </w:p>
    <w:tbl>
      <w:tblPr>
        <w:tblStyle w:val="TableGrid"/>
        <w:tblW w:w="0" w:type="auto"/>
        <w:jc w:val="center"/>
        <w:tblLook w:val="04A0" w:firstRow="1" w:lastRow="0" w:firstColumn="1" w:lastColumn="0" w:noHBand="0" w:noVBand="1"/>
      </w:tblPr>
      <w:tblGrid>
        <w:gridCol w:w="2830"/>
        <w:gridCol w:w="3403"/>
        <w:gridCol w:w="3117"/>
      </w:tblGrid>
      <w:tr w:rsidR="00231260" w14:paraId="16825CF8" w14:textId="77777777">
        <w:trPr>
          <w:cantSplit/>
          <w:tblHeader/>
          <w:jc w:val="center"/>
        </w:trPr>
        <w:tc>
          <w:tcPr>
            <w:tcW w:w="2830" w:type="dxa"/>
          </w:tcPr>
          <w:p w14:paraId="55D5DDB8" w14:textId="77777777" w:rsidR="00231260" w:rsidRDefault="00000000">
            <w:pPr>
              <w:spacing w:after="40" w:line="480" w:lineRule="auto"/>
              <w:rPr>
                <w:rFonts w:asciiTheme="majorBidi" w:hAnsiTheme="majorBidi" w:cstheme="majorBidi"/>
                <w:b/>
                <w:bCs/>
                <w:sz w:val="18"/>
                <w:szCs w:val="18"/>
              </w:rPr>
            </w:pPr>
            <w:r>
              <w:rPr>
                <w:rFonts w:asciiTheme="majorBidi" w:hAnsiTheme="majorBidi" w:cstheme="majorBidi"/>
                <w:b/>
                <w:bCs/>
                <w:sz w:val="18"/>
                <w:szCs w:val="18"/>
              </w:rPr>
              <w:t>Node and responsible operation</w:t>
            </w:r>
          </w:p>
        </w:tc>
        <w:tc>
          <w:tcPr>
            <w:tcW w:w="3403" w:type="dxa"/>
          </w:tcPr>
          <w:p w14:paraId="08A7B696" w14:textId="77777777" w:rsidR="00231260" w:rsidRDefault="00000000">
            <w:pPr>
              <w:spacing w:after="40" w:line="480" w:lineRule="auto"/>
              <w:rPr>
                <w:rFonts w:asciiTheme="majorBidi" w:hAnsiTheme="majorBidi" w:cstheme="majorBidi"/>
                <w:b/>
                <w:bCs/>
                <w:sz w:val="18"/>
                <w:szCs w:val="18"/>
              </w:rPr>
            </w:pPr>
            <w:r>
              <w:rPr>
                <w:rFonts w:asciiTheme="majorBidi" w:hAnsiTheme="majorBidi" w:cstheme="majorBidi"/>
                <w:b/>
                <w:bCs/>
                <w:sz w:val="18"/>
                <w:szCs w:val="18"/>
              </w:rPr>
              <w:t>Node-specific response</w:t>
            </w:r>
          </w:p>
        </w:tc>
        <w:tc>
          <w:tcPr>
            <w:tcW w:w="3117" w:type="dxa"/>
          </w:tcPr>
          <w:p w14:paraId="25144AB2" w14:textId="77777777" w:rsidR="00231260" w:rsidRDefault="00000000">
            <w:pPr>
              <w:spacing w:after="40" w:line="480" w:lineRule="auto"/>
              <w:rPr>
                <w:rFonts w:asciiTheme="majorBidi" w:hAnsiTheme="majorBidi" w:cstheme="majorBidi"/>
                <w:b/>
                <w:bCs/>
                <w:sz w:val="18"/>
                <w:szCs w:val="18"/>
              </w:rPr>
            </w:pPr>
            <w:r>
              <w:rPr>
                <w:rFonts w:asciiTheme="majorBidi" w:hAnsiTheme="majorBidi" w:cstheme="majorBidi"/>
                <w:b/>
                <w:bCs/>
                <w:sz w:val="18"/>
                <w:szCs w:val="18"/>
              </w:rPr>
              <w:t>Evidence and closure status</w:t>
            </w:r>
          </w:p>
        </w:tc>
      </w:tr>
      <w:tr w:rsidR="00231260" w14:paraId="64B5F856" w14:textId="77777777">
        <w:trPr>
          <w:cantSplit/>
          <w:jc w:val="center"/>
        </w:trPr>
        <w:tc>
          <w:tcPr>
            <w:tcW w:w="2830" w:type="dxa"/>
          </w:tcPr>
          <w:p w14:paraId="22354274" w14:textId="0F93FFC4" w:rsidR="00231260" w:rsidRDefault="00E8124C">
            <w:pPr>
              <w:spacing w:after="40" w:line="480" w:lineRule="auto"/>
              <w:rPr>
                <w:rFonts w:asciiTheme="majorBidi" w:hAnsiTheme="majorBidi" w:cstheme="majorBidi"/>
                <w:sz w:val="18"/>
                <w:szCs w:val="18"/>
              </w:rPr>
            </w:pPr>
            <w:r w:rsidRPr="00E8124C">
              <w:rPr>
                <w:rFonts w:asciiTheme="majorBidi" w:hAnsiTheme="majorBidi" w:cstheme="majorBidi"/>
                <w:sz w:val="18"/>
                <w:szCs w:val="18"/>
              </w:rPr>
              <w:t>Generated output: originating provider</w:t>
            </w:r>
          </w:p>
        </w:tc>
        <w:tc>
          <w:tcPr>
            <w:tcW w:w="3403" w:type="dxa"/>
          </w:tcPr>
          <w:p w14:paraId="704323FF"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Correct or suppress the reported answer and preserve the incident record.</w:t>
            </w:r>
          </w:p>
        </w:tc>
        <w:tc>
          <w:tcPr>
            <w:tcW w:w="3117" w:type="dxa"/>
          </w:tcPr>
          <w:p w14:paraId="5AC8CEE4"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Corrected output, incident identifier and dated implementation log.</w:t>
            </w:r>
          </w:p>
        </w:tc>
      </w:tr>
      <w:tr w:rsidR="00231260" w14:paraId="7773C76C" w14:textId="77777777">
        <w:trPr>
          <w:cantSplit/>
          <w:jc w:val="center"/>
        </w:trPr>
        <w:tc>
          <w:tcPr>
            <w:tcW w:w="2830" w:type="dxa"/>
          </w:tcPr>
          <w:p w14:paraId="3404F095" w14:textId="5454F915" w:rsidR="00231260" w:rsidRDefault="00E8124C">
            <w:pPr>
              <w:spacing w:after="40" w:line="480" w:lineRule="auto"/>
              <w:rPr>
                <w:rFonts w:asciiTheme="majorBidi" w:hAnsiTheme="majorBidi" w:cstheme="majorBidi"/>
                <w:sz w:val="18"/>
                <w:szCs w:val="18"/>
              </w:rPr>
            </w:pPr>
            <w:r w:rsidRPr="00E8124C">
              <w:rPr>
                <w:rFonts w:asciiTheme="majorBidi" w:hAnsiTheme="majorBidi" w:cstheme="majorBidi"/>
                <w:sz w:val="18"/>
                <w:szCs w:val="18"/>
              </w:rPr>
              <w:t>Service-side memory: originating provider</w:t>
            </w:r>
          </w:p>
        </w:tc>
        <w:tc>
          <w:tcPr>
            <w:tcW w:w="3403" w:type="dxa"/>
          </w:tcPr>
          <w:p w14:paraId="3C8E48D7"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Invalidate or amend the memory item and prevent routine retrieval of the fabricated proposition.</w:t>
            </w:r>
          </w:p>
        </w:tc>
        <w:tc>
          <w:tcPr>
            <w:tcW w:w="3117" w:type="dxa"/>
          </w:tcPr>
          <w:p w14:paraId="398D293C"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Memory event record and fresh-session tests; status: corrected or residual risk explained.</w:t>
            </w:r>
          </w:p>
        </w:tc>
      </w:tr>
      <w:tr w:rsidR="00231260" w14:paraId="7B9CDDAF" w14:textId="77777777">
        <w:trPr>
          <w:cantSplit/>
          <w:jc w:val="center"/>
        </w:trPr>
        <w:tc>
          <w:tcPr>
            <w:tcW w:w="2830" w:type="dxa"/>
          </w:tcPr>
          <w:p w14:paraId="2FB67844" w14:textId="7EDB1B2C" w:rsidR="00231260" w:rsidRDefault="00E8124C">
            <w:pPr>
              <w:spacing w:after="40" w:line="480" w:lineRule="auto"/>
              <w:rPr>
                <w:rFonts w:asciiTheme="majorBidi" w:hAnsiTheme="majorBidi" w:cstheme="majorBidi"/>
                <w:sz w:val="18"/>
                <w:szCs w:val="18"/>
              </w:rPr>
            </w:pPr>
            <w:r w:rsidRPr="00E8124C">
              <w:rPr>
                <w:rFonts w:asciiTheme="majorBidi" w:hAnsiTheme="majorBidi" w:cstheme="majorBidi"/>
                <w:sz w:val="18"/>
                <w:szCs w:val="18"/>
              </w:rPr>
              <w:t>Retrieval index: actor responsible for the retrieval or indexing operation</w:t>
            </w:r>
          </w:p>
        </w:tc>
        <w:tc>
          <w:tcPr>
            <w:tcW w:w="3403" w:type="dxa"/>
          </w:tcPr>
          <w:p w14:paraId="06309043"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Correct, qualify or exclude the source or indexed entry responsible for the false status.</w:t>
            </w:r>
          </w:p>
        </w:tc>
        <w:tc>
          <w:tcPr>
            <w:tcW w:w="3117" w:type="dxa"/>
          </w:tcPr>
          <w:p w14:paraId="101B1FBA"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Index update, retrieval trace and tests using ordinary variants of the person’s name.</w:t>
            </w:r>
          </w:p>
        </w:tc>
      </w:tr>
      <w:tr w:rsidR="00231260" w14:paraId="3113B222" w14:textId="77777777">
        <w:trPr>
          <w:cantSplit/>
          <w:jc w:val="center"/>
        </w:trPr>
        <w:tc>
          <w:tcPr>
            <w:tcW w:w="2830" w:type="dxa"/>
          </w:tcPr>
          <w:p w14:paraId="4BF18ED7" w14:textId="772055CD" w:rsidR="00231260" w:rsidRDefault="00E8124C">
            <w:pPr>
              <w:spacing w:after="40" w:line="480" w:lineRule="auto"/>
              <w:rPr>
                <w:rFonts w:asciiTheme="majorBidi" w:hAnsiTheme="majorBidi" w:cstheme="majorBidi"/>
                <w:sz w:val="18"/>
                <w:szCs w:val="18"/>
              </w:rPr>
            </w:pPr>
            <w:r w:rsidRPr="00E8124C">
              <w:rPr>
                <w:rFonts w:asciiTheme="majorBidi" w:hAnsiTheme="majorBidi" w:cstheme="majorBidi"/>
                <w:sz w:val="18"/>
                <w:szCs w:val="18"/>
              </w:rPr>
              <w:t>API disclosure: originating provider; known recipient assessed separately for its own processing</w:t>
            </w:r>
          </w:p>
        </w:tc>
        <w:tc>
          <w:tcPr>
            <w:tcW w:w="3403" w:type="dxa"/>
          </w:tcPr>
          <w:p w14:paraId="0D01A926"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Communicate rectification under applicable recipient-notification duty and preserve delivery evidence.</w:t>
            </w:r>
          </w:p>
        </w:tc>
        <w:tc>
          <w:tcPr>
            <w:tcW w:w="3117" w:type="dxa"/>
          </w:tcPr>
          <w:p w14:paraId="13C2BE85"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Recipient identity, notice date and a status such as sent, received, matched or failed.</w:t>
            </w:r>
          </w:p>
        </w:tc>
      </w:tr>
      <w:tr w:rsidR="00231260" w14:paraId="13771181" w14:textId="77777777">
        <w:trPr>
          <w:cantSplit/>
          <w:jc w:val="center"/>
        </w:trPr>
        <w:tc>
          <w:tcPr>
            <w:tcW w:w="2830" w:type="dxa"/>
          </w:tcPr>
          <w:p w14:paraId="5BA59692" w14:textId="2553199C" w:rsidR="00231260" w:rsidRDefault="00E8124C">
            <w:pPr>
              <w:spacing w:after="40" w:line="480" w:lineRule="auto"/>
              <w:rPr>
                <w:rFonts w:asciiTheme="majorBidi" w:hAnsiTheme="majorBidi" w:cstheme="majorBidi"/>
                <w:sz w:val="18"/>
                <w:szCs w:val="18"/>
              </w:rPr>
            </w:pPr>
            <w:r w:rsidRPr="00E8124C">
              <w:rPr>
                <w:rFonts w:asciiTheme="majorBidi" w:hAnsiTheme="majorBidi" w:cstheme="majorBidi"/>
                <w:sz w:val="18"/>
                <w:szCs w:val="18"/>
              </w:rPr>
              <w:t>Downstream risk field: downstream controller</w:t>
            </w:r>
          </w:p>
        </w:tc>
        <w:tc>
          <w:tcPr>
            <w:tcW w:w="3403" w:type="dxa"/>
          </w:tcPr>
          <w:p w14:paraId="7A8E3F2B"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Remove or qualify the criminal-risk field and identify uses of the field in screening or assessment.</w:t>
            </w:r>
          </w:p>
        </w:tc>
        <w:tc>
          <w:tcPr>
            <w:tcW w:w="3117" w:type="dxa"/>
          </w:tcPr>
          <w:p w14:paraId="3E1A568C"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Database audit, corrected field and documented reliance investigation.</w:t>
            </w:r>
          </w:p>
        </w:tc>
      </w:tr>
      <w:tr w:rsidR="00231260" w14:paraId="7AE321ED" w14:textId="77777777">
        <w:trPr>
          <w:cantSplit/>
          <w:jc w:val="center"/>
        </w:trPr>
        <w:tc>
          <w:tcPr>
            <w:tcW w:w="2830" w:type="dxa"/>
          </w:tcPr>
          <w:p w14:paraId="59E730C4" w14:textId="7CA34870" w:rsidR="00231260" w:rsidRDefault="006C24E4">
            <w:pPr>
              <w:spacing w:after="40" w:line="480" w:lineRule="auto"/>
              <w:rPr>
                <w:rFonts w:asciiTheme="majorBidi" w:hAnsiTheme="majorBidi" w:cstheme="majorBidi"/>
                <w:sz w:val="18"/>
                <w:szCs w:val="18"/>
              </w:rPr>
            </w:pPr>
            <w:r w:rsidRPr="006C24E4">
              <w:rPr>
                <w:rFonts w:asciiTheme="majorBidi" w:hAnsiTheme="majorBidi" w:cstheme="majorBidi"/>
                <w:sz w:val="18"/>
                <w:szCs w:val="18"/>
              </w:rPr>
              <w:t>Consequential decision: decision controller</w:t>
            </w:r>
          </w:p>
        </w:tc>
        <w:tc>
          <w:tcPr>
            <w:tcW w:w="3403" w:type="dxa"/>
          </w:tcPr>
          <w:p w14:paraId="1546C42B" w14:textId="77777777" w:rsidR="00231260" w:rsidRDefault="00000000">
            <w:pPr>
              <w:spacing w:after="40" w:line="480" w:lineRule="auto"/>
              <w:rPr>
                <w:rFonts w:asciiTheme="majorBidi" w:hAnsiTheme="majorBidi" w:cstheme="majorBidi"/>
                <w:sz w:val="18"/>
                <w:szCs w:val="18"/>
              </w:rPr>
            </w:pPr>
            <w:r>
              <w:rPr>
                <w:rFonts w:asciiTheme="majorBidi" w:hAnsiTheme="majorBidi" w:cstheme="majorBidi"/>
                <w:sz w:val="18"/>
                <w:szCs w:val="18"/>
              </w:rPr>
              <w:t>Reassess or reopen where applicable law permits or requires; otherwise pursue available lawful alternatives proportionate to the harm where the false proposition materially influenced treatment.</w:t>
            </w:r>
          </w:p>
        </w:tc>
        <w:tc>
          <w:tcPr>
            <w:tcW w:w="3117" w:type="dxa"/>
          </w:tcPr>
          <w:p w14:paraId="56E06DDA" w14:textId="10EC9148" w:rsidR="00231260" w:rsidRDefault="00D0758F">
            <w:pPr>
              <w:spacing w:after="40" w:line="480" w:lineRule="auto"/>
              <w:rPr>
                <w:rFonts w:asciiTheme="majorBidi" w:hAnsiTheme="majorBidi" w:cstheme="majorBidi"/>
                <w:sz w:val="18"/>
                <w:szCs w:val="18"/>
              </w:rPr>
            </w:pPr>
            <w:r w:rsidRPr="00D0758F">
              <w:rPr>
                <w:rFonts w:asciiTheme="majorBidi" w:hAnsiTheme="majorBidi" w:cstheme="majorBidi"/>
                <w:sz w:val="18"/>
                <w:szCs w:val="18"/>
              </w:rPr>
              <w:t>Revised decision or a reasoned determination that renewed review is unavailable, with access to supervisory or judicial review preserved where available under applicable law.</w:t>
            </w:r>
          </w:p>
        </w:tc>
      </w:tr>
    </w:tbl>
    <w:p w14:paraId="76998A37" w14:textId="35022098" w:rsidR="00231260" w:rsidRDefault="00000000" w:rsidP="0008069C">
      <w:pPr>
        <w:spacing w:line="240" w:lineRule="auto"/>
        <w:rPr>
          <w:rFonts w:asciiTheme="majorBidi" w:hAnsiTheme="majorBidi" w:cstheme="majorBidi"/>
          <w:i/>
          <w:iCs/>
          <w:sz w:val="18"/>
          <w:szCs w:val="18"/>
        </w:rPr>
      </w:pPr>
      <w:r>
        <w:rPr>
          <w:rFonts w:asciiTheme="majorBidi" w:hAnsiTheme="majorBidi" w:cstheme="majorBidi"/>
          <w:b/>
          <w:bCs/>
          <w:i/>
          <w:iCs/>
          <w:sz w:val="18"/>
          <w:szCs w:val="18"/>
        </w:rPr>
        <w:t xml:space="preserve">Source: </w:t>
      </w:r>
      <w:r>
        <w:rPr>
          <w:rFonts w:asciiTheme="majorBidi" w:hAnsiTheme="majorBidi" w:cstheme="majorBidi"/>
          <w:i/>
          <w:iCs/>
          <w:sz w:val="18"/>
          <w:szCs w:val="18"/>
        </w:rPr>
        <w:t xml:space="preserve">Authors’ application of the propagation-aware rectification framework to the six-node scenario, informed by the factual parameters of </w:t>
      </w:r>
      <w:r w:rsidR="00CD4A9F" w:rsidRPr="00CD4A9F">
        <w:rPr>
          <w:rFonts w:asciiTheme="majorBidi" w:hAnsiTheme="majorBidi" w:cstheme="majorBidi"/>
          <w:i/>
          <w:iCs/>
          <w:sz w:val="18"/>
          <w:szCs w:val="18"/>
        </w:rPr>
        <w:t>the March 2025 Noyb complaint against OpenAI</w:t>
      </w:r>
      <w:r>
        <w:rPr>
          <w:rFonts w:asciiTheme="majorBidi" w:hAnsiTheme="majorBidi" w:cstheme="majorBidi"/>
          <w:i/>
          <w:iCs/>
          <w:sz w:val="18"/>
          <w:szCs w:val="18"/>
        </w:rPr>
        <w:t>.</w:t>
      </w:r>
    </w:p>
    <w:p w14:paraId="7459D371" w14:textId="3753527D" w:rsidR="00BA61ED" w:rsidRPr="00575507" w:rsidRDefault="00BA61ED" w:rsidP="00B4699B">
      <w:pPr>
        <w:pStyle w:val="BodyText"/>
        <w:spacing w:line="480" w:lineRule="auto"/>
        <w:ind w:firstLine="720"/>
      </w:pPr>
      <w:bookmarkStart w:id="6" w:name="conclusion"/>
      <w:bookmarkEnd w:id="4"/>
      <w:bookmarkEnd w:id="5"/>
      <w:bookmarkEnd w:id="6"/>
    </w:p>
    <w:sectPr w:rsidR="00BA61ED" w:rsidRPr="00575507">
      <w:footerReference w:type="default" r:id="rId7"/>
      <w:pgSz w:w="12240" w:h="15840"/>
      <w:pgMar w:top="1440" w:right="1440" w:bottom="1440" w:left="1440" w:header="57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40A8" w14:textId="77777777" w:rsidR="008971F5" w:rsidRDefault="008971F5">
      <w:pPr>
        <w:spacing w:after="0" w:line="240" w:lineRule="auto"/>
      </w:pPr>
      <w:r>
        <w:separator/>
      </w:r>
    </w:p>
  </w:endnote>
  <w:endnote w:type="continuationSeparator" w:id="0">
    <w:p w14:paraId="4B3C4E61" w14:textId="77777777" w:rsidR="008971F5" w:rsidRDefault="0089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182569"/>
      <w:docPartObj>
        <w:docPartGallery w:val="Page Numbers (Bottom of Page)"/>
        <w:docPartUnique/>
      </w:docPartObj>
    </w:sdtPr>
    <w:sdtEndPr>
      <w:rPr>
        <w:noProof/>
      </w:rPr>
    </w:sdtEndPr>
    <w:sdtContent>
      <w:p w14:paraId="4058330C" w14:textId="7D2B0FAA" w:rsidR="00F404A0" w:rsidRDefault="00F40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88FF9D" w14:textId="77777777" w:rsidR="00F404A0" w:rsidRDefault="00F40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1BDF7" w14:textId="77777777" w:rsidR="008971F5" w:rsidRDefault="008971F5">
      <w:pPr>
        <w:spacing w:after="0" w:line="240" w:lineRule="auto"/>
      </w:pPr>
      <w:r>
        <w:separator/>
      </w:r>
    </w:p>
  </w:footnote>
  <w:footnote w:type="continuationSeparator" w:id="0">
    <w:p w14:paraId="5ED77CA5" w14:textId="77777777" w:rsidR="008971F5" w:rsidRDefault="00897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9D5C6E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0" w15:restartNumberingAfterBreak="0">
    <w:nsid w:val="00A99411"/>
    <w:multiLevelType w:val="multilevel"/>
    <w:tmpl w:val="1E2CC2BE"/>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16cid:durableId="1344355496">
    <w:abstractNumId w:val="8"/>
  </w:num>
  <w:num w:numId="2" w16cid:durableId="2088260780">
    <w:abstractNumId w:val="6"/>
  </w:num>
  <w:num w:numId="3" w16cid:durableId="1119686552">
    <w:abstractNumId w:val="5"/>
  </w:num>
  <w:num w:numId="4" w16cid:durableId="1595749441">
    <w:abstractNumId w:val="4"/>
  </w:num>
  <w:num w:numId="5" w16cid:durableId="1295216143">
    <w:abstractNumId w:val="7"/>
  </w:num>
  <w:num w:numId="6" w16cid:durableId="573899698">
    <w:abstractNumId w:val="3"/>
  </w:num>
  <w:num w:numId="7" w16cid:durableId="742723631">
    <w:abstractNumId w:val="2"/>
  </w:num>
  <w:num w:numId="8" w16cid:durableId="1291520805">
    <w:abstractNumId w:val="1"/>
  </w:num>
  <w:num w:numId="9" w16cid:durableId="181670805">
    <w:abstractNumId w:val="0"/>
  </w:num>
  <w:num w:numId="10" w16cid:durableId="454442735">
    <w:abstractNumId w:val="9"/>
  </w:num>
  <w:num w:numId="11" w16cid:durableId="18057321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027130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51"/>
    <w:rsid w:val="00022966"/>
    <w:rsid w:val="00034616"/>
    <w:rsid w:val="000376C2"/>
    <w:rsid w:val="00043B80"/>
    <w:rsid w:val="00046BEB"/>
    <w:rsid w:val="000501EA"/>
    <w:rsid w:val="00053B5E"/>
    <w:rsid w:val="0006063C"/>
    <w:rsid w:val="000713A0"/>
    <w:rsid w:val="0008069C"/>
    <w:rsid w:val="0008763E"/>
    <w:rsid w:val="000902FB"/>
    <w:rsid w:val="00092D64"/>
    <w:rsid w:val="000A78CD"/>
    <w:rsid w:val="000B5FDF"/>
    <w:rsid w:val="000C1072"/>
    <w:rsid w:val="000C293B"/>
    <w:rsid w:val="000D0568"/>
    <w:rsid w:val="000D4D42"/>
    <w:rsid w:val="000E4E15"/>
    <w:rsid w:val="000F4680"/>
    <w:rsid w:val="00126FA7"/>
    <w:rsid w:val="0014141A"/>
    <w:rsid w:val="0015074B"/>
    <w:rsid w:val="001546D9"/>
    <w:rsid w:val="0016438A"/>
    <w:rsid w:val="00175EED"/>
    <w:rsid w:val="0018004D"/>
    <w:rsid w:val="00183A88"/>
    <w:rsid w:val="001B3E66"/>
    <w:rsid w:val="001D6A63"/>
    <w:rsid w:val="001E7A10"/>
    <w:rsid w:val="001F3547"/>
    <w:rsid w:val="00210ED6"/>
    <w:rsid w:val="00211E66"/>
    <w:rsid w:val="0022170E"/>
    <w:rsid w:val="00225DA5"/>
    <w:rsid w:val="00231260"/>
    <w:rsid w:val="00247612"/>
    <w:rsid w:val="00262BD6"/>
    <w:rsid w:val="002828B3"/>
    <w:rsid w:val="00294766"/>
    <w:rsid w:val="0029639D"/>
    <w:rsid w:val="002A736D"/>
    <w:rsid w:val="002B2AC4"/>
    <w:rsid w:val="002C50FE"/>
    <w:rsid w:val="002D02D5"/>
    <w:rsid w:val="002D7D3C"/>
    <w:rsid w:val="002D7EA1"/>
    <w:rsid w:val="002F3FF8"/>
    <w:rsid w:val="00305D17"/>
    <w:rsid w:val="0031419F"/>
    <w:rsid w:val="00323C2D"/>
    <w:rsid w:val="00326F90"/>
    <w:rsid w:val="00334CF9"/>
    <w:rsid w:val="00345070"/>
    <w:rsid w:val="0035147C"/>
    <w:rsid w:val="0036419A"/>
    <w:rsid w:val="0036608F"/>
    <w:rsid w:val="003715F8"/>
    <w:rsid w:val="003731E6"/>
    <w:rsid w:val="00373683"/>
    <w:rsid w:val="00374BAA"/>
    <w:rsid w:val="003979BC"/>
    <w:rsid w:val="003A58A5"/>
    <w:rsid w:val="003A6FB1"/>
    <w:rsid w:val="003B3C77"/>
    <w:rsid w:val="003B786B"/>
    <w:rsid w:val="003D0A92"/>
    <w:rsid w:val="003D5CAC"/>
    <w:rsid w:val="003E0F1A"/>
    <w:rsid w:val="003E0F74"/>
    <w:rsid w:val="003E4F34"/>
    <w:rsid w:val="00410AD7"/>
    <w:rsid w:val="0041122C"/>
    <w:rsid w:val="004118E7"/>
    <w:rsid w:val="004124F1"/>
    <w:rsid w:val="00421F65"/>
    <w:rsid w:val="00433CBC"/>
    <w:rsid w:val="0044171F"/>
    <w:rsid w:val="004537C8"/>
    <w:rsid w:val="004616E7"/>
    <w:rsid w:val="00461A4D"/>
    <w:rsid w:val="00472783"/>
    <w:rsid w:val="0047375D"/>
    <w:rsid w:val="00477409"/>
    <w:rsid w:val="0048231C"/>
    <w:rsid w:val="00491567"/>
    <w:rsid w:val="00495469"/>
    <w:rsid w:val="004B68CD"/>
    <w:rsid w:val="004C3A38"/>
    <w:rsid w:val="004C4718"/>
    <w:rsid w:val="004E2358"/>
    <w:rsid w:val="004F283F"/>
    <w:rsid w:val="004F5C5A"/>
    <w:rsid w:val="004F5E37"/>
    <w:rsid w:val="00513D66"/>
    <w:rsid w:val="0051457F"/>
    <w:rsid w:val="00516401"/>
    <w:rsid w:val="00516958"/>
    <w:rsid w:val="00520336"/>
    <w:rsid w:val="005272AF"/>
    <w:rsid w:val="005342BB"/>
    <w:rsid w:val="0053588E"/>
    <w:rsid w:val="005376E1"/>
    <w:rsid w:val="00537E87"/>
    <w:rsid w:val="005413FA"/>
    <w:rsid w:val="005519B8"/>
    <w:rsid w:val="00554683"/>
    <w:rsid w:val="00563B09"/>
    <w:rsid w:val="00575507"/>
    <w:rsid w:val="005B2704"/>
    <w:rsid w:val="005B3B7E"/>
    <w:rsid w:val="005C3EF0"/>
    <w:rsid w:val="005E5210"/>
    <w:rsid w:val="005E546A"/>
    <w:rsid w:val="00602E38"/>
    <w:rsid w:val="00633D9D"/>
    <w:rsid w:val="00634298"/>
    <w:rsid w:val="00635305"/>
    <w:rsid w:val="00640B41"/>
    <w:rsid w:val="00644A00"/>
    <w:rsid w:val="0064793B"/>
    <w:rsid w:val="00647E87"/>
    <w:rsid w:val="00657B2E"/>
    <w:rsid w:val="0066273B"/>
    <w:rsid w:val="00684622"/>
    <w:rsid w:val="006C24E4"/>
    <w:rsid w:val="006C406E"/>
    <w:rsid w:val="006D0AA3"/>
    <w:rsid w:val="006D3061"/>
    <w:rsid w:val="006D762D"/>
    <w:rsid w:val="006E21A2"/>
    <w:rsid w:val="007031DB"/>
    <w:rsid w:val="00707ED5"/>
    <w:rsid w:val="0072064E"/>
    <w:rsid w:val="00720FFF"/>
    <w:rsid w:val="00724EEF"/>
    <w:rsid w:val="007514D2"/>
    <w:rsid w:val="00752AF4"/>
    <w:rsid w:val="00762591"/>
    <w:rsid w:val="0076531E"/>
    <w:rsid w:val="007D577D"/>
    <w:rsid w:val="007D6BC8"/>
    <w:rsid w:val="007E768D"/>
    <w:rsid w:val="007F5992"/>
    <w:rsid w:val="00802D06"/>
    <w:rsid w:val="008108B4"/>
    <w:rsid w:val="00837F67"/>
    <w:rsid w:val="00840425"/>
    <w:rsid w:val="0084542F"/>
    <w:rsid w:val="008459DC"/>
    <w:rsid w:val="00845B21"/>
    <w:rsid w:val="008543B3"/>
    <w:rsid w:val="008543B8"/>
    <w:rsid w:val="0087235C"/>
    <w:rsid w:val="00886F6F"/>
    <w:rsid w:val="00887971"/>
    <w:rsid w:val="008968CF"/>
    <w:rsid w:val="008971F5"/>
    <w:rsid w:val="008A1DD8"/>
    <w:rsid w:val="008A4D93"/>
    <w:rsid w:val="008B4A6D"/>
    <w:rsid w:val="008C07E4"/>
    <w:rsid w:val="008D2EC6"/>
    <w:rsid w:val="008E23E5"/>
    <w:rsid w:val="008F3C21"/>
    <w:rsid w:val="008F5BB5"/>
    <w:rsid w:val="00922A32"/>
    <w:rsid w:val="00922E08"/>
    <w:rsid w:val="0093098D"/>
    <w:rsid w:val="00940342"/>
    <w:rsid w:val="00957A44"/>
    <w:rsid w:val="00973FB8"/>
    <w:rsid w:val="00981DDB"/>
    <w:rsid w:val="009C3AC5"/>
    <w:rsid w:val="009D2C61"/>
    <w:rsid w:val="009E2978"/>
    <w:rsid w:val="00A007E9"/>
    <w:rsid w:val="00A15DB1"/>
    <w:rsid w:val="00A430BA"/>
    <w:rsid w:val="00A45B36"/>
    <w:rsid w:val="00A468A4"/>
    <w:rsid w:val="00A701A3"/>
    <w:rsid w:val="00A82960"/>
    <w:rsid w:val="00A90CAF"/>
    <w:rsid w:val="00A932E0"/>
    <w:rsid w:val="00A94F40"/>
    <w:rsid w:val="00AA1D8D"/>
    <w:rsid w:val="00AB0CDB"/>
    <w:rsid w:val="00AC6AFE"/>
    <w:rsid w:val="00AD5307"/>
    <w:rsid w:val="00AD61EB"/>
    <w:rsid w:val="00AD6B77"/>
    <w:rsid w:val="00AE3894"/>
    <w:rsid w:val="00B04B85"/>
    <w:rsid w:val="00B25800"/>
    <w:rsid w:val="00B313FE"/>
    <w:rsid w:val="00B41092"/>
    <w:rsid w:val="00B4492A"/>
    <w:rsid w:val="00B4699B"/>
    <w:rsid w:val="00B47730"/>
    <w:rsid w:val="00B6638E"/>
    <w:rsid w:val="00B67DFE"/>
    <w:rsid w:val="00B85AB5"/>
    <w:rsid w:val="00B9084F"/>
    <w:rsid w:val="00B97642"/>
    <w:rsid w:val="00BA61ED"/>
    <w:rsid w:val="00BB045C"/>
    <w:rsid w:val="00BC4BDB"/>
    <w:rsid w:val="00BD66BF"/>
    <w:rsid w:val="00BF1F8C"/>
    <w:rsid w:val="00BF30EE"/>
    <w:rsid w:val="00C007FF"/>
    <w:rsid w:val="00C2492C"/>
    <w:rsid w:val="00C3116B"/>
    <w:rsid w:val="00C443D8"/>
    <w:rsid w:val="00C50EBB"/>
    <w:rsid w:val="00C51915"/>
    <w:rsid w:val="00C5553A"/>
    <w:rsid w:val="00C623A4"/>
    <w:rsid w:val="00C629AE"/>
    <w:rsid w:val="00C65A23"/>
    <w:rsid w:val="00C715B4"/>
    <w:rsid w:val="00C725F4"/>
    <w:rsid w:val="00C745D9"/>
    <w:rsid w:val="00C80DD3"/>
    <w:rsid w:val="00C9065E"/>
    <w:rsid w:val="00C90CA4"/>
    <w:rsid w:val="00C92360"/>
    <w:rsid w:val="00C9297D"/>
    <w:rsid w:val="00CB0664"/>
    <w:rsid w:val="00CB0C30"/>
    <w:rsid w:val="00CB10F7"/>
    <w:rsid w:val="00CC0D5C"/>
    <w:rsid w:val="00CD4A9F"/>
    <w:rsid w:val="00D05252"/>
    <w:rsid w:val="00D0758F"/>
    <w:rsid w:val="00D22DA0"/>
    <w:rsid w:val="00D376DF"/>
    <w:rsid w:val="00D401CC"/>
    <w:rsid w:val="00D500D4"/>
    <w:rsid w:val="00D51B58"/>
    <w:rsid w:val="00D51F4C"/>
    <w:rsid w:val="00D544BE"/>
    <w:rsid w:val="00D57D22"/>
    <w:rsid w:val="00D6255B"/>
    <w:rsid w:val="00D734CF"/>
    <w:rsid w:val="00D7506A"/>
    <w:rsid w:val="00D8444B"/>
    <w:rsid w:val="00D92384"/>
    <w:rsid w:val="00DA2418"/>
    <w:rsid w:val="00DE2A61"/>
    <w:rsid w:val="00DF29FE"/>
    <w:rsid w:val="00E069F6"/>
    <w:rsid w:val="00E1597D"/>
    <w:rsid w:val="00E17A7A"/>
    <w:rsid w:val="00E27090"/>
    <w:rsid w:val="00E344AA"/>
    <w:rsid w:val="00E409AB"/>
    <w:rsid w:val="00E42DBF"/>
    <w:rsid w:val="00E52345"/>
    <w:rsid w:val="00E67FD8"/>
    <w:rsid w:val="00E800DD"/>
    <w:rsid w:val="00E8124C"/>
    <w:rsid w:val="00E8335B"/>
    <w:rsid w:val="00E83C9D"/>
    <w:rsid w:val="00E84D73"/>
    <w:rsid w:val="00E93E59"/>
    <w:rsid w:val="00E96BE6"/>
    <w:rsid w:val="00E97470"/>
    <w:rsid w:val="00EB031E"/>
    <w:rsid w:val="00EB6F9B"/>
    <w:rsid w:val="00EC28BD"/>
    <w:rsid w:val="00EC2AA9"/>
    <w:rsid w:val="00EE1A37"/>
    <w:rsid w:val="00EE4371"/>
    <w:rsid w:val="00F01064"/>
    <w:rsid w:val="00F13D23"/>
    <w:rsid w:val="00F232B1"/>
    <w:rsid w:val="00F27FCB"/>
    <w:rsid w:val="00F35894"/>
    <w:rsid w:val="00F404A0"/>
    <w:rsid w:val="00F71B6A"/>
    <w:rsid w:val="00F736A5"/>
    <w:rsid w:val="00F82031"/>
    <w:rsid w:val="00F96B8D"/>
    <w:rsid w:val="00FA06B0"/>
    <w:rsid w:val="00FA7A28"/>
    <w:rsid w:val="00FB344F"/>
    <w:rsid w:val="00FC693F"/>
    <w:rsid w:val="00FD02DC"/>
    <w:rsid w:val="00FE20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1A5D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jc w:val="both"/>
    </w:pPr>
    <w:rPr>
      <w:rFonts w:ascii="Times New Roman" w:eastAsia="Times New Roman" w:hAnsi="Times New Roman"/>
      <w:lang w:val="en-GB"/>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jc w:val="center"/>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center"/>
    </w:pPr>
    <w:rPr>
      <w:b/>
      <w:bCs/>
      <w:i/>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FootnoteText">
    <w:name w:val="footnote text"/>
    <w:basedOn w:val="Normal"/>
    <w:link w:val="FootnoteTextChar"/>
    <w:uiPriority w:val="99"/>
    <w:semiHidden/>
    <w:unhideWhenUsed/>
    <w:rsid w:val="00C50E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0EBB"/>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C50EBB"/>
    <w:rPr>
      <w:rFonts w:ascii="Times New Roman" w:eastAsia="Times New Roman" w:hAnsi="Times New Roman" w:cs="Times New Roman"/>
      <w:sz w:val="16"/>
      <w:szCs w:val="16"/>
      <w:vertAlign w:val="superscript"/>
    </w:rPr>
  </w:style>
  <w:style w:type="paragraph" w:styleId="NormalIndent">
    <w:name w:val="Normal Indent"/>
    <w:basedOn w:val="Normal"/>
    <w:uiPriority w:val="99"/>
    <w:unhideWhenUsed/>
    <w:rsid w:val="00334CF9"/>
    <w:pPr>
      <w:ind w:left="720"/>
    </w:pPr>
  </w:style>
  <w:style w:type="character" w:styleId="Hyperlink">
    <w:name w:val="Hyperlink"/>
    <w:basedOn w:val="DefaultParagraphFont"/>
    <w:uiPriority w:val="99"/>
    <w:unhideWhenUsed/>
    <w:rsid w:val="007E768D"/>
    <w:rPr>
      <w:color w:val="0000FF" w:themeColor="hyperlink"/>
      <w:u w:val="single"/>
    </w:rPr>
  </w:style>
  <w:style w:type="character" w:styleId="UnresolvedMention">
    <w:name w:val="Unresolved Mention"/>
    <w:basedOn w:val="DefaultParagraphFont"/>
    <w:uiPriority w:val="99"/>
    <w:semiHidden/>
    <w:unhideWhenUsed/>
    <w:rsid w:val="007E7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1328</Words>
  <Characters>8595</Characters>
  <Application>Microsoft Office Word</Application>
  <DocSecurity>0</DocSecurity>
  <Lines>132</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2026-08-31T03:26:00Z</dcterms:created>
  <dcterms:modified xsi:type="dcterms:W3CDTF">2026-09-14T05:12:00Z</dcterms:modified>
</cp:coreProperties>
</file>