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B44B" w14:textId="281A8A13" w:rsidR="00CF2E07" w:rsidRDefault="00CF2E07" w:rsidP="00CF2E07">
      <w:pPr>
        <w:widowControl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F2E07">
        <w:rPr>
          <w:rFonts w:ascii="Times New Roman" w:hAnsi="Times New Roman" w:cs="Times New Roman"/>
          <w:b/>
          <w:sz w:val="36"/>
          <w:szCs w:val="36"/>
        </w:rPr>
        <w:t>Online Resource</w:t>
      </w:r>
    </w:p>
    <w:p w14:paraId="177A24D2" w14:textId="60CB0578" w:rsidR="001D43C6" w:rsidRPr="001D43C6" w:rsidRDefault="001D43C6" w:rsidP="001D43C6">
      <w:pPr>
        <w:widowControl/>
        <w:spacing w:line="360" w:lineRule="auto"/>
        <w:rPr>
          <w:rFonts w:ascii="Times New Roman" w:hAnsi="Times New Roman" w:cs="Times New Roman"/>
          <w:b/>
          <w:kern w:val="0"/>
          <w:sz w:val="24"/>
          <w:lang w:eastAsia="en-US"/>
          <w14:ligatures w14:val="none"/>
        </w:rPr>
      </w:pPr>
      <w:r w:rsidRPr="001D43C6">
        <w:rPr>
          <w:rFonts w:ascii="Times New Roman" w:hAnsi="Times New Roman" w:cs="Times New Roman"/>
          <w:b/>
          <w:kern w:val="0"/>
          <w:sz w:val="24"/>
          <w:lang w:eastAsia="en-US"/>
          <w14:ligatures w14:val="none"/>
        </w:rPr>
        <w:t>Longitudinal MRI Response Phenotypes and Lesion-Level Local Control after Gamma Knife Radiosurgery for Breast Cancer Brain Metastases</w:t>
      </w:r>
    </w:p>
    <w:p w14:paraId="43E35040" w14:textId="77777777" w:rsidR="001D43C6" w:rsidRPr="001D43C6" w:rsidRDefault="001D43C6" w:rsidP="001D43C6">
      <w:pPr>
        <w:widowControl/>
        <w:spacing w:line="360" w:lineRule="auto"/>
        <w:rPr>
          <w:rFonts w:ascii="Times New Roman" w:hAnsi="Times New Roman" w:cs="Times New Roman"/>
          <w:bCs/>
          <w:kern w:val="0"/>
          <w:szCs w:val="20"/>
          <w14:ligatures w14:val="none"/>
        </w:rPr>
      </w:pPr>
      <w:proofErr w:type="spellStart"/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>Sijun</w:t>
      </w:r>
      <w:proofErr w:type="spellEnd"/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 xml:space="preserve"> Diao</w:t>
      </w:r>
      <w:bookmarkStart w:id="0" w:name="OLE_LINK98"/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a</w:t>
      </w:r>
      <w:bookmarkStart w:id="1" w:name="OLE_LINK2"/>
      <w:bookmarkEnd w:id="0"/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†</w:t>
      </w:r>
      <w:bookmarkEnd w:id="1"/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>,</w:t>
      </w:r>
      <w:r w:rsidRPr="001D43C6">
        <w:rPr>
          <w:rFonts w:ascii="Times New Roman" w:hAnsi="Times New Roman" w:cs="Times New Roman"/>
          <w:kern w:val="0"/>
          <w:szCs w:val="22"/>
          <w:lang w:eastAsia="en-US"/>
          <w14:ligatures w14:val="none"/>
        </w:rPr>
        <w:t xml:space="preserve"> Tao Huang</w:t>
      </w:r>
      <w:r w:rsidRPr="001D43C6">
        <w:rPr>
          <w:rFonts w:ascii="Times New Roman" w:hAnsi="Times New Roman" w:cs="Times New Roman"/>
          <w:kern w:val="0"/>
          <w:szCs w:val="22"/>
          <w:vertAlign w:val="superscript"/>
          <w:lang w:eastAsia="en-US"/>
          <w14:ligatures w14:val="none"/>
        </w:rPr>
        <w:t>a</w:t>
      </w:r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†</w:t>
      </w:r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 xml:space="preserve">, </w:t>
      </w:r>
      <w:proofErr w:type="spellStart"/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>Zhongyu</w:t>
      </w:r>
      <w:proofErr w:type="spellEnd"/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 xml:space="preserve"> Li</w:t>
      </w:r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a</w:t>
      </w:r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>, Shihong Zhu</w:t>
      </w:r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a</w:t>
      </w:r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>,</w:t>
      </w:r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 xml:space="preserve"> </w:t>
      </w:r>
      <w:proofErr w:type="spellStart"/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>Fujun</w:t>
      </w:r>
      <w:proofErr w:type="spellEnd"/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 xml:space="preserve"> Liu</w:t>
      </w:r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 xml:space="preserve"> a</w:t>
      </w:r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>,</w:t>
      </w:r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>Xiyue Lu</w:t>
      </w:r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b</w:t>
      </w:r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 xml:space="preserve">, </w:t>
      </w:r>
      <w:proofErr w:type="spellStart"/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>Huiyang</w:t>
      </w:r>
      <w:proofErr w:type="spellEnd"/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 xml:space="preserve"> Luo</w:t>
      </w:r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b</w:t>
      </w:r>
      <w:r w:rsidRPr="001D43C6">
        <w:rPr>
          <w:rFonts w:ascii="Times New Roman" w:hAnsi="Times New Roman" w:cs="Times New Roman"/>
          <w:bCs/>
          <w:kern w:val="0"/>
          <w:szCs w:val="20"/>
          <w:lang w:eastAsia="en-US"/>
          <w14:ligatures w14:val="none"/>
        </w:rPr>
        <w:t>, Jing Chen</w:t>
      </w:r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a*</w:t>
      </w:r>
    </w:p>
    <w:p w14:paraId="028A776D" w14:textId="77777777" w:rsidR="001D43C6" w:rsidRPr="001D43C6" w:rsidRDefault="001D43C6" w:rsidP="001D43C6">
      <w:pPr>
        <w:widowControl/>
        <w:spacing w:line="360" w:lineRule="auto"/>
        <w:rPr>
          <w:rFonts w:ascii="Times New Roman" w:eastAsia="宋体" w:hAnsi="Times New Roman" w:cs="Times New Roman"/>
          <w:bCs/>
          <w:kern w:val="0"/>
          <w:szCs w:val="20"/>
          <w14:ligatures w14:val="none"/>
        </w:rPr>
      </w:pPr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>a. Department of Neurosurgery, West China Hospital, West China Medical School, Sichuan University, Chengdu 610041, China</w:t>
      </w:r>
    </w:p>
    <w:p w14:paraId="151451B7" w14:textId="77777777" w:rsidR="001D43C6" w:rsidRPr="001D43C6" w:rsidRDefault="001D43C6" w:rsidP="001D43C6">
      <w:pPr>
        <w:widowControl/>
        <w:spacing w:line="360" w:lineRule="auto"/>
        <w:rPr>
          <w:rFonts w:ascii="Times New Roman" w:eastAsia="宋体" w:hAnsi="Times New Roman" w:cs="Times New Roman"/>
          <w:bCs/>
          <w:kern w:val="0"/>
          <w:szCs w:val="20"/>
          <w14:ligatures w14:val="none"/>
        </w:rPr>
      </w:pPr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>b. Department of Anesthesiology, West China Hospital, West China Medical School, Sichuan University, Chengdu 610041, China</w:t>
      </w:r>
    </w:p>
    <w:p w14:paraId="478F870A" w14:textId="77777777" w:rsidR="001D43C6" w:rsidRPr="001D43C6" w:rsidRDefault="001D43C6" w:rsidP="001D43C6">
      <w:pPr>
        <w:widowControl/>
        <w:spacing w:line="360" w:lineRule="auto"/>
        <w:rPr>
          <w:rFonts w:ascii="Times New Roman" w:eastAsia="宋体" w:hAnsi="Times New Roman" w:cs="Times New Roman"/>
          <w:bCs/>
          <w:kern w:val="0"/>
          <w:szCs w:val="20"/>
          <w14:ligatures w14:val="none"/>
        </w:rPr>
      </w:pPr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†</w:t>
      </w:r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>These authors contributed equally to this work</w:t>
      </w:r>
    </w:p>
    <w:p w14:paraId="683C65E5" w14:textId="77777777" w:rsidR="001D43C6" w:rsidRPr="001D43C6" w:rsidRDefault="001D43C6" w:rsidP="001D43C6">
      <w:pPr>
        <w:widowControl/>
        <w:spacing w:line="360" w:lineRule="auto"/>
        <w:rPr>
          <w:rFonts w:ascii="Times New Roman" w:eastAsia="宋体" w:hAnsi="Times New Roman" w:cs="Times New Roman"/>
          <w:bCs/>
          <w:kern w:val="0"/>
          <w:szCs w:val="20"/>
          <w:u w:val="single"/>
          <w14:ligatures w14:val="none"/>
        </w:rPr>
      </w:pPr>
      <w:bookmarkStart w:id="2" w:name="OLE_LINK47"/>
      <w:bookmarkEnd w:id="2"/>
      <w:r w:rsidRPr="001D43C6">
        <w:rPr>
          <w:rFonts w:ascii="Times New Roman" w:hAnsi="Times New Roman" w:cs="Times New Roman"/>
          <w:bCs/>
          <w:kern w:val="0"/>
          <w:szCs w:val="20"/>
          <w:vertAlign w:val="superscript"/>
          <w14:ligatures w14:val="none"/>
        </w:rPr>
        <w:t>*</w:t>
      </w:r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 xml:space="preserve">Corresponding author: E-mail: </w:t>
      </w:r>
      <w:hyperlink r:id="rId6" w:history="1">
        <w:r w:rsidRPr="001D43C6">
          <w:rPr>
            <w:rFonts w:ascii="Times New Roman" w:eastAsia="宋体" w:hAnsi="Times New Roman" w:cs="Times New Roman"/>
            <w:bCs/>
            <w:color w:val="0563C1" w:themeColor="hyperlink"/>
            <w:kern w:val="0"/>
            <w:szCs w:val="20"/>
            <w14:ligatures w14:val="none"/>
          </w:rPr>
          <w:t>chenjing6811@126.com</w:t>
        </w:r>
      </w:hyperlink>
      <w:r w:rsidRPr="001D43C6">
        <w:rPr>
          <w:rFonts w:ascii="Times New Roman" w:hAnsi="Times New Roman" w:cs="Times New Roman"/>
          <w:bCs/>
          <w:kern w:val="0"/>
          <w:szCs w:val="20"/>
          <w14:ligatures w14:val="none"/>
        </w:rPr>
        <w:t xml:space="preserve"> (Jing Chen</w:t>
      </w:r>
      <w:r w:rsidRPr="001D43C6">
        <w:rPr>
          <w:rFonts w:ascii="Times New Roman" w:hAnsi="Times New Roman" w:cs="Times New Roman"/>
          <w:bCs/>
          <w:kern w:val="0"/>
          <w:szCs w:val="20"/>
          <w:u w:val="single"/>
          <w14:ligatures w14:val="none"/>
        </w:rPr>
        <w:t>)</w:t>
      </w:r>
    </w:p>
    <w:p w14:paraId="41A043D8" w14:textId="77777777" w:rsidR="00363560" w:rsidRPr="001D43C6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1E57B13E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  <w:r w:rsidRPr="00363560">
        <w:rPr>
          <w:rFonts w:ascii="Times New Roman" w:hAnsi="Times New Roman" w:cs="Times New Roman"/>
          <w:b/>
          <w:bCs/>
          <w:sz w:val="20"/>
          <w:szCs w:val="20"/>
        </w:rPr>
        <w:t>Contents</w:t>
      </w:r>
    </w:p>
    <w:p w14:paraId="25375125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  <w:r w:rsidRPr="00363560">
        <w:rPr>
          <w:rFonts w:ascii="Times New Roman" w:hAnsi="Times New Roman" w:cs="Times New Roman"/>
          <w:bCs/>
          <w:sz w:val="20"/>
          <w:szCs w:val="20"/>
        </w:rPr>
        <w:t>Table S1. Reasons for non-evaluable 12-month local control and comparison of evaluable and non-evaluable lesions</w:t>
      </w:r>
    </w:p>
    <w:p w14:paraId="5630C611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  <w:r w:rsidRPr="00363560">
        <w:rPr>
          <w:rFonts w:ascii="Times New Roman" w:hAnsi="Times New Roman" w:cs="Times New Roman"/>
          <w:bCs/>
          <w:sz w:val="20"/>
          <w:szCs w:val="20"/>
        </w:rPr>
        <w:t>Table S2. Prespecified Bayesian mixed-effects model and same-covariate patient-clustered GEE sensitivity analysis for local failure</w:t>
      </w:r>
    </w:p>
    <w:p w14:paraId="282B5AE9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  <w:r w:rsidRPr="00363560">
        <w:rPr>
          <w:rFonts w:ascii="Times New Roman" w:hAnsi="Times New Roman" w:cs="Times New Roman"/>
          <w:bCs/>
          <w:sz w:val="20"/>
          <w:szCs w:val="20"/>
        </w:rPr>
        <w:t>Table S3. Sensitivity analyses of BED₁₀ associations with local failure and longitudinal response phenotype</w:t>
      </w:r>
    </w:p>
    <w:p w14:paraId="224B633B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  <w:r w:rsidRPr="00363560">
        <w:rPr>
          <w:rFonts w:ascii="Times New Roman" w:hAnsi="Times New Roman" w:cs="Times New Roman"/>
          <w:bCs/>
          <w:sz w:val="20"/>
          <w:szCs w:val="20"/>
        </w:rPr>
        <w:t>Table S4. Association between progression phenotype and local failure: patient-clustered GEE and cluster-bootstrap analyses</w:t>
      </w:r>
    </w:p>
    <w:p w14:paraId="412A85F5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  <w:r w:rsidRPr="00363560">
        <w:rPr>
          <w:rFonts w:ascii="Times New Roman" w:hAnsi="Times New Roman" w:cs="Times New Roman"/>
          <w:bCs/>
          <w:sz w:val="20"/>
          <w:szCs w:val="20"/>
        </w:rPr>
        <w:t>Table S5. Timing of longitudinal response-phenotype classification and 10–14-month sensitivity analysis</w:t>
      </w:r>
    </w:p>
    <w:p w14:paraId="1761D256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  <w:r w:rsidRPr="00363560">
        <w:rPr>
          <w:rFonts w:ascii="Times New Roman" w:hAnsi="Times New Roman" w:cs="Times New Roman"/>
          <w:bCs/>
          <w:sz w:val="20"/>
          <w:szCs w:val="20"/>
        </w:rPr>
        <w:t>Table S6. Systemic therapy exposure before and within 3 months after GKRS</w:t>
      </w:r>
    </w:p>
    <w:p w14:paraId="067217C1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1A4E85D3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698AF685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1CDE8DFB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  <w:r w:rsidRPr="00363560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S1. Reasons for non-evaluable 12-month local control and comparison of evaluable and non-evaluable lesions</w:t>
      </w:r>
    </w:p>
    <w:p w14:paraId="568F39BB" w14:textId="4128A60D" w:rsidR="00363560" w:rsidRPr="00363560" w:rsidRDefault="00363560" w:rsidP="0036356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63560">
        <w:rPr>
          <w:rFonts w:ascii="Times New Roman" w:hAnsi="Times New Roman" w:cs="Times New Roman"/>
          <w:b/>
          <w:bCs/>
          <w:sz w:val="20"/>
          <w:szCs w:val="20"/>
        </w:rPr>
        <w:t>A. Reasons for non-evaluable LC₁₂m</w:t>
      </w:r>
    </w:p>
    <w:tbl>
      <w:tblPr>
        <w:tblW w:w="8244" w:type="dxa"/>
        <w:tblInd w:w="120" w:type="dxa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994"/>
      </w:tblGrid>
      <w:tr w:rsidR="00363560" w:rsidRPr="00363560" w14:paraId="5FE30E49" w14:textId="77777777" w:rsidTr="00363560">
        <w:trPr>
          <w:cantSplit/>
          <w:tblHeader/>
        </w:trPr>
        <w:tc>
          <w:tcPr>
            <w:tcW w:w="52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1209858B" w14:textId="77777777" w:rsidR="00363560" w:rsidRPr="00363560" w:rsidRDefault="00363560" w:rsidP="0036356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Reason</w:t>
            </w:r>
          </w:p>
        </w:tc>
        <w:tc>
          <w:tcPr>
            <w:tcW w:w="299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1254F260" w14:textId="77777777" w:rsidR="00363560" w:rsidRPr="00363560" w:rsidRDefault="00363560" w:rsidP="0036356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 of 79 lesions</w:t>
            </w:r>
          </w:p>
        </w:tc>
      </w:tr>
      <w:tr w:rsidR="00363560" w:rsidRPr="00363560" w14:paraId="7582D312" w14:textId="77777777" w:rsidTr="00363560">
        <w:trPr>
          <w:cantSplit/>
        </w:trPr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24A7F651" w14:textId="77777777" w:rsidR="00363560" w:rsidRPr="00363560" w:rsidRDefault="00363560" w:rsidP="0036356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Cs/>
                <w:sz w:val="20"/>
                <w:szCs w:val="20"/>
              </w:rPr>
              <w:t>Specific reason not identifiable from the available analysis dataset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5AA13533" w14:textId="77777777" w:rsidR="00363560" w:rsidRPr="00363560" w:rsidRDefault="00363560" w:rsidP="0036356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Cs/>
                <w:sz w:val="20"/>
                <w:szCs w:val="20"/>
              </w:rPr>
              <w:t>45 (57.0%)</w:t>
            </w:r>
          </w:p>
        </w:tc>
      </w:tr>
      <w:tr w:rsidR="00363560" w:rsidRPr="00363560" w14:paraId="4D1FADA2" w14:textId="77777777" w:rsidTr="00363560">
        <w:trPr>
          <w:cantSplit/>
        </w:trPr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36E848CF" w14:textId="77777777" w:rsidR="00363560" w:rsidRPr="00363560" w:rsidRDefault="00363560" w:rsidP="0036356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Cs/>
                <w:sz w:val="20"/>
                <w:szCs w:val="20"/>
              </w:rPr>
              <w:t>Death before adequate endpoint assessment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083DFD00" w14:textId="77777777" w:rsidR="00363560" w:rsidRPr="00363560" w:rsidRDefault="00363560" w:rsidP="0036356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Cs/>
                <w:sz w:val="20"/>
                <w:szCs w:val="20"/>
              </w:rPr>
              <w:t>25 (31.6%)</w:t>
            </w:r>
          </w:p>
        </w:tc>
      </w:tr>
      <w:tr w:rsidR="00363560" w:rsidRPr="00363560" w14:paraId="2DDC586B" w14:textId="77777777" w:rsidTr="00363560">
        <w:trPr>
          <w:cantSplit/>
        </w:trPr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53550860" w14:textId="77777777" w:rsidR="00363560" w:rsidRPr="00363560" w:rsidRDefault="00363560" w:rsidP="0036356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Cs/>
                <w:sz w:val="20"/>
                <w:szCs w:val="20"/>
              </w:rPr>
              <w:t>No qualifying MRI within the assessment window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002F33A1" w14:textId="77777777" w:rsidR="00363560" w:rsidRPr="00363560" w:rsidRDefault="00363560" w:rsidP="0036356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Cs/>
                <w:sz w:val="20"/>
                <w:szCs w:val="20"/>
              </w:rPr>
              <w:t>7 (8.9%)</w:t>
            </w:r>
          </w:p>
        </w:tc>
      </w:tr>
      <w:tr w:rsidR="00363560" w:rsidRPr="00363560" w14:paraId="02263AC7" w14:textId="77777777" w:rsidTr="00363560">
        <w:trPr>
          <w:cantSplit/>
        </w:trPr>
        <w:tc>
          <w:tcPr>
            <w:tcW w:w="52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7938CBCC" w14:textId="77777777" w:rsidR="00363560" w:rsidRPr="00363560" w:rsidRDefault="00363560" w:rsidP="0036356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Cs/>
                <w:sz w:val="20"/>
                <w:szCs w:val="20"/>
              </w:rPr>
              <w:t>Insufficient imaging follow-up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  <w:hideMark/>
          </w:tcPr>
          <w:p w14:paraId="12EF51EA" w14:textId="77777777" w:rsidR="00363560" w:rsidRPr="00363560" w:rsidRDefault="00363560" w:rsidP="0036356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3560">
              <w:rPr>
                <w:rFonts w:ascii="Times New Roman" w:hAnsi="Times New Roman" w:cs="Times New Roman"/>
                <w:bCs/>
                <w:sz w:val="20"/>
                <w:szCs w:val="20"/>
              </w:rPr>
              <w:t>2 (2.5%)</w:t>
            </w:r>
          </w:p>
        </w:tc>
      </w:tr>
    </w:tbl>
    <w:p w14:paraId="18637372" w14:textId="42D1CB4A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B. Baseline and treatment characteristics by LC₁₂m evaluability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2238"/>
        <w:gridCol w:w="1164"/>
        <w:gridCol w:w="1446"/>
        <w:gridCol w:w="1248"/>
        <w:gridCol w:w="1623"/>
        <w:gridCol w:w="587"/>
      </w:tblGrid>
      <w:tr w:rsidR="001422EA" w:rsidRPr="001422EA" w14:paraId="119EB98F" w14:textId="77777777" w:rsidTr="001422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6248AC1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16"/>
                <w:szCs w:val="16"/>
              </w:rPr>
            </w:pPr>
            <w:r w:rsidRPr="001422EA">
              <w:rPr>
                <w:b/>
                <w:bCs/>
                <w:sz w:val="16"/>
                <w:szCs w:val="16"/>
              </w:rPr>
              <w:t>Characteristic</w:t>
            </w:r>
          </w:p>
        </w:tc>
        <w:tc>
          <w:tcPr>
            <w:tcW w:w="1164" w:type="dxa"/>
            <w:hideMark/>
          </w:tcPr>
          <w:p w14:paraId="32EBDD04" w14:textId="77777777" w:rsidR="001422EA" w:rsidRPr="001422EA" w:rsidRDefault="001422EA" w:rsidP="001422EA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1422EA">
              <w:rPr>
                <w:b/>
                <w:bCs/>
                <w:sz w:val="16"/>
                <w:szCs w:val="16"/>
              </w:rPr>
              <w:t>Evaluable, available n</w:t>
            </w:r>
          </w:p>
        </w:tc>
        <w:tc>
          <w:tcPr>
            <w:tcW w:w="1446" w:type="dxa"/>
            <w:hideMark/>
          </w:tcPr>
          <w:p w14:paraId="1D8AA032" w14:textId="77777777" w:rsidR="001422EA" w:rsidRPr="001422EA" w:rsidRDefault="001422EA" w:rsidP="001422EA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1422EA">
              <w:rPr>
                <w:b/>
                <w:bCs/>
                <w:sz w:val="16"/>
                <w:szCs w:val="16"/>
              </w:rPr>
              <w:t>Evaluable, summary</w:t>
            </w:r>
          </w:p>
        </w:tc>
        <w:tc>
          <w:tcPr>
            <w:tcW w:w="1248" w:type="dxa"/>
            <w:hideMark/>
          </w:tcPr>
          <w:p w14:paraId="6A306B6A" w14:textId="77777777" w:rsidR="001422EA" w:rsidRPr="001422EA" w:rsidRDefault="001422EA" w:rsidP="001422EA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1422EA">
              <w:rPr>
                <w:b/>
                <w:bCs/>
                <w:sz w:val="16"/>
                <w:szCs w:val="16"/>
              </w:rPr>
              <w:t>Non-evaluable, available n</w:t>
            </w:r>
          </w:p>
        </w:tc>
        <w:tc>
          <w:tcPr>
            <w:tcW w:w="1623" w:type="dxa"/>
            <w:hideMark/>
          </w:tcPr>
          <w:p w14:paraId="5E95A5C3" w14:textId="77777777" w:rsidR="001422EA" w:rsidRPr="001422EA" w:rsidRDefault="001422EA" w:rsidP="001422EA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1422EA">
              <w:rPr>
                <w:b/>
                <w:bCs/>
                <w:sz w:val="16"/>
                <w:szCs w:val="16"/>
              </w:rPr>
              <w:t>Non-evaluable, summary</w:t>
            </w:r>
          </w:p>
        </w:tc>
        <w:tc>
          <w:tcPr>
            <w:tcW w:w="0" w:type="auto"/>
            <w:hideMark/>
          </w:tcPr>
          <w:p w14:paraId="2E050507" w14:textId="77777777" w:rsidR="001422EA" w:rsidRPr="001422EA" w:rsidRDefault="001422EA" w:rsidP="001422EA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1422EA">
              <w:rPr>
                <w:b/>
                <w:bCs/>
                <w:sz w:val="16"/>
                <w:szCs w:val="16"/>
              </w:rPr>
              <w:t>SMD</w:t>
            </w:r>
          </w:p>
        </w:tc>
      </w:tr>
      <w:tr w:rsidR="001422EA" w:rsidRPr="001422EA" w14:paraId="2A55ED2A" w14:textId="77777777" w:rsidTr="001422EA">
        <w:tc>
          <w:tcPr>
            <w:tcW w:w="0" w:type="auto"/>
            <w:hideMark/>
          </w:tcPr>
          <w:p w14:paraId="11415887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Baseline WT volume, cm³</w:t>
            </w:r>
          </w:p>
        </w:tc>
        <w:tc>
          <w:tcPr>
            <w:tcW w:w="1164" w:type="dxa"/>
            <w:hideMark/>
          </w:tcPr>
          <w:p w14:paraId="12EDE1A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4AF67665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0.401 (0.165–1.40)</w:t>
            </w:r>
          </w:p>
        </w:tc>
        <w:tc>
          <w:tcPr>
            <w:tcW w:w="1248" w:type="dxa"/>
            <w:hideMark/>
          </w:tcPr>
          <w:p w14:paraId="6C28D96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79</w:t>
            </w:r>
          </w:p>
        </w:tc>
        <w:tc>
          <w:tcPr>
            <w:tcW w:w="1623" w:type="dxa"/>
            <w:hideMark/>
          </w:tcPr>
          <w:p w14:paraId="76294704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0.324 (0.101–1.67)</w:t>
            </w:r>
          </w:p>
        </w:tc>
        <w:tc>
          <w:tcPr>
            <w:tcW w:w="0" w:type="auto"/>
            <w:hideMark/>
          </w:tcPr>
          <w:p w14:paraId="2896555F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−0.08</w:t>
            </w:r>
          </w:p>
        </w:tc>
      </w:tr>
      <w:tr w:rsidR="001422EA" w:rsidRPr="001422EA" w14:paraId="10FE6040" w14:textId="77777777" w:rsidTr="001422EA">
        <w:tc>
          <w:tcPr>
            <w:tcW w:w="0" w:type="auto"/>
            <w:hideMark/>
          </w:tcPr>
          <w:p w14:paraId="3D781AF5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Baseline ET volume, cm³</w:t>
            </w:r>
          </w:p>
        </w:tc>
        <w:tc>
          <w:tcPr>
            <w:tcW w:w="1164" w:type="dxa"/>
            <w:hideMark/>
          </w:tcPr>
          <w:p w14:paraId="43AEF368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29BCC4C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0.391 (0.154–1.27)</w:t>
            </w:r>
          </w:p>
        </w:tc>
        <w:tc>
          <w:tcPr>
            <w:tcW w:w="1248" w:type="dxa"/>
            <w:hideMark/>
          </w:tcPr>
          <w:p w14:paraId="49D60AFE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66</w:t>
            </w:r>
          </w:p>
        </w:tc>
        <w:tc>
          <w:tcPr>
            <w:tcW w:w="1623" w:type="dxa"/>
            <w:hideMark/>
          </w:tcPr>
          <w:p w14:paraId="3370800D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0.352 (0.104–1.58)</w:t>
            </w:r>
          </w:p>
        </w:tc>
        <w:tc>
          <w:tcPr>
            <w:tcW w:w="0" w:type="auto"/>
            <w:hideMark/>
          </w:tcPr>
          <w:p w14:paraId="7DED3B06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−0.05</w:t>
            </w:r>
          </w:p>
        </w:tc>
      </w:tr>
      <w:tr w:rsidR="001422EA" w:rsidRPr="001422EA" w14:paraId="22075E4C" w14:textId="77777777" w:rsidTr="001422EA">
        <w:tc>
          <w:tcPr>
            <w:tcW w:w="0" w:type="auto"/>
            <w:hideMark/>
          </w:tcPr>
          <w:p w14:paraId="09BF2F86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First-session margin dose, Gy</w:t>
            </w:r>
          </w:p>
        </w:tc>
        <w:tc>
          <w:tcPr>
            <w:tcW w:w="1164" w:type="dxa"/>
            <w:hideMark/>
          </w:tcPr>
          <w:p w14:paraId="068EEAF8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33D8E3EB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13 (12–18)</w:t>
            </w:r>
          </w:p>
        </w:tc>
        <w:tc>
          <w:tcPr>
            <w:tcW w:w="1248" w:type="dxa"/>
            <w:hideMark/>
          </w:tcPr>
          <w:p w14:paraId="22AC6E36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79</w:t>
            </w:r>
          </w:p>
        </w:tc>
        <w:tc>
          <w:tcPr>
            <w:tcW w:w="1623" w:type="dxa"/>
            <w:hideMark/>
          </w:tcPr>
          <w:p w14:paraId="4C0CDE2A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13 (12–13)</w:t>
            </w:r>
          </w:p>
        </w:tc>
        <w:tc>
          <w:tcPr>
            <w:tcW w:w="0" w:type="auto"/>
            <w:hideMark/>
          </w:tcPr>
          <w:p w14:paraId="24B3D53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0.63</w:t>
            </w:r>
          </w:p>
        </w:tc>
      </w:tr>
      <w:tr w:rsidR="001422EA" w:rsidRPr="001422EA" w14:paraId="3228C5DB" w14:textId="77777777" w:rsidTr="001422EA">
        <w:tc>
          <w:tcPr>
            <w:tcW w:w="0" w:type="auto"/>
            <w:hideMark/>
          </w:tcPr>
          <w:p w14:paraId="0FB94FBF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Prescription isodose line, %</w:t>
            </w:r>
          </w:p>
        </w:tc>
        <w:tc>
          <w:tcPr>
            <w:tcW w:w="1164" w:type="dxa"/>
            <w:hideMark/>
          </w:tcPr>
          <w:p w14:paraId="53350676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3445BFEC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45 (45–50)</w:t>
            </w:r>
          </w:p>
        </w:tc>
        <w:tc>
          <w:tcPr>
            <w:tcW w:w="1248" w:type="dxa"/>
            <w:hideMark/>
          </w:tcPr>
          <w:p w14:paraId="72E09F84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79</w:t>
            </w:r>
          </w:p>
        </w:tc>
        <w:tc>
          <w:tcPr>
            <w:tcW w:w="1623" w:type="dxa"/>
            <w:hideMark/>
          </w:tcPr>
          <w:p w14:paraId="2E54828A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50 (45–50)</w:t>
            </w:r>
          </w:p>
        </w:tc>
        <w:tc>
          <w:tcPr>
            <w:tcW w:w="0" w:type="auto"/>
            <w:hideMark/>
          </w:tcPr>
          <w:p w14:paraId="7B20BE13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−0.06</w:t>
            </w:r>
          </w:p>
        </w:tc>
      </w:tr>
      <w:tr w:rsidR="001422EA" w:rsidRPr="001422EA" w14:paraId="1B2AACD9" w14:textId="77777777" w:rsidTr="001422EA">
        <w:tc>
          <w:tcPr>
            <w:tcW w:w="0" w:type="auto"/>
            <w:hideMark/>
          </w:tcPr>
          <w:p w14:paraId="613B2C36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Age at GKRS, years</w:t>
            </w:r>
          </w:p>
        </w:tc>
        <w:tc>
          <w:tcPr>
            <w:tcW w:w="1164" w:type="dxa"/>
            <w:hideMark/>
          </w:tcPr>
          <w:p w14:paraId="361C02A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6B9EEE93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51 (43–59)</w:t>
            </w:r>
          </w:p>
        </w:tc>
        <w:tc>
          <w:tcPr>
            <w:tcW w:w="1248" w:type="dxa"/>
            <w:hideMark/>
          </w:tcPr>
          <w:p w14:paraId="4B336DCB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79</w:t>
            </w:r>
          </w:p>
        </w:tc>
        <w:tc>
          <w:tcPr>
            <w:tcW w:w="1623" w:type="dxa"/>
            <w:hideMark/>
          </w:tcPr>
          <w:p w14:paraId="0F07F046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55 (47–59)</w:t>
            </w:r>
          </w:p>
        </w:tc>
        <w:tc>
          <w:tcPr>
            <w:tcW w:w="0" w:type="auto"/>
            <w:hideMark/>
          </w:tcPr>
          <w:p w14:paraId="3E9953A5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−0.03</w:t>
            </w:r>
          </w:p>
        </w:tc>
      </w:tr>
      <w:tr w:rsidR="001422EA" w:rsidRPr="001422EA" w14:paraId="26B1941E" w14:textId="77777777" w:rsidTr="001422EA">
        <w:tc>
          <w:tcPr>
            <w:tcW w:w="0" w:type="auto"/>
            <w:hideMark/>
          </w:tcPr>
          <w:p w14:paraId="4F35B462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KPS</w:t>
            </w:r>
          </w:p>
        </w:tc>
        <w:tc>
          <w:tcPr>
            <w:tcW w:w="1164" w:type="dxa"/>
            <w:hideMark/>
          </w:tcPr>
          <w:p w14:paraId="5A55EC3E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2D54DBCB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90 (85–100)</w:t>
            </w:r>
          </w:p>
        </w:tc>
        <w:tc>
          <w:tcPr>
            <w:tcW w:w="1248" w:type="dxa"/>
            <w:hideMark/>
          </w:tcPr>
          <w:p w14:paraId="2B80C95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06B92391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90 (80–100)</w:t>
            </w:r>
          </w:p>
        </w:tc>
        <w:tc>
          <w:tcPr>
            <w:tcW w:w="0" w:type="auto"/>
            <w:hideMark/>
          </w:tcPr>
          <w:p w14:paraId="0796290D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−0.03</w:t>
            </w:r>
          </w:p>
        </w:tc>
      </w:tr>
      <w:tr w:rsidR="001422EA" w:rsidRPr="001422EA" w14:paraId="55CBA239" w14:textId="77777777" w:rsidTr="001422EA">
        <w:tc>
          <w:tcPr>
            <w:tcW w:w="0" w:type="auto"/>
            <w:hideMark/>
          </w:tcPr>
          <w:p w14:paraId="058C05D0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Baseline brain metastasis count</w:t>
            </w:r>
          </w:p>
        </w:tc>
        <w:tc>
          <w:tcPr>
            <w:tcW w:w="1164" w:type="dxa"/>
            <w:hideMark/>
          </w:tcPr>
          <w:p w14:paraId="67C7B7E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73E713B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4 (2–5)</w:t>
            </w:r>
          </w:p>
        </w:tc>
        <w:tc>
          <w:tcPr>
            <w:tcW w:w="1248" w:type="dxa"/>
            <w:hideMark/>
          </w:tcPr>
          <w:p w14:paraId="02EC9540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79</w:t>
            </w:r>
          </w:p>
        </w:tc>
        <w:tc>
          <w:tcPr>
            <w:tcW w:w="1623" w:type="dxa"/>
            <w:hideMark/>
          </w:tcPr>
          <w:p w14:paraId="4926613C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4 (2–5)</w:t>
            </w:r>
          </w:p>
        </w:tc>
        <w:tc>
          <w:tcPr>
            <w:tcW w:w="0" w:type="auto"/>
            <w:hideMark/>
          </w:tcPr>
          <w:p w14:paraId="606D225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−0.23</w:t>
            </w:r>
          </w:p>
        </w:tc>
      </w:tr>
      <w:tr w:rsidR="001422EA" w:rsidRPr="001422EA" w14:paraId="6D2A1243" w14:textId="77777777" w:rsidTr="001422EA">
        <w:tc>
          <w:tcPr>
            <w:tcW w:w="0" w:type="auto"/>
            <w:hideMark/>
          </w:tcPr>
          <w:p w14:paraId="001B4226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Qualitative edema</w:t>
            </w:r>
          </w:p>
        </w:tc>
        <w:tc>
          <w:tcPr>
            <w:tcW w:w="1164" w:type="dxa"/>
            <w:hideMark/>
          </w:tcPr>
          <w:p w14:paraId="30C54C53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1C0DDF8D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65/103 (63.1%)</w:t>
            </w:r>
          </w:p>
        </w:tc>
        <w:tc>
          <w:tcPr>
            <w:tcW w:w="1248" w:type="dxa"/>
            <w:hideMark/>
          </w:tcPr>
          <w:p w14:paraId="5B45EC74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248CFBE1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8/27 (29.6%)</w:t>
            </w:r>
          </w:p>
        </w:tc>
        <w:tc>
          <w:tcPr>
            <w:tcW w:w="0" w:type="auto"/>
            <w:hideMark/>
          </w:tcPr>
          <w:p w14:paraId="4FA7A321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0.71</w:t>
            </w:r>
          </w:p>
        </w:tc>
      </w:tr>
      <w:tr w:rsidR="001422EA" w:rsidRPr="001422EA" w14:paraId="049F377A" w14:textId="77777777" w:rsidTr="001422EA">
        <w:tc>
          <w:tcPr>
            <w:tcW w:w="0" w:type="auto"/>
            <w:hideMark/>
          </w:tcPr>
          <w:p w14:paraId="020B760D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Intracranial hemorrhage</w:t>
            </w:r>
          </w:p>
        </w:tc>
        <w:tc>
          <w:tcPr>
            <w:tcW w:w="1164" w:type="dxa"/>
            <w:hideMark/>
          </w:tcPr>
          <w:p w14:paraId="0CBC7ECF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36597384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5/103 (4.9%)</w:t>
            </w:r>
          </w:p>
        </w:tc>
        <w:tc>
          <w:tcPr>
            <w:tcW w:w="1248" w:type="dxa"/>
            <w:hideMark/>
          </w:tcPr>
          <w:p w14:paraId="20B14EC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4D283648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2/27 (7.4%)</w:t>
            </w:r>
          </w:p>
        </w:tc>
        <w:tc>
          <w:tcPr>
            <w:tcW w:w="0" w:type="auto"/>
            <w:hideMark/>
          </w:tcPr>
          <w:p w14:paraId="1AB74A04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−0.11</w:t>
            </w:r>
          </w:p>
        </w:tc>
      </w:tr>
      <w:tr w:rsidR="001422EA" w:rsidRPr="001422EA" w14:paraId="63165188" w14:textId="77777777" w:rsidTr="001422EA">
        <w:tc>
          <w:tcPr>
            <w:tcW w:w="0" w:type="auto"/>
            <w:hideMark/>
          </w:tcPr>
          <w:p w14:paraId="6B1FE363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Lesion location: supratentorial</w:t>
            </w:r>
          </w:p>
        </w:tc>
        <w:tc>
          <w:tcPr>
            <w:tcW w:w="1164" w:type="dxa"/>
            <w:hideMark/>
          </w:tcPr>
          <w:p w14:paraId="4163434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1818CD71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68/103 (66.0%)</w:t>
            </w:r>
          </w:p>
        </w:tc>
        <w:tc>
          <w:tcPr>
            <w:tcW w:w="1248" w:type="dxa"/>
            <w:hideMark/>
          </w:tcPr>
          <w:p w14:paraId="0A8E28F1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0AC56492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20/27 (74.1%)</w:t>
            </w:r>
          </w:p>
        </w:tc>
        <w:tc>
          <w:tcPr>
            <w:tcW w:w="0" w:type="auto"/>
            <w:hideMark/>
          </w:tcPr>
          <w:p w14:paraId="51AFDF4C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−0.18</w:t>
            </w:r>
          </w:p>
        </w:tc>
      </w:tr>
      <w:tr w:rsidR="001422EA" w:rsidRPr="001422EA" w14:paraId="5722B61F" w14:textId="77777777" w:rsidTr="001422EA">
        <w:tc>
          <w:tcPr>
            <w:tcW w:w="0" w:type="auto"/>
            <w:hideMark/>
          </w:tcPr>
          <w:p w14:paraId="6A42AFF6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Lesion location: infratentorial</w:t>
            </w:r>
          </w:p>
        </w:tc>
        <w:tc>
          <w:tcPr>
            <w:tcW w:w="1164" w:type="dxa"/>
            <w:hideMark/>
          </w:tcPr>
          <w:p w14:paraId="1B655D3E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1AB6C414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34/103 (33.0%)</w:t>
            </w:r>
          </w:p>
        </w:tc>
        <w:tc>
          <w:tcPr>
            <w:tcW w:w="1248" w:type="dxa"/>
            <w:hideMark/>
          </w:tcPr>
          <w:p w14:paraId="708D01B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6C87AA23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7/27 (25.9%)</w:t>
            </w:r>
          </w:p>
        </w:tc>
        <w:tc>
          <w:tcPr>
            <w:tcW w:w="0" w:type="auto"/>
            <w:hideMark/>
          </w:tcPr>
          <w:p w14:paraId="2B96E6D8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0.16</w:t>
            </w:r>
          </w:p>
        </w:tc>
      </w:tr>
      <w:tr w:rsidR="001422EA" w:rsidRPr="001422EA" w14:paraId="34430280" w14:textId="77777777" w:rsidTr="001422EA">
        <w:tc>
          <w:tcPr>
            <w:tcW w:w="0" w:type="auto"/>
            <w:hideMark/>
          </w:tcPr>
          <w:p w14:paraId="69B1B24E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Lesion location: brainstem</w:t>
            </w:r>
          </w:p>
        </w:tc>
        <w:tc>
          <w:tcPr>
            <w:tcW w:w="1164" w:type="dxa"/>
            <w:hideMark/>
          </w:tcPr>
          <w:p w14:paraId="61123B84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1382275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1/103 (1.0%)</w:t>
            </w:r>
          </w:p>
        </w:tc>
        <w:tc>
          <w:tcPr>
            <w:tcW w:w="1248" w:type="dxa"/>
            <w:hideMark/>
          </w:tcPr>
          <w:p w14:paraId="032C467F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54991C5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0/27 (0.0%)</w:t>
            </w:r>
          </w:p>
        </w:tc>
        <w:tc>
          <w:tcPr>
            <w:tcW w:w="0" w:type="auto"/>
            <w:hideMark/>
          </w:tcPr>
          <w:p w14:paraId="10E1749A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0.14</w:t>
            </w:r>
          </w:p>
        </w:tc>
      </w:tr>
      <w:tr w:rsidR="001422EA" w:rsidRPr="001422EA" w14:paraId="1AF59D66" w14:textId="77777777" w:rsidTr="001422EA">
        <w:tc>
          <w:tcPr>
            <w:tcW w:w="0" w:type="auto"/>
            <w:hideMark/>
          </w:tcPr>
          <w:p w14:paraId="09C3B814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Molecular subtype: HER2-positive</w:t>
            </w:r>
          </w:p>
        </w:tc>
        <w:tc>
          <w:tcPr>
            <w:tcW w:w="1164" w:type="dxa"/>
            <w:hideMark/>
          </w:tcPr>
          <w:p w14:paraId="347986FF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353CB32A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52/103 (50.5%)</w:t>
            </w:r>
          </w:p>
        </w:tc>
        <w:tc>
          <w:tcPr>
            <w:tcW w:w="1248" w:type="dxa"/>
            <w:hideMark/>
          </w:tcPr>
          <w:p w14:paraId="74B21384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6EA3B72C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13/27 (48.1%)</w:t>
            </w:r>
          </w:p>
        </w:tc>
        <w:tc>
          <w:tcPr>
            <w:tcW w:w="0" w:type="auto"/>
            <w:hideMark/>
          </w:tcPr>
          <w:p w14:paraId="19B6F585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0.05</w:t>
            </w:r>
          </w:p>
        </w:tc>
      </w:tr>
      <w:tr w:rsidR="001422EA" w:rsidRPr="001422EA" w14:paraId="296A8A99" w14:textId="77777777" w:rsidTr="001422EA">
        <w:tc>
          <w:tcPr>
            <w:tcW w:w="0" w:type="auto"/>
            <w:hideMark/>
          </w:tcPr>
          <w:p w14:paraId="5BA420BA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lastRenderedPageBreak/>
              <w:t>Molecular subtype: Luminal B</w:t>
            </w:r>
          </w:p>
        </w:tc>
        <w:tc>
          <w:tcPr>
            <w:tcW w:w="1164" w:type="dxa"/>
            <w:hideMark/>
          </w:tcPr>
          <w:p w14:paraId="42887522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080272F8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33/103 (32.0%)</w:t>
            </w:r>
          </w:p>
        </w:tc>
        <w:tc>
          <w:tcPr>
            <w:tcW w:w="1248" w:type="dxa"/>
            <w:hideMark/>
          </w:tcPr>
          <w:p w14:paraId="610150DC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0A87EDAE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13/27 (48.1%)</w:t>
            </w:r>
          </w:p>
        </w:tc>
        <w:tc>
          <w:tcPr>
            <w:tcW w:w="0" w:type="auto"/>
            <w:hideMark/>
          </w:tcPr>
          <w:p w14:paraId="1BB5D2F4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−0.33</w:t>
            </w:r>
          </w:p>
        </w:tc>
      </w:tr>
      <w:tr w:rsidR="001422EA" w:rsidRPr="001422EA" w14:paraId="43EA0738" w14:textId="77777777" w:rsidTr="001422EA">
        <w:tc>
          <w:tcPr>
            <w:tcW w:w="0" w:type="auto"/>
            <w:hideMark/>
          </w:tcPr>
          <w:p w14:paraId="7753CCA5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Molecular subtype: triple-negative breast cancer</w:t>
            </w:r>
          </w:p>
        </w:tc>
        <w:tc>
          <w:tcPr>
            <w:tcW w:w="1164" w:type="dxa"/>
            <w:hideMark/>
          </w:tcPr>
          <w:p w14:paraId="64DED791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5400B8CE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18/103 (17.5%)</w:t>
            </w:r>
          </w:p>
        </w:tc>
        <w:tc>
          <w:tcPr>
            <w:tcW w:w="1248" w:type="dxa"/>
            <w:hideMark/>
          </w:tcPr>
          <w:p w14:paraId="3ABE9C9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3D8A19F5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1/27 (3.7%)</w:t>
            </w:r>
          </w:p>
        </w:tc>
        <w:tc>
          <w:tcPr>
            <w:tcW w:w="0" w:type="auto"/>
            <w:hideMark/>
          </w:tcPr>
          <w:p w14:paraId="7612A251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0.46</w:t>
            </w:r>
          </w:p>
        </w:tc>
      </w:tr>
      <w:tr w:rsidR="001422EA" w:rsidRPr="001422EA" w14:paraId="411E3121" w14:textId="77777777" w:rsidTr="001422EA">
        <w:tc>
          <w:tcPr>
            <w:tcW w:w="0" w:type="auto"/>
            <w:hideMark/>
          </w:tcPr>
          <w:p w14:paraId="0423CAAF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HR status: positive</w:t>
            </w:r>
          </w:p>
        </w:tc>
        <w:tc>
          <w:tcPr>
            <w:tcW w:w="1164" w:type="dxa"/>
            <w:hideMark/>
          </w:tcPr>
          <w:p w14:paraId="6C235F28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99</w:t>
            </w:r>
          </w:p>
        </w:tc>
        <w:tc>
          <w:tcPr>
            <w:tcW w:w="1446" w:type="dxa"/>
            <w:hideMark/>
          </w:tcPr>
          <w:p w14:paraId="24067B9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33/99 (33.3%)</w:t>
            </w:r>
          </w:p>
        </w:tc>
        <w:tc>
          <w:tcPr>
            <w:tcW w:w="1248" w:type="dxa"/>
            <w:hideMark/>
          </w:tcPr>
          <w:p w14:paraId="27C025A6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1623" w:type="dxa"/>
            <w:hideMark/>
          </w:tcPr>
          <w:p w14:paraId="11712A53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10/23 (43.5%)</w:t>
            </w:r>
          </w:p>
        </w:tc>
        <w:tc>
          <w:tcPr>
            <w:tcW w:w="0" w:type="auto"/>
            <w:hideMark/>
          </w:tcPr>
          <w:p w14:paraId="3D715D8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−0.21</w:t>
            </w:r>
          </w:p>
        </w:tc>
      </w:tr>
      <w:tr w:rsidR="001422EA" w:rsidRPr="001422EA" w14:paraId="4CE67475" w14:textId="77777777" w:rsidTr="001422EA">
        <w:tc>
          <w:tcPr>
            <w:tcW w:w="0" w:type="auto"/>
            <w:hideMark/>
          </w:tcPr>
          <w:p w14:paraId="3E4F8918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HER2 status: positive</w:t>
            </w:r>
          </w:p>
        </w:tc>
        <w:tc>
          <w:tcPr>
            <w:tcW w:w="1164" w:type="dxa"/>
            <w:hideMark/>
          </w:tcPr>
          <w:p w14:paraId="0C4B29D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87</w:t>
            </w:r>
          </w:p>
        </w:tc>
        <w:tc>
          <w:tcPr>
            <w:tcW w:w="1446" w:type="dxa"/>
            <w:hideMark/>
          </w:tcPr>
          <w:p w14:paraId="3A91324A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60/87 (69.0%)</w:t>
            </w:r>
          </w:p>
        </w:tc>
        <w:tc>
          <w:tcPr>
            <w:tcW w:w="1248" w:type="dxa"/>
            <w:hideMark/>
          </w:tcPr>
          <w:p w14:paraId="6F430D28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19</w:t>
            </w:r>
          </w:p>
        </w:tc>
        <w:tc>
          <w:tcPr>
            <w:tcW w:w="1623" w:type="dxa"/>
            <w:hideMark/>
          </w:tcPr>
          <w:p w14:paraId="7A5CB44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11/19 (57.9%)</w:t>
            </w:r>
          </w:p>
        </w:tc>
        <w:tc>
          <w:tcPr>
            <w:tcW w:w="0" w:type="auto"/>
            <w:hideMark/>
          </w:tcPr>
          <w:p w14:paraId="517D3EFE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0.23</w:t>
            </w:r>
          </w:p>
        </w:tc>
      </w:tr>
      <w:tr w:rsidR="001422EA" w:rsidRPr="001422EA" w14:paraId="7A7D8052" w14:textId="77777777" w:rsidTr="001422EA">
        <w:tc>
          <w:tcPr>
            <w:tcW w:w="0" w:type="auto"/>
            <w:hideMark/>
          </w:tcPr>
          <w:p w14:paraId="400E92B5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Extracranial metastasis</w:t>
            </w:r>
          </w:p>
        </w:tc>
        <w:tc>
          <w:tcPr>
            <w:tcW w:w="1164" w:type="dxa"/>
            <w:hideMark/>
          </w:tcPr>
          <w:p w14:paraId="0A1EFA4E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61753FED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83/103 (80.6%)</w:t>
            </w:r>
          </w:p>
        </w:tc>
        <w:tc>
          <w:tcPr>
            <w:tcW w:w="1248" w:type="dxa"/>
            <w:hideMark/>
          </w:tcPr>
          <w:p w14:paraId="6A224CC6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40E8346D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22/27 (81.5%)</w:t>
            </w:r>
          </w:p>
        </w:tc>
        <w:tc>
          <w:tcPr>
            <w:tcW w:w="0" w:type="auto"/>
            <w:hideMark/>
          </w:tcPr>
          <w:p w14:paraId="2730140A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−0.02</w:t>
            </w:r>
          </w:p>
        </w:tc>
      </w:tr>
      <w:tr w:rsidR="001422EA" w:rsidRPr="001422EA" w14:paraId="00EAEF28" w14:textId="77777777" w:rsidTr="001422EA">
        <w:tc>
          <w:tcPr>
            <w:tcW w:w="0" w:type="auto"/>
            <w:hideMark/>
          </w:tcPr>
          <w:p w14:paraId="3BB0CEF0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Prior WBRT</w:t>
            </w:r>
          </w:p>
        </w:tc>
        <w:tc>
          <w:tcPr>
            <w:tcW w:w="1164" w:type="dxa"/>
            <w:hideMark/>
          </w:tcPr>
          <w:p w14:paraId="08FF9E7D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516FD7F5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34/103 (33.0%)</w:t>
            </w:r>
          </w:p>
        </w:tc>
        <w:tc>
          <w:tcPr>
            <w:tcW w:w="1248" w:type="dxa"/>
            <w:hideMark/>
          </w:tcPr>
          <w:p w14:paraId="4ABCB4D6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44723F9F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5/27 (18.5%)</w:t>
            </w:r>
          </w:p>
        </w:tc>
        <w:tc>
          <w:tcPr>
            <w:tcW w:w="0" w:type="auto"/>
            <w:hideMark/>
          </w:tcPr>
          <w:p w14:paraId="6DFF9458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0.34</w:t>
            </w:r>
          </w:p>
        </w:tc>
      </w:tr>
      <w:tr w:rsidR="001422EA" w:rsidRPr="001422EA" w14:paraId="61963E9F" w14:textId="77777777" w:rsidTr="001422EA">
        <w:tc>
          <w:tcPr>
            <w:tcW w:w="0" w:type="auto"/>
            <w:hideMark/>
          </w:tcPr>
          <w:p w14:paraId="4FE57652" w14:textId="77777777" w:rsidR="001422EA" w:rsidRPr="001422EA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Prior intracranial surgery</w:t>
            </w:r>
          </w:p>
        </w:tc>
        <w:tc>
          <w:tcPr>
            <w:tcW w:w="1164" w:type="dxa"/>
            <w:hideMark/>
          </w:tcPr>
          <w:p w14:paraId="30F908C0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1446" w:type="dxa"/>
            <w:hideMark/>
          </w:tcPr>
          <w:p w14:paraId="5CD16E56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35/103 (34.0%)</w:t>
            </w:r>
          </w:p>
        </w:tc>
        <w:tc>
          <w:tcPr>
            <w:tcW w:w="1248" w:type="dxa"/>
            <w:hideMark/>
          </w:tcPr>
          <w:p w14:paraId="6982C91C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1623" w:type="dxa"/>
            <w:hideMark/>
          </w:tcPr>
          <w:p w14:paraId="596A184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3/27 (11.1%)</w:t>
            </w:r>
          </w:p>
        </w:tc>
        <w:tc>
          <w:tcPr>
            <w:tcW w:w="0" w:type="auto"/>
            <w:hideMark/>
          </w:tcPr>
          <w:p w14:paraId="5632453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1422EA">
              <w:rPr>
                <w:bCs/>
                <w:sz w:val="16"/>
                <w:szCs w:val="16"/>
              </w:rPr>
              <w:t>0.57</w:t>
            </w:r>
          </w:p>
        </w:tc>
      </w:tr>
    </w:tbl>
    <w:p w14:paraId="5BED4C53" w14:textId="77777777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1422EA">
        <w:rPr>
          <w:rFonts w:ascii="Times New Roman" w:hAnsi="Times New Roman" w:cs="Times New Roman"/>
          <w:bCs/>
          <w:sz w:val="20"/>
          <w:szCs w:val="20"/>
        </w:rPr>
        <w:t xml:space="preserve"> Continuous variables are presented as median (IQR), and categorical variables as n/N (%). Available n is shown because retrospective documentation was incomplete for some variables. Patient-level covariates are lesion-weighted in this lesion-level comparison. An absolute SMD &gt; 0.10 was used descriptively to indicate potential imbalance, not as a significance threshold. ET, enhancing tumor; GKRS, Gamma Knife radiosurgery; HER2, human epidermal growth factor receptor 2; HR, hormone receptor; IQR, interquartile range; KPS, Karnofsky Performance Status; LC₁₂m, 12-month local control; SMD, standardized mean difference; WBRT, whole-brain radiotherapy; WT, whole tumor.</w:t>
      </w:r>
    </w:p>
    <w:p w14:paraId="2BB9EE1A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569B74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EFE05D3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BBC1528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93F8E0C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CD8816C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22621D0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8A37566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AC8889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333523F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23BE17A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23CCDE3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BC3D37E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ADD715C" w14:textId="77777777" w:rsid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C545E86" w14:textId="52957605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S2. Prespecified Bayesian mixed-effects model and same-covariate patient-clustered GEE sensitivity analysis for local failure</w:t>
      </w:r>
    </w:p>
    <w:tbl>
      <w:tblPr>
        <w:tblStyle w:val="gg"/>
        <w:tblW w:w="8505" w:type="dxa"/>
        <w:tblLook w:val="04A0" w:firstRow="1" w:lastRow="0" w:firstColumn="1" w:lastColumn="0" w:noHBand="0" w:noVBand="1"/>
      </w:tblPr>
      <w:tblGrid>
        <w:gridCol w:w="2694"/>
        <w:gridCol w:w="2409"/>
        <w:gridCol w:w="1985"/>
        <w:gridCol w:w="1417"/>
      </w:tblGrid>
      <w:tr w:rsidR="001422EA" w:rsidRPr="001422EA" w14:paraId="4B58AE61" w14:textId="77777777" w:rsidTr="001422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4" w:type="dxa"/>
            <w:hideMark/>
          </w:tcPr>
          <w:p w14:paraId="4BBB224E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Variable</w:t>
            </w:r>
          </w:p>
        </w:tc>
        <w:tc>
          <w:tcPr>
            <w:tcW w:w="2409" w:type="dxa"/>
            <w:hideMark/>
          </w:tcPr>
          <w:p w14:paraId="651FEC44" w14:textId="77777777" w:rsidR="001422EA" w:rsidRPr="001422EA" w:rsidRDefault="001422EA" w:rsidP="001422EA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 xml:space="preserve">Bayesian OR (95% </w:t>
            </w:r>
            <w:proofErr w:type="spellStart"/>
            <w:r w:rsidRPr="001422EA">
              <w:rPr>
                <w:b/>
                <w:bCs/>
                <w:sz w:val="20"/>
              </w:rPr>
              <w:t>CrI</w:t>
            </w:r>
            <w:proofErr w:type="spellEnd"/>
            <w:r w:rsidRPr="001422EA">
              <w:rPr>
                <w:b/>
                <w:bCs/>
                <w:sz w:val="20"/>
              </w:rPr>
              <w:t>)</w:t>
            </w:r>
          </w:p>
        </w:tc>
        <w:tc>
          <w:tcPr>
            <w:tcW w:w="1985" w:type="dxa"/>
            <w:hideMark/>
          </w:tcPr>
          <w:p w14:paraId="14B7D60E" w14:textId="77777777" w:rsidR="001422EA" w:rsidRPr="001422EA" w:rsidRDefault="001422EA" w:rsidP="001422EA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GEE OR (95% CI)</w:t>
            </w:r>
          </w:p>
        </w:tc>
        <w:tc>
          <w:tcPr>
            <w:tcW w:w="1417" w:type="dxa"/>
            <w:hideMark/>
          </w:tcPr>
          <w:p w14:paraId="6B9B9965" w14:textId="77777777" w:rsidR="001422EA" w:rsidRPr="001422EA" w:rsidRDefault="001422EA" w:rsidP="001422EA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GEE p value</w:t>
            </w:r>
          </w:p>
        </w:tc>
      </w:tr>
      <w:tr w:rsidR="001422EA" w:rsidRPr="001422EA" w14:paraId="7D780EC2" w14:textId="77777777" w:rsidTr="001422EA">
        <w:tc>
          <w:tcPr>
            <w:tcW w:w="2694" w:type="dxa"/>
            <w:hideMark/>
          </w:tcPr>
          <w:p w14:paraId="24268E4A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proofErr w:type="gramStart"/>
            <w:r w:rsidRPr="001422EA">
              <w:rPr>
                <w:bCs/>
                <w:sz w:val="20"/>
              </w:rPr>
              <w:t>ln[</w:t>
            </w:r>
            <w:proofErr w:type="gramEnd"/>
            <w:r w:rsidRPr="001422EA">
              <w:rPr>
                <w:bCs/>
                <w:sz w:val="20"/>
              </w:rPr>
              <w:t>1 + baseline WT volume (cm³)]</w:t>
            </w:r>
          </w:p>
        </w:tc>
        <w:tc>
          <w:tcPr>
            <w:tcW w:w="2409" w:type="dxa"/>
            <w:hideMark/>
          </w:tcPr>
          <w:p w14:paraId="762D788F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1.840 (1.034–3.275)</w:t>
            </w:r>
          </w:p>
        </w:tc>
        <w:tc>
          <w:tcPr>
            <w:tcW w:w="1985" w:type="dxa"/>
            <w:hideMark/>
          </w:tcPr>
          <w:p w14:paraId="4976F152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1.482 (0.665–3.303)</w:t>
            </w:r>
          </w:p>
        </w:tc>
        <w:tc>
          <w:tcPr>
            <w:tcW w:w="1417" w:type="dxa"/>
            <w:hideMark/>
          </w:tcPr>
          <w:p w14:paraId="7314BBDD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0.336</w:t>
            </w:r>
          </w:p>
        </w:tc>
      </w:tr>
      <w:tr w:rsidR="001422EA" w:rsidRPr="001422EA" w14:paraId="6CE777A2" w14:textId="77777777" w:rsidTr="001422EA">
        <w:tc>
          <w:tcPr>
            <w:tcW w:w="2694" w:type="dxa"/>
            <w:hideMark/>
          </w:tcPr>
          <w:p w14:paraId="01DB23E3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Qualitative edema</w:t>
            </w:r>
          </w:p>
        </w:tc>
        <w:tc>
          <w:tcPr>
            <w:tcW w:w="2409" w:type="dxa"/>
            <w:hideMark/>
          </w:tcPr>
          <w:p w14:paraId="4EFC753C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2.201 (1.062–4.564)</w:t>
            </w:r>
          </w:p>
        </w:tc>
        <w:tc>
          <w:tcPr>
            <w:tcW w:w="1985" w:type="dxa"/>
            <w:hideMark/>
          </w:tcPr>
          <w:p w14:paraId="462A5A5D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1.519 (0.737–3.128)</w:t>
            </w:r>
          </w:p>
        </w:tc>
        <w:tc>
          <w:tcPr>
            <w:tcW w:w="1417" w:type="dxa"/>
            <w:hideMark/>
          </w:tcPr>
          <w:p w14:paraId="61D96AEA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0.257</w:t>
            </w:r>
          </w:p>
        </w:tc>
      </w:tr>
      <w:tr w:rsidR="001422EA" w:rsidRPr="001422EA" w14:paraId="782758D5" w14:textId="77777777" w:rsidTr="001422EA">
        <w:tc>
          <w:tcPr>
            <w:tcW w:w="2694" w:type="dxa"/>
            <w:hideMark/>
          </w:tcPr>
          <w:p w14:paraId="06E57FE3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BED₁₀ per 10 Gy</w:t>
            </w:r>
          </w:p>
        </w:tc>
        <w:tc>
          <w:tcPr>
            <w:tcW w:w="2409" w:type="dxa"/>
            <w:hideMark/>
          </w:tcPr>
          <w:p w14:paraId="2D67C8A9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0.756 (0.699–0.818)</w:t>
            </w:r>
          </w:p>
        </w:tc>
        <w:tc>
          <w:tcPr>
            <w:tcW w:w="1985" w:type="dxa"/>
            <w:hideMark/>
          </w:tcPr>
          <w:p w14:paraId="0189C0C8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0.867 (0.701–1.072)</w:t>
            </w:r>
          </w:p>
        </w:tc>
        <w:tc>
          <w:tcPr>
            <w:tcW w:w="1417" w:type="dxa"/>
            <w:hideMark/>
          </w:tcPr>
          <w:p w14:paraId="1CB573C7" w14:textId="77777777" w:rsidR="001422EA" w:rsidRPr="001422EA" w:rsidRDefault="001422EA" w:rsidP="001422EA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0.187</w:t>
            </w:r>
          </w:p>
        </w:tc>
      </w:tr>
    </w:tbl>
    <w:p w14:paraId="1887C9EC" w14:textId="77777777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1422EA">
        <w:rPr>
          <w:rFonts w:ascii="Times New Roman" w:hAnsi="Times New Roman" w:cs="Times New Roman"/>
          <w:bCs/>
          <w:sz w:val="20"/>
          <w:szCs w:val="20"/>
        </w:rPr>
        <w:t xml:space="preserve"> Both models included the same 100 lesions from 46 patients, including 33 local failures. The GEE used an exchangeable working correlation, patient-level clustering, and robust sandwich covariance. BED₁₀ values were derived from verified lesion-to-target dose mapping. BED₁₀, biologically effective dose using an α/β ratio of 10 Gy; CI, confidence interval; </w:t>
      </w:r>
      <w:proofErr w:type="spellStart"/>
      <w:r w:rsidRPr="001422EA">
        <w:rPr>
          <w:rFonts w:ascii="Times New Roman" w:hAnsi="Times New Roman" w:cs="Times New Roman"/>
          <w:bCs/>
          <w:sz w:val="20"/>
          <w:szCs w:val="20"/>
        </w:rPr>
        <w:t>CrI</w:t>
      </w:r>
      <w:proofErr w:type="spellEnd"/>
      <w:r w:rsidRPr="001422EA">
        <w:rPr>
          <w:rFonts w:ascii="Times New Roman" w:hAnsi="Times New Roman" w:cs="Times New Roman"/>
          <w:bCs/>
          <w:sz w:val="20"/>
          <w:szCs w:val="20"/>
        </w:rPr>
        <w:t>, credible interval; GEE, generalized estimating equation; OR, odds ratio; WT, whole tumor.</w:t>
      </w:r>
    </w:p>
    <w:p w14:paraId="71EE3B37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0AF6E5F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D13DD3C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EDD201F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8F0B2AC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B91B4F3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2FF8E8A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956C616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3AF9160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B68C1E0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A11DD55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E00C3D1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BDBD23C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4A39E49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013E5EC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FD6B1AE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785E21E" w14:textId="5668717D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S3. Sensitivity analyses of BED₁₀ associations with local failure and longitudinal response phenotype</w:t>
      </w:r>
    </w:p>
    <w:p w14:paraId="064066E7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A. BED₁₀ distribution by local-control status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2835"/>
        <w:gridCol w:w="1843"/>
        <w:gridCol w:w="2410"/>
      </w:tblGrid>
      <w:tr w:rsidR="001422EA" w:rsidRPr="001422EA" w14:paraId="7FF9F990" w14:textId="77777777" w:rsidTr="00651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  <w:hideMark/>
          </w:tcPr>
          <w:p w14:paraId="6FB862C3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Local-control status</w:t>
            </w:r>
          </w:p>
        </w:tc>
        <w:tc>
          <w:tcPr>
            <w:tcW w:w="1843" w:type="dxa"/>
            <w:hideMark/>
          </w:tcPr>
          <w:p w14:paraId="0FB1D18C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n</w:t>
            </w:r>
          </w:p>
        </w:tc>
        <w:tc>
          <w:tcPr>
            <w:tcW w:w="2410" w:type="dxa"/>
            <w:hideMark/>
          </w:tcPr>
          <w:p w14:paraId="33C0A155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BED₁₀, median (IQR), Gy</w:t>
            </w:r>
          </w:p>
        </w:tc>
      </w:tr>
      <w:tr w:rsidR="001422EA" w:rsidRPr="001422EA" w14:paraId="316E3E07" w14:textId="77777777" w:rsidTr="006510F7">
        <w:tc>
          <w:tcPr>
            <w:tcW w:w="2835" w:type="dxa"/>
            <w:hideMark/>
          </w:tcPr>
          <w:p w14:paraId="33E818A7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Local control</w:t>
            </w:r>
          </w:p>
        </w:tc>
        <w:tc>
          <w:tcPr>
            <w:tcW w:w="1843" w:type="dxa"/>
            <w:hideMark/>
          </w:tcPr>
          <w:p w14:paraId="6A068493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67</w:t>
            </w:r>
          </w:p>
        </w:tc>
        <w:tc>
          <w:tcPr>
            <w:tcW w:w="2410" w:type="dxa"/>
            <w:hideMark/>
          </w:tcPr>
          <w:p w14:paraId="1718E74D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76.18 (56.84–112.08)</w:t>
            </w:r>
          </w:p>
        </w:tc>
      </w:tr>
      <w:tr w:rsidR="001422EA" w:rsidRPr="001422EA" w14:paraId="525EC3CD" w14:textId="77777777" w:rsidTr="006510F7">
        <w:tc>
          <w:tcPr>
            <w:tcW w:w="2835" w:type="dxa"/>
            <w:hideMark/>
          </w:tcPr>
          <w:p w14:paraId="6D4E7033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Local failure</w:t>
            </w:r>
          </w:p>
        </w:tc>
        <w:tc>
          <w:tcPr>
            <w:tcW w:w="1843" w:type="dxa"/>
            <w:hideMark/>
          </w:tcPr>
          <w:p w14:paraId="753356AD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33</w:t>
            </w:r>
          </w:p>
        </w:tc>
        <w:tc>
          <w:tcPr>
            <w:tcW w:w="2410" w:type="dxa"/>
            <w:hideMark/>
          </w:tcPr>
          <w:p w14:paraId="4D911851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53.89 (41.92–73.80)</w:t>
            </w:r>
          </w:p>
        </w:tc>
      </w:tr>
    </w:tbl>
    <w:p w14:paraId="188A6A4A" w14:textId="77777777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1422EA">
        <w:rPr>
          <w:rFonts w:ascii="Times New Roman" w:hAnsi="Times New Roman" w:cs="Times New Roman"/>
          <w:bCs/>
          <w:sz w:val="20"/>
          <w:szCs w:val="20"/>
        </w:rPr>
        <w:t xml:space="preserve"> Two-sided Mann–Whitney U = 1573; p &lt; 0.001.</w:t>
      </w:r>
    </w:p>
    <w:p w14:paraId="111C520E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B. Linear BED₁₀ model adjusted for baseline WT volume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2972"/>
        <w:gridCol w:w="666"/>
        <w:gridCol w:w="1216"/>
        <w:gridCol w:w="833"/>
        <w:gridCol w:w="945"/>
        <w:gridCol w:w="1056"/>
      </w:tblGrid>
      <w:tr w:rsidR="001422EA" w:rsidRPr="001422EA" w14:paraId="32ECA368" w14:textId="77777777" w:rsidTr="00651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684AD45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Term</w:t>
            </w:r>
          </w:p>
        </w:tc>
        <w:tc>
          <w:tcPr>
            <w:tcW w:w="0" w:type="auto"/>
            <w:hideMark/>
          </w:tcPr>
          <w:p w14:paraId="2AF7DCCD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OR</w:t>
            </w:r>
          </w:p>
        </w:tc>
        <w:tc>
          <w:tcPr>
            <w:tcW w:w="0" w:type="auto"/>
            <w:hideMark/>
          </w:tcPr>
          <w:p w14:paraId="01DE68D0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95% CI</w:t>
            </w:r>
          </w:p>
        </w:tc>
        <w:tc>
          <w:tcPr>
            <w:tcW w:w="0" w:type="auto"/>
            <w:hideMark/>
          </w:tcPr>
          <w:p w14:paraId="4C6799DA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p value</w:t>
            </w:r>
          </w:p>
        </w:tc>
        <w:tc>
          <w:tcPr>
            <w:tcW w:w="0" w:type="auto"/>
            <w:hideMark/>
          </w:tcPr>
          <w:p w14:paraId="3D861312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n lesions</w:t>
            </w:r>
          </w:p>
        </w:tc>
        <w:tc>
          <w:tcPr>
            <w:tcW w:w="0" w:type="auto"/>
            <w:hideMark/>
          </w:tcPr>
          <w:p w14:paraId="5B965FF8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n patients</w:t>
            </w:r>
          </w:p>
        </w:tc>
      </w:tr>
      <w:tr w:rsidR="001422EA" w:rsidRPr="001422EA" w14:paraId="1D08F88E" w14:textId="77777777" w:rsidTr="006510F7">
        <w:tc>
          <w:tcPr>
            <w:tcW w:w="0" w:type="auto"/>
            <w:hideMark/>
          </w:tcPr>
          <w:p w14:paraId="3B459F5A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BED₁₀ per 10 Gy</w:t>
            </w:r>
          </w:p>
        </w:tc>
        <w:tc>
          <w:tcPr>
            <w:tcW w:w="0" w:type="auto"/>
            <w:hideMark/>
          </w:tcPr>
          <w:p w14:paraId="78FF1FFA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0.851</w:t>
            </w:r>
          </w:p>
        </w:tc>
        <w:tc>
          <w:tcPr>
            <w:tcW w:w="0" w:type="auto"/>
            <w:hideMark/>
          </w:tcPr>
          <w:p w14:paraId="6E7AA351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0.659–1.099</w:t>
            </w:r>
          </w:p>
        </w:tc>
        <w:tc>
          <w:tcPr>
            <w:tcW w:w="0" w:type="auto"/>
            <w:hideMark/>
          </w:tcPr>
          <w:p w14:paraId="71D85109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0.215</w:t>
            </w:r>
          </w:p>
        </w:tc>
        <w:tc>
          <w:tcPr>
            <w:tcW w:w="0" w:type="auto"/>
            <w:hideMark/>
          </w:tcPr>
          <w:p w14:paraId="12A9B4CB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100</w:t>
            </w:r>
          </w:p>
        </w:tc>
        <w:tc>
          <w:tcPr>
            <w:tcW w:w="0" w:type="auto"/>
            <w:hideMark/>
          </w:tcPr>
          <w:p w14:paraId="1389803A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46</w:t>
            </w:r>
          </w:p>
        </w:tc>
      </w:tr>
      <w:tr w:rsidR="001422EA" w:rsidRPr="001422EA" w14:paraId="78D7CB8F" w14:textId="77777777" w:rsidTr="006510F7">
        <w:tc>
          <w:tcPr>
            <w:tcW w:w="0" w:type="auto"/>
            <w:hideMark/>
          </w:tcPr>
          <w:p w14:paraId="7C341DFF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proofErr w:type="gramStart"/>
            <w:r w:rsidRPr="001422EA">
              <w:rPr>
                <w:bCs/>
                <w:sz w:val="20"/>
              </w:rPr>
              <w:t>ln[</w:t>
            </w:r>
            <w:proofErr w:type="gramEnd"/>
            <w:r w:rsidRPr="001422EA">
              <w:rPr>
                <w:bCs/>
                <w:sz w:val="20"/>
              </w:rPr>
              <w:t>1 + baseline WT volume (cm³)]</w:t>
            </w:r>
          </w:p>
        </w:tc>
        <w:tc>
          <w:tcPr>
            <w:tcW w:w="0" w:type="auto"/>
            <w:hideMark/>
          </w:tcPr>
          <w:p w14:paraId="766FCB9A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1.780</w:t>
            </w:r>
          </w:p>
        </w:tc>
        <w:tc>
          <w:tcPr>
            <w:tcW w:w="0" w:type="auto"/>
            <w:hideMark/>
          </w:tcPr>
          <w:p w14:paraId="39E2B879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0.807–3.930</w:t>
            </w:r>
          </w:p>
        </w:tc>
        <w:tc>
          <w:tcPr>
            <w:tcW w:w="0" w:type="auto"/>
            <w:hideMark/>
          </w:tcPr>
          <w:p w14:paraId="49CBD897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0.153</w:t>
            </w:r>
          </w:p>
        </w:tc>
        <w:tc>
          <w:tcPr>
            <w:tcW w:w="0" w:type="auto"/>
            <w:hideMark/>
          </w:tcPr>
          <w:p w14:paraId="2C410282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100</w:t>
            </w:r>
          </w:p>
        </w:tc>
        <w:tc>
          <w:tcPr>
            <w:tcW w:w="0" w:type="auto"/>
            <w:hideMark/>
          </w:tcPr>
          <w:p w14:paraId="5509ED0C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46</w:t>
            </w:r>
          </w:p>
        </w:tc>
      </w:tr>
    </w:tbl>
    <w:p w14:paraId="09A923DD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C. Linear versus restricted cubic spline model comparison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1028"/>
        <w:gridCol w:w="1200"/>
        <w:gridCol w:w="394"/>
        <w:gridCol w:w="833"/>
        <w:gridCol w:w="2106"/>
        <w:gridCol w:w="2095"/>
      </w:tblGrid>
      <w:tr w:rsidR="001422EA" w:rsidRPr="001422EA" w14:paraId="4BBCE84B" w14:textId="77777777" w:rsidTr="00651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8D192F4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Exposure</w:t>
            </w:r>
          </w:p>
        </w:tc>
        <w:tc>
          <w:tcPr>
            <w:tcW w:w="0" w:type="auto"/>
            <w:hideMark/>
          </w:tcPr>
          <w:p w14:paraId="5AFF60EC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LR statistic</w:t>
            </w:r>
          </w:p>
        </w:tc>
        <w:tc>
          <w:tcPr>
            <w:tcW w:w="0" w:type="auto"/>
            <w:hideMark/>
          </w:tcPr>
          <w:p w14:paraId="1236261D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proofErr w:type="spellStart"/>
            <w:r w:rsidRPr="001422EA">
              <w:rPr>
                <w:b/>
                <w:bCs/>
                <w:sz w:val="20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4260DAFC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p value</w:t>
            </w:r>
          </w:p>
        </w:tc>
        <w:tc>
          <w:tcPr>
            <w:tcW w:w="0" w:type="auto"/>
            <w:hideMark/>
          </w:tcPr>
          <w:p w14:paraId="18BDD515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ΔAIC (spline − linear)</w:t>
            </w:r>
          </w:p>
        </w:tc>
        <w:tc>
          <w:tcPr>
            <w:tcW w:w="0" w:type="auto"/>
            <w:hideMark/>
          </w:tcPr>
          <w:p w14:paraId="45A450CF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ΔBIC (spline − linear)</w:t>
            </w:r>
          </w:p>
        </w:tc>
      </w:tr>
      <w:tr w:rsidR="001422EA" w:rsidRPr="001422EA" w14:paraId="19B11426" w14:textId="77777777" w:rsidTr="006510F7">
        <w:tc>
          <w:tcPr>
            <w:tcW w:w="0" w:type="auto"/>
            <w:hideMark/>
          </w:tcPr>
          <w:p w14:paraId="29286FF2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BED₁₀</w:t>
            </w:r>
          </w:p>
        </w:tc>
        <w:tc>
          <w:tcPr>
            <w:tcW w:w="0" w:type="auto"/>
            <w:hideMark/>
          </w:tcPr>
          <w:p w14:paraId="0F5B6392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8.621</w:t>
            </w:r>
          </w:p>
        </w:tc>
        <w:tc>
          <w:tcPr>
            <w:tcW w:w="0" w:type="auto"/>
            <w:hideMark/>
          </w:tcPr>
          <w:p w14:paraId="4007848C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7B74C4A6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0.013</w:t>
            </w:r>
          </w:p>
        </w:tc>
        <w:tc>
          <w:tcPr>
            <w:tcW w:w="0" w:type="auto"/>
            <w:hideMark/>
          </w:tcPr>
          <w:p w14:paraId="49A913AF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−4.621</w:t>
            </w:r>
          </w:p>
        </w:tc>
        <w:tc>
          <w:tcPr>
            <w:tcW w:w="0" w:type="auto"/>
            <w:hideMark/>
          </w:tcPr>
          <w:p w14:paraId="7664F251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0.589</w:t>
            </w:r>
          </w:p>
        </w:tc>
      </w:tr>
      <w:tr w:rsidR="001422EA" w:rsidRPr="001422EA" w14:paraId="575FA5B4" w14:textId="77777777" w:rsidTr="006510F7">
        <w:tc>
          <w:tcPr>
            <w:tcW w:w="0" w:type="auto"/>
            <w:hideMark/>
          </w:tcPr>
          <w:p w14:paraId="395EC00F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EQD2</w:t>
            </w:r>
          </w:p>
        </w:tc>
        <w:tc>
          <w:tcPr>
            <w:tcW w:w="0" w:type="auto"/>
            <w:hideMark/>
          </w:tcPr>
          <w:p w14:paraId="02FAD984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8.621</w:t>
            </w:r>
          </w:p>
        </w:tc>
        <w:tc>
          <w:tcPr>
            <w:tcW w:w="0" w:type="auto"/>
            <w:hideMark/>
          </w:tcPr>
          <w:p w14:paraId="6C775D2A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3A3E07A7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0.013</w:t>
            </w:r>
          </w:p>
        </w:tc>
        <w:tc>
          <w:tcPr>
            <w:tcW w:w="0" w:type="auto"/>
            <w:hideMark/>
          </w:tcPr>
          <w:p w14:paraId="78B851BB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−4.621</w:t>
            </w:r>
          </w:p>
        </w:tc>
        <w:tc>
          <w:tcPr>
            <w:tcW w:w="0" w:type="auto"/>
            <w:hideMark/>
          </w:tcPr>
          <w:p w14:paraId="52245863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0.589</w:t>
            </w:r>
          </w:p>
        </w:tc>
      </w:tr>
    </w:tbl>
    <w:p w14:paraId="0B64DF22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D. Restricted cubic spline knot locations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1028"/>
        <w:gridCol w:w="1744"/>
        <w:gridCol w:w="1844"/>
        <w:gridCol w:w="1844"/>
        <w:gridCol w:w="1844"/>
      </w:tblGrid>
      <w:tr w:rsidR="001422EA" w:rsidRPr="001422EA" w14:paraId="38DA9988" w14:textId="77777777" w:rsidTr="00651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7D0CEAE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Exposure</w:t>
            </w:r>
          </w:p>
        </w:tc>
        <w:tc>
          <w:tcPr>
            <w:tcW w:w="0" w:type="auto"/>
            <w:hideMark/>
          </w:tcPr>
          <w:p w14:paraId="6095ACF2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5th percentile, Gy</w:t>
            </w:r>
          </w:p>
        </w:tc>
        <w:tc>
          <w:tcPr>
            <w:tcW w:w="0" w:type="auto"/>
            <w:hideMark/>
          </w:tcPr>
          <w:p w14:paraId="6918A18B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35th percentile, Gy</w:t>
            </w:r>
          </w:p>
        </w:tc>
        <w:tc>
          <w:tcPr>
            <w:tcW w:w="0" w:type="auto"/>
            <w:hideMark/>
          </w:tcPr>
          <w:p w14:paraId="70FA4555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65th percentile, Gy</w:t>
            </w:r>
          </w:p>
        </w:tc>
        <w:tc>
          <w:tcPr>
            <w:tcW w:w="0" w:type="auto"/>
            <w:hideMark/>
          </w:tcPr>
          <w:p w14:paraId="4C42C70A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95th percentile, Gy</w:t>
            </w:r>
          </w:p>
        </w:tc>
      </w:tr>
      <w:tr w:rsidR="001422EA" w:rsidRPr="001422EA" w14:paraId="0BD6D184" w14:textId="77777777" w:rsidTr="006510F7">
        <w:tc>
          <w:tcPr>
            <w:tcW w:w="0" w:type="auto"/>
            <w:hideMark/>
          </w:tcPr>
          <w:p w14:paraId="3540DA83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BED₁₀</w:t>
            </w:r>
          </w:p>
        </w:tc>
        <w:tc>
          <w:tcPr>
            <w:tcW w:w="0" w:type="auto"/>
            <w:hideMark/>
          </w:tcPr>
          <w:p w14:paraId="140BA0D8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40.71</w:t>
            </w:r>
          </w:p>
        </w:tc>
        <w:tc>
          <w:tcPr>
            <w:tcW w:w="0" w:type="auto"/>
            <w:hideMark/>
          </w:tcPr>
          <w:p w14:paraId="1D263C5D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55.53</w:t>
            </w:r>
          </w:p>
        </w:tc>
        <w:tc>
          <w:tcPr>
            <w:tcW w:w="0" w:type="auto"/>
            <w:hideMark/>
          </w:tcPr>
          <w:p w14:paraId="5EE6709C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81.85</w:t>
            </w:r>
          </w:p>
        </w:tc>
        <w:tc>
          <w:tcPr>
            <w:tcW w:w="0" w:type="auto"/>
            <w:hideMark/>
          </w:tcPr>
          <w:p w14:paraId="497AECAF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144.12</w:t>
            </w:r>
          </w:p>
        </w:tc>
      </w:tr>
      <w:tr w:rsidR="001422EA" w:rsidRPr="001422EA" w14:paraId="0CAA6DED" w14:textId="77777777" w:rsidTr="006510F7">
        <w:tc>
          <w:tcPr>
            <w:tcW w:w="0" w:type="auto"/>
            <w:hideMark/>
          </w:tcPr>
          <w:p w14:paraId="4B30638F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EQD2</w:t>
            </w:r>
          </w:p>
        </w:tc>
        <w:tc>
          <w:tcPr>
            <w:tcW w:w="0" w:type="auto"/>
            <w:hideMark/>
          </w:tcPr>
          <w:p w14:paraId="1A683E0B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33.92</w:t>
            </w:r>
          </w:p>
        </w:tc>
        <w:tc>
          <w:tcPr>
            <w:tcW w:w="0" w:type="auto"/>
            <w:hideMark/>
          </w:tcPr>
          <w:p w14:paraId="2C20DE59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46.28</w:t>
            </w:r>
          </w:p>
        </w:tc>
        <w:tc>
          <w:tcPr>
            <w:tcW w:w="0" w:type="auto"/>
            <w:hideMark/>
          </w:tcPr>
          <w:p w14:paraId="03FED893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68.21</w:t>
            </w:r>
          </w:p>
        </w:tc>
        <w:tc>
          <w:tcPr>
            <w:tcW w:w="0" w:type="auto"/>
            <w:hideMark/>
          </w:tcPr>
          <w:p w14:paraId="62C72384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120.10</w:t>
            </w:r>
          </w:p>
        </w:tc>
      </w:tr>
    </w:tbl>
    <w:p w14:paraId="0147D0F4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E. BED₁₀ comparison across the four response phenotypes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1985"/>
        <w:gridCol w:w="2693"/>
        <w:gridCol w:w="1418"/>
        <w:gridCol w:w="1417"/>
      </w:tblGrid>
      <w:tr w:rsidR="001422EA" w:rsidRPr="001422EA" w14:paraId="3302A749" w14:textId="77777777" w:rsidTr="00651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  <w:hideMark/>
          </w:tcPr>
          <w:p w14:paraId="3B27C86E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n lesions</w:t>
            </w:r>
          </w:p>
        </w:tc>
        <w:tc>
          <w:tcPr>
            <w:tcW w:w="2693" w:type="dxa"/>
            <w:hideMark/>
          </w:tcPr>
          <w:p w14:paraId="0040E8C0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Permutation statistic</w:t>
            </w:r>
          </w:p>
        </w:tc>
        <w:tc>
          <w:tcPr>
            <w:tcW w:w="1418" w:type="dxa"/>
            <w:hideMark/>
          </w:tcPr>
          <w:p w14:paraId="552DC2F3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p value</w:t>
            </w:r>
          </w:p>
        </w:tc>
        <w:tc>
          <w:tcPr>
            <w:tcW w:w="1417" w:type="dxa"/>
            <w:hideMark/>
          </w:tcPr>
          <w:p w14:paraId="579CBCC5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Permutations</w:t>
            </w:r>
          </w:p>
        </w:tc>
      </w:tr>
      <w:tr w:rsidR="001422EA" w:rsidRPr="001422EA" w14:paraId="676CA46E" w14:textId="77777777" w:rsidTr="006510F7">
        <w:tc>
          <w:tcPr>
            <w:tcW w:w="1985" w:type="dxa"/>
            <w:hideMark/>
          </w:tcPr>
          <w:p w14:paraId="07D86D92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150</w:t>
            </w:r>
          </w:p>
        </w:tc>
        <w:tc>
          <w:tcPr>
            <w:tcW w:w="2693" w:type="dxa"/>
            <w:hideMark/>
          </w:tcPr>
          <w:p w14:paraId="14F0298C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4.982</w:t>
            </w:r>
          </w:p>
        </w:tc>
        <w:tc>
          <w:tcPr>
            <w:tcW w:w="1418" w:type="dxa"/>
            <w:hideMark/>
          </w:tcPr>
          <w:p w14:paraId="5C76997A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0.173</w:t>
            </w:r>
          </w:p>
        </w:tc>
        <w:tc>
          <w:tcPr>
            <w:tcW w:w="1417" w:type="dxa"/>
            <w:hideMark/>
          </w:tcPr>
          <w:p w14:paraId="4CEAD14F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10,000</w:t>
            </w:r>
          </w:p>
        </w:tc>
      </w:tr>
    </w:tbl>
    <w:p w14:paraId="4DECFCE8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F. Patient-clustered GEE for progression phenotype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2972"/>
        <w:gridCol w:w="666"/>
        <w:gridCol w:w="1216"/>
        <w:gridCol w:w="833"/>
        <w:gridCol w:w="945"/>
        <w:gridCol w:w="1056"/>
      </w:tblGrid>
      <w:tr w:rsidR="001422EA" w:rsidRPr="001422EA" w14:paraId="5AA2F49E" w14:textId="77777777" w:rsidTr="00651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7AF2E2B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Term</w:t>
            </w:r>
          </w:p>
        </w:tc>
        <w:tc>
          <w:tcPr>
            <w:tcW w:w="0" w:type="auto"/>
            <w:hideMark/>
          </w:tcPr>
          <w:p w14:paraId="368AF1F3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OR</w:t>
            </w:r>
          </w:p>
        </w:tc>
        <w:tc>
          <w:tcPr>
            <w:tcW w:w="0" w:type="auto"/>
            <w:hideMark/>
          </w:tcPr>
          <w:p w14:paraId="0B70D850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95% CI</w:t>
            </w:r>
          </w:p>
        </w:tc>
        <w:tc>
          <w:tcPr>
            <w:tcW w:w="0" w:type="auto"/>
            <w:hideMark/>
          </w:tcPr>
          <w:p w14:paraId="03273129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p value</w:t>
            </w:r>
          </w:p>
        </w:tc>
        <w:tc>
          <w:tcPr>
            <w:tcW w:w="0" w:type="auto"/>
            <w:hideMark/>
          </w:tcPr>
          <w:p w14:paraId="119598EF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n lesions</w:t>
            </w:r>
          </w:p>
        </w:tc>
        <w:tc>
          <w:tcPr>
            <w:tcW w:w="0" w:type="auto"/>
            <w:hideMark/>
          </w:tcPr>
          <w:p w14:paraId="3318D4A8" w14:textId="77777777" w:rsidR="001422EA" w:rsidRPr="001422EA" w:rsidRDefault="001422EA" w:rsidP="006510F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n patients</w:t>
            </w:r>
          </w:p>
        </w:tc>
      </w:tr>
      <w:tr w:rsidR="001422EA" w:rsidRPr="001422EA" w14:paraId="2AFB448A" w14:textId="77777777" w:rsidTr="006510F7">
        <w:tc>
          <w:tcPr>
            <w:tcW w:w="0" w:type="auto"/>
            <w:hideMark/>
          </w:tcPr>
          <w:p w14:paraId="388F2518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Peritumoral edema present</w:t>
            </w:r>
          </w:p>
        </w:tc>
        <w:tc>
          <w:tcPr>
            <w:tcW w:w="0" w:type="auto"/>
            <w:hideMark/>
          </w:tcPr>
          <w:p w14:paraId="668EDF6F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1.038</w:t>
            </w:r>
          </w:p>
        </w:tc>
        <w:tc>
          <w:tcPr>
            <w:tcW w:w="0" w:type="auto"/>
            <w:hideMark/>
          </w:tcPr>
          <w:p w14:paraId="121E9DBD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0.371–2.906</w:t>
            </w:r>
          </w:p>
        </w:tc>
        <w:tc>
          <w:tcPr>
            <w:tcW w:w="0" w:type="auto"/>
            <w:hideMark/>
          </w:tcPr>
          <w:p w14:paraId="3B960B2A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0.943</w:t>
            </w:r>
          </w:p>
        </w:tc>
        <w:tc>
          <w:tcPr>
            <w:tcW w:w="0" w:type="auto"/>
            <w:hideMark/>
          </w:tcPr>
          <w:p w14:paraId="06372A3F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126</w:t>
            </w:r>
          </w:p>
        </w:tc>
        <w:tc>
          <w:tcPr>
            <w:tcW w:w="0" w:type="auto"/>
            <w:hideMark/>
          </w:tcPr>
          <w:p w14:paraId="0D5C5A27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54</w:t>
            </w:r>
          </w:p>
        </w:tc>
      </w:tr>
      <w:tr w:rsidR="001422EA" w:rsidRPr="001422EA" w14:paraId="21B44BF2" w14:textId="77777777" w:rsidTr="006510F7">
        <w:tc>
          <w:tcPr>
            <w:tcW w:w="0" w:type="auto"/>
            <w:hideMark/>
          </w:tcPr>
          <w:p w14:paraId="048128B8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proofErr w:type="gramStart"/>
            <w:r w:rsidRPr="001422EA">
              <w:rPr>
                <w:bCs/>
                <w:sz w:val="20"/>
              </w:rPr>
              <w:t>ln[</w:t>
            </w:r>
            <w:proofErr w:type="gramEnd"/>
            <w:r w:rsidRPr="001422EA">
              <w:rPr>
                <w:bCs/>
                <w:sz w:val="20"/>
              </w:rPr>
              <w:t>1 + baseline WT volume (cm³)]</w:t>
            </w:r>
          </w:p>
        </w:tc>
        <w:tc>
          <w:tcPr>
            <w:tcW w:w="0" w:type="auto"/>
            <w:hideMark/>
          </w:tcPr>
          <w:p w14:paraId="6A03D25D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0.504</w:t>
            </w:r>
          </w:p>
        </w:tc>
        <w:tc>
          <w:tcPr>
            <w:tcW w:w="0" w:type="auto"/>
            <w:hideMark/>
          </w:tcPr>
          <w:p w14:paraId="2FAA2A7B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0.147–1.730</w:t>
            </w:r>
          </w:p>
        </w:tc>
        <w:tc>
          <w:tcPr>
            <w:tcW w:w="0" w:type="auto"/>
            <w:hideMark/>
          </w:tcPr>
          <w:p w14:paraId="2E2C6B5B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0.276</w:t>
            </w:r>
          </w:p>
        </w:tc>
        <w:tc>
          <w:tcPr>
            <w:tcW w:w="0" w:type="auto"/>
            <w:hideMark/>
          </w:tcPr>
          <w:p w14:paraId="791F3E26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126</w:t>
            </w:r>
          </w:p>
        </w:tc>
        <w:tc>
          <w:tcPr>
            <w:tcW w:w="0" w:type="auto"/>
            <w:hideMark/>
          </w:tcPr>
          <w:p w14:paraId="3EA02B92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54</w:t>
            </w:r>
          </w:p>
        </w:tc>
      </w:tr>
      <w:tr w:rsidR="001422EA" w:rsidRPr="001422EA" w14:paraId="3594582B" w14:textId="77777777" w:rsidTr="006510F7">
        <w:tc>
          <w:tcPr>
            <w:tcW w:w="0" w:type="auto"/>
            <w:hideMark/>
          </w:tcPr>
          <w:p w14:paraId="1CD23678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lastRenderedPageBreak/>
              <w:t>BED₁₀ per 10 Gy</w:t>
            </w:r>
          </w:p>
        </w:tc>
        <w:tc>
          <w:tcPr>
            <w:tcW w:w="0" w:type="auto"/>
            <w:hideMark/>
          </w:tcPr>
          <w:p w14:paraId="47804BDF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0.952</w:t>
            </w:r>
          </w:p>
        </w:tc>
        <w:tc>
          <w:tcPr>
            <w:tcW w:w="0" w:type="auto"/>
            <w:hideMark/>
          </w:tcPr>
          <w:p w14:paraId="1FEB7F48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0.804–1.128</w:t>
            </w:r>
          </w:p>
        </w:tc>
        <w:tc>
          <w:tcPr>
            <w:tcW w:w="0" w:type="auto"/>
            <w:hideMark/>
          </w:tcPr>
          <w:p w14:paraId="287EBBC2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0.571</w:t>
            </w:r>
          </w:p>
        </w:tc>
        <w:tc>
          <w:tcPr>
            <w:tcW w:w="0" w:type="auto"/>
            <w:hideMark/>
          </w:tcPr>
          <w:p w14:paraId="20F5C9B6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126</w:t>
            </w:r>
          </w:p>
        </w:tc>
        <w:tc>
          <w:tcPr>
            <w:tcW w:w="0" w:type="auto"/>
            <w:hideMark/>
          </w:tcPr>
          <w:p w14:paraId="1048027E" w14:textId="77777777" w:rsidR="001422EA" w:rsidRPr="001422EA" w:rsidRDefault="001422EA" w:rsidP="006510F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54</w:t>
            </w:r>
          </w:p>
        </w:tc>
      </w:tr>
    </w:tbl>
    <w:p w14:paraId="17072C89" w14:textId="77777777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1422EA">
        <w:rPr>
          <w:rFonts w:ascii="Times New Roman" w:hAnsi="Times New Roman" w:cs="Times New Roman"/>
          <w:bCs/>
          <w:sz w:val="20"/>
          <w:szCs w:val="20"/>
        </w:rPr>
        <w:t xml:space="preserve"> Dose-dependent analyses used available verified dose data; lesions without definitive BED₁₀ values were excluded. The linear and spline local-failure models adjusted for </w:t>
      </w:r>
      <w:proofErr w:type="gramStart"/>
      <w:r w:rsidRPr="001422EA">
        <w:rPr>
          <w:rFonts w:ascii="Times New Roman" w:hAnsi="Times New Roman" w:cs="Times New Roman"/>
          <w:bCs/>
          <w:sz w:val="20"/>
          <w:szCs w:val="20"/>
        </w:rPr>
        <w:t>ln[</w:t>
      </w:r>
      <w:proofErr w:type="gramEnd"/>
      <w:r w:rsidRPr="001422EA">
        <w:rPr>
          <w:rFonts w:ascii="Times New Roman" w:hAnsi="Times New Roman" w:cs="Times New Roman"/>
          <w:bCs/>
          <w:sz w:val="20"/>
          <w:szCs w:val="20"/>
        </w:rPr>
        <w:t>1 + baseline WT volume (cm³)] and used patient-cluster-robust covariance. Spline knots were placed at the 5th, 35th, 65th, and 95th percentiles. The spline analysis was exploratory and does not define a clinically actionable BED₁₀ threshold. The phenotype-group comparison used 10,000 unrestricted lesion-level permutations (seed 20260721). Panel F used an exchangeable patient-clustered GEE with robust sandwich covariance. AIC, Akaike information criterion; BED₁₀, biologically effective dose using an α/β ratio of 10 Gy; BIC, Bayesian information criterion; CI, confidence interval; EQD2, equivalent dose in 2-Gy fractions; GEE, generalized estimating equation; IQR, interquartile range; LR, likelihood ratio; OR, odds ratio; WT, whole tumor.</w:t>
      </w:r>
    </w:p>
    <w:p w14:paraId="728509D4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9DACAA3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FCE0D9E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FC04ABA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4C23A5E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53278DB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7838C4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20FB3E0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2E98750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8310F74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6CD2448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C279D3A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6E8C51C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B0ED8D5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ACD897F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A2CAD25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97E6A1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47F0723" w14:textId="77777777" w:rsidR="006510F7" w:rsidRDefault="006510F7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A360FFB" w14:textId="08418F2D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S4. Association between progression phenotype and local failure: patient-clustered GEE and cluster-bootstrap analyses</w:t>
      </w:r>
    </w:p>
    <w:p w14:paraId="270FDEDC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A. Patient-clustered GEE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1843"/>
        <w:gridCol w:w="1559"/>
        <w:gridCol w:w="2268"/>
        <w:gridCol w:w="709"/>
        <w:gridCol w:w="1134"/>
        <w:gridCol w:w="793"/>
      </w:tblGrid>
      <w:tr w:rsidR="001422EA" w:rsidRPr="00010BB7" w14:paraId="4056945B" w14:textId="77777777" w:rsidTr="00010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43" w:type="dxa"/>
            <w:hideMark/>
          </w:tcPr>
          <w:p w14:paraId="26E56D1F" w14:textId="77777777" w:rsidR="001422EA" w:rsidRPr="00010BB7" w:rsidRDefault="001422EA" w:rsidP="001422EA">
            <w:pPr>
              <w:spacing w:after="160" w:line="278" w:lineRule="auto"/>
              <w:jc w:val="left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Comparison</w:t>
            </w:r>
          </w:p>
        </w:tc>
        <w:tc>
          <w:tcPr>
            <w:tcW w:w="1559" w:type="dxa"/>
            <w:hideMark/>
          </w:tcPr>
          <w:p w14:paraId="4A9817E0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Lesions/patients</w:t>
            </w:r>
          </w:p>
        </w:tc>
        <w:tc>
          <w:tcPr>
            <w:tcW w:w="2268" w:type="dxa"/>
            <w:hideMark/>
          </w:tcPr>
          <w:p w14:paraId="47D8CF81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Local failures/progression phenotype</w:t>
            </w:r>
          </w:p>
        </w:tc>
        <w:tc>
          <w:tcPr>
            <w:tcW w:w="709" w:type="dxa"/>
            <w:hideMark/>
          </w:tcPr>
          <w:p w14:paraId="639D6D9D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1134" w:type="dxa"/>
            <w:hideMark/>
          </w:tcPr>
          <w:p w14:paraId="29831380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793" w:type="dxa"/>
            <w:hideMark/>
          </w:tcPr>
          <w:p w14:paraId="248FEBD2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p value</w:t>
            </w:r>
          </w:p>
        </w:tc>
      </w:tr>
      <w:tr w:rsidR="001422EA" w:rsidRPr="00010BB7" w14:paraId="23B281A5" w14:textId="77777777" w:rsidTr="00010BB7">
        <w:tc>
          <w:tcPr>
            <w:tcW w:w="1843" w:type="dxa"/>
            <w:hideMark/>
          </w:tcPr>
          <w:p w14:paraId="54864252" w14:textId="77777777" w:rsidR="001422EA" w:rsidRPr="00010BB7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Progression vs. non-progression phenotype</w:t>
            </w:r>
          </w:p>
        </w:tc>
        <w:tc>
          <w:tcPr>
            <w:tcW w:w="1559" w:type="dxa"/>
            <w:hideMark/>
          </w:tcPr>
          <w:p w14:paraId="3DAB26C5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103/46</w:t>
            </w:r>
          </w:p>
        </w:tc>
        <w:tc>
          <w:tcPr>
            <w:tcW w:w="2268" w:type="dxa"/>
            <w:hideMark/>
          </w:tcPr>
          <w:p w14:paraId="69FB2B61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34/22</w:t>
            </w:r>
          </w:p>
        </w:tc>
        <w:tc>
          <w:tcPr>
            <w:tcW w:w="709" w:type="dxa"/>
            <w:hideMark/>
          </w:tcPr>
          <w:p w14:paraId="63BC23F1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27.08</w:t>
            </w:r>
          </w:p>
        </w:tc>
        <w:tc>
          <w:tcPr>
            <w:tcW w:w="1134" w:type="dxa"/>
            <w:hideMark/>
          </w:tcPr>
          <w:p w14:paraId="43BBD07B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7.11–103.20</w:t>
            </w:r>
          </w:p>
        </w:tc>
        <w:tc>
          <w:tcPr>
            <w:tcW w:w="793" w:type="dxa"/>
            <w:hideMark/>
          </w:tcPr>
          <w:p w14:paraId="1739E929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&lt;0.001</w:t>
            </w:r>
          </w:p>
        </w:tc>
      </w:tr>
    </w:tbl>
    <w:p w14:paraId="12244FD1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B. Patient-cluster bootstrap (5,000 resamples)</w:t>
      </w:r>
    </w:p>
    <w:tbl>
      <w:tblPr>
        <w:tblStyle w:val="gg"/>
        <w:tblW w:w="8647" w:type="dxa"/>
        <w:tblLook w:val="04A0" w:firstRow="1" w:lastRow="0" w:firstColumn="1" w:lastColumn="0" w:noHBand="0" w:noVBand="1"/>
      </w:tblPr>
      <w:tblGrid>
        <w:gridCol w:w="1034"/>
        <w:gridCol w:w="1273"/>
        <w:gridCol w:w="1539"/>
        <w:gridCol w:w="1966"/>
        <w:gridCol w:w="1418"/>
        <w:gridCol w:w="1417"/>
      </w:tblGrid>
      <w:tr w:rsidR="001422EA" w:rsidRPr="00010BB7" w14:paraId="7ECFAF76" w14:textId="77777777" w:rsidTr="00010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616B33C" w14:textId="77777777" w:rsidR="001422EA" w:rsidRPr="00010BB7" w:rsidRDefault="001422EA" w:rsidP="001422EA">
            <w:pPr>
              <w:spacing w:after="160" w:line="278" w:lineRule="auto"/>
              <w:jc w:val="left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Metric</w:t>
            </w:r>
          </w:p>
        </w:tc>
        <w:tc>
          <w:tcPr>
            <w:tcW w:w="0" w:type="auto"/>
            <w:hideMark/>
          </w:tcPr>
          <w:p w14:paraId="7FE6C202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Point estimate</w:t>
            </w:r>
          </w:p>
        </w:tc>
        <w:tc>
          <w:tcPr>
            <w:tcW w:w="0" w:type="auto"/>
            <w:hideMark/>
          </w:tcPr>
          <w:p w14:paraId="52ADD64A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Bootstrap median</w:t>
            </w:r>
          </w:p>
        </w:tc>
        <w:tc>
          <w:tcPr>
            <w:tcW w:w="1966" w:type="dxa"/>
            <w:hideMark/>
          </w:tcPr>
          <w:p w14:paraId="7202AF9E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95% bootstrap interval</w:t>
            </w:r>
          </w:p>
        </w:tc>
        <w:tc>
          <w:tcPr>
            <w:tcW w:w="1418" w:type="dxa"/>
            <w:hideMark/>
          </w:tcPr>
          <w:p w14:paraId="6C183F53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Valid replicates</w:t>
            </w:r>
          </w:p>
        </w:tc>
        <w:tc>
          <w:tcPr>
            <w:tcW w:w="1417" w:type="dxa"/>
            <w:hideMark/>
          </w:tcPr>
          <w:p w14:paraId="794247F6" w14:textId="77777777" w:rsidR="001422EA" w:rsidRPr="00010BB7" w:rsidRDefault="001422EA" w:rsidP="00010BB7">
            <w:pPr>
              <w:spacing w:after="160" w:line="278" w:lineRule="auto"/>
              <w:rPr>
                <w:b/>
                <w:bCs/>
                <w:sz w:val="16"/>
                <w:szCs w:val="16"/>
              </w:rPr>
            </w:pPr>
            <w:r w:rsidRPr="00010BB7">
              <w:rPr>
                <w:b/>
                <w:bCs/>
                <w:sz w:val="16"/>
                <w:szCs w:val="16"/>
              </w:rPr>
              <w:t>Total replicates</w:t>
            </w:r>
          </w:p>
        </w:tc>
      </w:tr>
      <w:tr w:rsidR="001422EA" w:rsidRPr="00010BB7" w14:paraId="2849E0A3" w14:textId="77777777" w:rsidTr="00010BB7">
        <w:tc>
          <w:tcPr>
            <w:tcW w:w="0" w:type="auto"/>
            <w:hideMark/>
          </w:tcPr>
          <w:p w14:paraId="008B2EE4" w14:textId="77777777" w:rsidR="001422EA" w:rsidRPr="00010BB7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Cramér’s V</w:t>
            </w:r>
          </w:p>
        </w:tc>
        <w:tc>
          <w:tcPr>
            <w:tcW w:w="0" w:type="auto"/>
            <w:hideMark/>
          </w:tcPr>
          <w:p w14:paraId="76929F64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0.704</w:t>
            </w:r>
          </w:p>
        </w:tc>
        <w:tc>
          <w:tcPr>
            <w:tcW w:w="0" w:type="auto"/>
            <w:hideMark/>
          </w:tcPr>
          <w:p w14:paraId="71F9B2DE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0.712</w:t>
            </w:r>
          </w:p>
        </w:tc>
        <w:tc>
          <w:tcPr>
            <w:tcW w:w="1966" w:type="dxa"/>
            <w:hideMark/>
          </w:tcPr>
          <w:p w14:paraId="134FD77A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0.584–0.818</w:t>
            </w:r>
          </w:p>
        </w:tc>
        <w:tc>
          <w:tcPr>
            <w:tcW w:w="1418" w:type="dxa"/>
            <w:hideMark/>
          </w:tcPr>
          <w:p w14:paraId="790A1B4A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  <w:tc>
          <w:tcPr>
            <w:tcW w:w="1417" w:type="dxa"/>
            <w:hideMark/>
          </w:tcPr>
          <w:p w14:paraId="13C5DA06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</w:tr>
      <w:tr w:rsidR="001422EA" w:rsidRPr="00010BB7" w14:paraId="43019C66" w14:textId="77777777" w:rsidTr="00010BB7">
        <w:tc>
          <w:tcPr>
            <w:tcW w:w="0" w:type="auto"/>
            <w:hideMark/>
          </w:tcPr>
          <w:p w14:paraId="353B997E" w14:textId="77777777" w:rsidR="001422EA" w:rsidRPr="00010BB7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Sensitivity</w:t>
            </w:r>
          </w:p>
        </w:tc>
        <w:tc>
          <w:tcPr>
            <w:tcW w:w="0" w:type="auto"/>
            <w:hideMark/>
          </w:tcPr>
          <w:p w14:paraId="4A7C4D2A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0.588</w:t>
            </w:r>
          </w:p>
        </w:tc>
        <w:tc>
          <w:tcPr>
            <w:tcW w:w="0" w:type="auto"/>
            <w:hideMark/>
          </w:tcPr>
          <w:p w14:paraId="1DA92EA9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0.589</w:t>
            </w:r>
          </w:p>
        </w:tc>
        <w:tc>
          <w:tcPr>
            <w:tcW w:w="1966" w:type="dxa"/>
            <w:hideMark/>
          </w:tcPr>
          <w:p w14:paraId="7E6FBA2B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0.421–0.758</w:t>
            </w:r>
          </w:p>
        </w:tc>
        <w:tc>
          <w:tcPr>
            <w:tcW w:w="1418" w:type="dxa"/>
            <w:hideMark/>
          </w:tcPr>
          <w:p w14:paraId="1F460D57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  <w:tc>
          <w:tcPr>
            <w:tcW w:w="1417" w:type="dxa"/>
            <w:hideMark/>
          </w:tcPr>
          <w:p w14:paraId="5D7A970C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</w:tr>
      <w:tr w:rsidR="001422EA" w:rsidRPr="00010BB7" w14:paraId="03A8B6AE" w14:textId="77777777" w:rsidTr="00010BB7">
        <w:tc>
          <w:tcPr>
            <w:tcW w:w="0" w:type="auto"/>
            <w:hideMark/>
          </w:tcPr>
          <w:p w14:paraId="2FD9C441" w14:textId="77777777" w:rsidR="001422EA" w:rsidRPr="00010BB7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Specificity</w:t>
            </w:r>
          </w:p>
        </w:tc>
        <w:tc>
          <w:tcPr>
            <w:tcW w:w="0" w:type="auto"/>
            <w:hideMark/>
          </w:tcPr>
          <w:p w14:paraId="504ACB3A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0.971</w:t>
            </w:r>
          </w:p>
        </w:tc>
        <w:tc>
          <w:tcPr>
            <w:tcW w:w="0" w:type="auto"/>
            <w:hideMark/>
          </w:tcPr>
          <w:p w14:paraId="60635333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0.972</w:t>
            </w:r>
          </w:p>
        </w:tc>
        <w:tc>
          <w:tcPr>
            <w:tcW w:w="1966" w:type="dxa"/>
            <w:hideMark/>
          </w:tcPr>
          <w:p w14:paraId="5D7BB147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0.924–1.000</w:t>
            </w:r>
          </w:p>
        </w:tc>
        <w:tc>
          <w:tcPr>
            <w:tcW w:w="1418" w:type="dxa"/>
            <w:hideMark/>
          </w:tcPr>
          <w:p w14:paraId="6D4CE441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  <w:tc>
          <w:tcPr>
            <w:tcW w:w="1417" w:type="dxa"/>
            <w:hideMark/>
          </w:tcPr>
          <w:p w14:paraId="39DD8E4B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</w:tr>
      <w:tr w:rsidR="001422EA" w:rsidRPr="00010BB7" w14:paraId="56F3C803" w14:textId="77777777" w:rsidTr="00010BB7">
        <w:tc>
          <w:tcPr>
            <w:tcW w:w="0" w:type="auto"/>
            <w:hideMark/>
          </w:tcPr>
          <w:p w14:paraId="7A74E61B" w14:textId="77777777" w:rsidR="001422EA" w:rsidRPr="00010BB7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PPV</w:t>
            </w:r>
          </w:p>
        </w:tc>
        <w:tc>
          <w:tcPr>
            <w:tcW w:w="0" w:type="auto"/>
            <w:hideMark/>
          </w:tcPr>
          <w:p w14:paraId="71ACA326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0.909</w:t>
            </w:r>
          </w:p>
        </w:tc>
        <w:tc>
          <w:tcPr>
            <w:tcW w:w="0" w:type="auto"/>
            <w:hideMark/>
          </w:tcPr>
          <w:p w14:paraId="06FBE710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0.913</w:t>
            </w:r>
          </w:p>
        </w:tc>
        <w:tc>
          <w:tcPr>
            <w:tcW w:w="1966" w:type="dxa"/>
            <w:hideMark/>
          </w:tcPr>
          <w:p w14:paraId="08DC06D7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0.765–1.000</w:t>
            </w:r>
          </w:p>
        </w:tc>
        <w:tc>
          <w:tcPr>
            <w:tcW w:w="1418" w:type="dxa"/>
            <w:hideMark/>
          </w:tcPr>
          <w:p w14:paraId="7BFF1827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  <w:tc>
          <w:tcPr>
            <w:tcW w:w="1417" w:type="dxa"/>
            <w:hideMark/>
          </w:tcPr>
          <w:p w14:paraId="044E9D43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</w:tr>
      <w:tr w:rsidR="001422EA" w:rsidRPr="00010BB7" w14:paraId="48CA8A10" w14:textId="77777777" w:rsidTr="00010BB7">
        <w:tc>
          <w:tcPr>
            <w:tcW w:w="0" w:type="auto"/>
            <w:hideMark/>
          </w:tcPr>
          <w:p w14:paraId="614D0F87" w14:textId="77777777" w:rsidR="001422EA" w:rsidRPr="00010BB7" w:rsidRDefault="001422EA" w:rsidP="001422EA">
            <w:pPr>
              <w:spacing w:after="160" w:line="278" w:lineRule="auto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NPV</w:t>
            </w:r>
          </w:p>
        </w:tc>
        <w:tc>
          <w:tcPr>
            <w:tcW w:w="0" w:type="auto"/>
            <w:hideMark/>
          </w:tcPr>
          <w:p w14:paraId="64599238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0.827</w:t>
            </w:r>
          </w:p>
        </w:tc>
        <w:tc>
          <w:tcPr>
            <w:tcW w:w="0" w:type="auto"/>
            <w:hideMark/>
          </w:tcPr>
          <w:p w14:paraId="5B4B68ED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0.831</w:t>
            </w:r>
          </w:p>
        </w:tc>
        <w:tc>
          <w:tcPr>
            <w:tcW w:w="1966" w:type="dxa"/>
            <w:hideMark/>
          </w:tcPr>
          <w:p w14:paraId="77052C3A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0.719–0.918</w:t>
            </w:r>
          </w:p>
        </w:tc>
        <w:tc>
          <w:tcPr>
            <w:tcW w:w="1418" w:type="dxa"/>
            <w:hideMark/>
          </w:tcPr>
          <w:p w14:paraId="1C7EAF00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  <w:tc>
          <w:tcPr>
            <w:tcW w:w="1417" w:type="dxa"/>
            <w:hideMark/>
          </w:tcPr>
          <w:p w14:paraId="430C4547" w14:textId="77777777" w:rsidR="001422EA" w:rsidRPr="00010BB7" w:rsidRDefault="001422EA" w:rsidP="00010BB7">
            <w:pPr>
              <w:spacing w:after="160" w:line="278" w:lineRule="auto"/>
              <w:jc w:val="center"/>
              <w:rPr>
                <w:bCs/>
                <w:sz w:val="16"/>
                <w:szCs w:val="16"/>
              </w:rPr>
            </w:pPr>
            <w:r w:rsidRPr="00010BB7">
              <w:rPr>
                <w:bCs/>
                <w:sz w:val="16"/>
                <w:szCs w:val="16"/>
              </w:rPr>
              <w:t>5,000</w:t>
            </w:r>
          </w:p>
        </w:tc>
      </w:tr>
    </w:tbl>
    <w:p w14:paraId="1D1F566A" w14:textId="77777777" w:rsid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1422EA">
        <w:rPr>
          <w:rFonts w:ascii="Times New Roman" w:hAnsi="Times New Roman" w:cs="Times New Roman"/>
          <w:bCs/>
          <w:sz w:val="20"/>
          <w:szCs w:val="20"/>
        </w:rPr>
        <w:t xml:space="preserve"> The GEE used a binomial family, logit link, exchangeable working correlation, patient-level clustering, and robust sandwich covariance. Cluster-bootstrap resampling used patients as the resampling unit. CI, confidence interval; GEE, generalized estimating equation; NPV, negative predictive value; OR, odds ratio; PPV, positive predictive value.</w:t>
      </w:r>
    </w:p>
    <w:p w14:paraId="34863667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403031AA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2FAD930B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54CA7790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6CA081F6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69AC97AA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3A479CBD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1A449533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6654AAC3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161DF924" w14:textId="77777777" w:rsidR="00010BB7" w:rsidRPr="001422EA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5FE77865" w14:textId="77777777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S5. Timing of longitudinal response-phenotype classification and 10–14-month sensitivity analysis</w:t>
      </w:r>
    </w:p>
    <w:p w14:paraId="4E029D72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A. All 154 phenotype-evaluable lesions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3969"/>
        <w:gridCol w:w="4337"/>
      </w:tblGrid>
      <w:tr w:rsidR="001422EA" w:rsidRPr="001422EA" w14:paraId="34D5AA63" w14:textId="77777777" w:rsidTr="00010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69" w:type="dxa"/>
            <w:hideMark/>
          </w:tcPr>
          <w:p w14:paraId="555F07B0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Item</w:t>
            </w:r>
          </w:p>
        </w:tc>
        <w:tc>
          <w:tcPr>
            <w:tcW w:w="4337" w:type="dxa"/>
            <w:hideMark/>
          </w:tcPr>
          <w:p w14:paraId="39B6CCA5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Value</w:t>
            </w:r>
          </w:p>
        </w:tc>
      </w:tr>
      <w:tr w:rsidR="001422EA" w:rsidRPr="001422EA" w14:paraId="240F5BE9" w14:textId="77777777" w:rsidTr="00010BB7">
        <w:tc>
          <w:tcPr>
            <w:tcW w:w="3969" w:type="dxa"/>
            <w:hideMark/>
          </w:tcPr>
          <w:p w14:paraId="03F666A5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Classification interval, months</w:t>
            </w:r>
          </w:p>
        </w:tc>
        <w:tc>
          <w:tcPr>
            <w:tcW w:w="4337" w:type="dxa"/>
            <w:hideMark/>
          </w:tcPr>
          <w:p w14:paraId="1ECC70C8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Median 12.00; IQR 7.43–12.00; range 2.10–14.03</w:t>
            </w:r>
          </w:p>
        </w:tc>
      </w:tr>
      <w:tr w:rsidR="001422EA" w:rsidRPr="001422EA" w14:paraId="0895A7CF" w14:textId="77777777" w:rsidTr="00010BB7">
        <w:tc>
          <w:tcPr>
            <w:tcW w:w="3969" w:type="dxa"/>
            <w:hideMark/>
          </w:tcPr>
          <w:p w14:paraId="7C45B668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≤6 months, n</w:t>
            </w:r>
          </w:p>
        </w:tc>
        <w:tc>
          <w:tcPr>
            <w:tcW w:w="4337" w:type="dxa"/>
            <w:hideMark/>
          </w:tcPr>
          <w:p w14:paraId="1973BFE6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38</w:t>
            </w:r>
          </w:p>
        </w:tc>
      </w:tr>
      <w:tr w:rsidR="001422EA" w:rsidRPr="001422EA" w14:paraId="37330795" w14:textId="77777777" w:rsidTr="00010BB7">
        <w:tc>
          <w:tcPr>
            <w:tcW w:w="3969" w:type="dxa"/>
            <w:hideMark/>
          </w:tcPr>
          <w:p w14:paraId="70536E16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&gt;6 to &lt;10 months, n</w:t>
            </w:r>
          </w:p>
        </w:tc>
        <w:tc>
          <w:tcPr>
            <w:tcW w:w="4337" w:type="dxa"/>
            <w:hideMark/>
          </w:tcPr>
          <w:p w14:paraId="4BB3438B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7</w:t>
            </w:r>
          </w:p>
        </w:tc>
      </w:tr>
      <w:tr w:rsidR="001422EA" w:rsidRPr="001422EA" w14:paraId="172AEC5E" w14:textId="77777777" w:rsidTr="00010BB7">
        <w:tc>
          <w:tcPr>
            <w:tcW w:w="3969" w:type="dxa"/>
            <w:hideMark/>
          </w:tcPr>
          <w:p w14:paraId="3BB6C209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10–14 months, n</w:t>
            </w:r>
          </w:p>
        </w:tc>
        <w:tc>
          <w:tcPr>
            <w:tcW w:w="4337" w:type="dxa"/>
            <w:hideMark/>
          </w:tcPr>
          <w:p w14:paraId="6D3EA41D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107</w:t>
            </w:r>
          </w:p>
        </w:tc>
      </w:tr>
      <w:tr w:rsidR="001422EA" w:rsidRPr="001422EA" w14:paraId="1ACDC610" w14:textId="77777777" w:rsidTr="00010BB7">
        <w:tc>
          <w:tcPr>
            <w:tcW w:w="3969" w:type="dxa"/>
            <w:hideMark/>
          </w:tcPr>
          <w:p w14:paraId="64BA8120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&gt;14 months, n</w:t>
            </w:r>
          </w:p>
        </w:tc>
        <w:tc>
          <w:tcPr>
            <w:tcW w:w="4337" w:type="dxa"/>
            <w:hideMark/>
          </w:tcPr>
          <w:p w14:paraId="61F8A48E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</w:t>
            </w:r>
          </w:p>
        </w:tc>
      </w:tr>
      <w:tr w:rsidR="001422EA" w:rsidRPr="001422EA" w14:paraId="12F37BBF" w14:textId="77777777" w:rsidTr="00010BB7">
        <w:tc>
          <w:tcPr>
            <w:tcW w:w="3969" w:type="dxa"/>
            <w:hideMark/>
          </w:tcPr>
          <w:p w14:paraId="63340B8F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Classifications known to occur after documented local salvage, n</w:t>
            </w:r>
          </w:p>
        </w:tc>
        <w:tc>
          <w:tcPr>
            <w:tcW w:w="4337" w:type="dxa"/>
            <w:hideMark/>
          </w:tcPr>
          <w:p w14:paraId="5EAC4C2E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</w:t>
            </w:r>
          </w:p>
        </w:tc>
      </w:tr>
      <w:tr w:rsidR="001422EA" w:rsidRPr="001422EA" w14:paraId="46F1F22E" w14:textId="77777777" w:rsidTr="00010BB7">
        <w:tc>
          <w:tcPr>
            <w:tcW w:w="3969" w:type="dxa"/>
            <w:hideMark/>
          </w:tcPr>
          <w:p w14:paraId="21DF0B9B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Core-dataset lesions without available local-salvage timing, n</w:t>
            </w:r>
          </w:p>
        </w:tc>
        <w:tc>
          <w:tcPr>
            <w:tcW w:w="4337" w:type="dxa"/>
            <w:hideMark/>
          </w:tcPr>
          <w:p w14:paraId="04CCFC26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130</w:t>
            </w:r>
          </w:p>
        </w:tc>
      </w:tr>
    </w:tbl>
    <w:p w14:paraId="4AE4A747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B. Lesions with both response phenotype and LC₁₂m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3544"/>
        <w:gridCol w:w="4678"/>
      </w:tblGrid>
      <w:tr w:rsidR="001422EA" w:rsidRPr="001422EA" w14:paraId="40785AE8" w14:textId="77777777" w:rsidTr="00010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hideMark/>
          </w:tcPr>
          <w:p w14:paraId="40F21D18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Item</w:t>
            </w:r>
          </w:p>
        </w:tc>
        <w:tc>
          <w:tcPr>
            <w:tcW w:w="4678" w:type="dxa"/>
            <w:hideMark/>
          </w:tcPr>
          <w:p w14:paraId="2352F471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Value</w:t>
            </w:r>
          </w:p>
        </w:tc>
      </w:tr>
      <w:tr w:rsidR="001422EA" w:rsidRPr="001422EA" w14:paraId="05FA4B65" w14:textId="77777777" w:rsidTr="00010BB7">
        <w:tc>
          <w:tcPr>
            <w:tcW w:w="3544" w:type="dxa"/>
            <w:hideMark/>
          </w:tcPr>
          <w:p w14:paraId="64445789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Lesions/patients/local failures, n</w:t>
            </w:r>
          </w:p>
        </w:tc>
        <w:tc>
          <w:tcPr>
            <w:tcW w:w="4678" w:type="dxa"/>
            <w:hideMark/>
          </w:tcPr>
          <w:p w14:paraId="2CDF1A22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103/46/34</w:t>
            </w:r>
          </w:p>
        </w:tc>
      </w:tr>
      <w:tr w:rsidR="001422EA" w:rsidRPr="001422EA" w14:paraId="2F0EC598" w14:textId="77777777" w:rsidTr="00010BB7">
        <w:tc>
          <w:tcPr>
            <w:tcW w:w="3544" w:type="dxa"/>
            <w:hideMark/>
          </w:tcPr>
          <w:p w14:paraId="6E2B0847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Classification interval, months</w:t>
            </w:r>
          </w:p>
        </w:tc>
        <w:tc>
          <w:tcPr>
            <w:tcW w:w="4678" w:type="dxa"/>
            <w:hideMark/>
          </w:tcPr>
          <w:p w14:paraId="03E97A8A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Median 12.00; IQR 12.00–12.00; range 6.00–12.00</w:t>
            </w:r>
          </w:p>
        </w:tc>
      </w:tr>
      <w:tr w:rsidR="001422EA" w:rsidRPr="001422EA" w14:paraId="2EE7CE50" w14:textId="77777777" w:rsidTr="00010BB7">
        <w:tc>
          <w:tcPr>
            <w:tcW w:w="3544" w:type="dxa"/>
            <w:hideMark/>
          </w:tcPr>
          <w:p w14:paraId="64BF1A4E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≤6 months, n</w:t>
            </w:r>
          </w:p>
        </w:tc>
        <w:tc>
          <w:tcPr>
            <w:tcW w:w="4678" w:type="dxa"/>
            <w:hideMark/>
          </w:tcPr>
          <w:p w14:paraId="1261041F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6</w:t>
            </w:r>
          </w:p>
        </w:tc>
      </w:tr>
      <w:tr w:rsidR="001422EA" w:rsidRPr="001422EA" w14:paraId="39B1778D" w14:textId="77777777" w:rsidTr="00010BB7">
        <w:tc>
          <w:tcPr>
            <w:tcW w:w="3544" w:type="dxa"/>
            <w:hideMark/>
          </w:tcPr>
          <w:p w14:paraId="0DE29D9F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&gt;6 to &lt;10 months, n</w:t>
            </w:r>
          </w:p>
        </w:tc>
        <w:tc>
          <w:tcPr>
            <w:tcW w:w="4678" w:type="dxa"/>
            <w:hideMark/>
          </w:tcPr>
          <w:p w14:paraId="49C585F9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</w:t>
            </w:r>
          </w:p>
        </w:tc>
      </w:tr>
      <w:tr w:rsidR="001422EA" w:rsidRPr="001422EA" w14:paraId="29B459F3" w14:textId="77777777" w:rsidTr="00010BB7">
        <w:tc>
          <w:tcPr>
            <w:tcW w:w="3544" w:type="dxa"/>
            <w:hideMark/>
          </w:tcPr>
          <w:p w14:paraId="68442ABF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10–14 months, n</w:t>
            </w:r>
          </w:p>
        </w:tc>
        <w:tc>
          <w:tcPr>
            <w:tcW w:w="4678" w:type="dxa"/>
            <w:hideMark/>
          </w:tcPr>
          <w:p w14:paraId="1A28C904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97</w:t>
            </w:r>
          </w:p>
        </w:tc>
      </w:tr>
      <w:tr w:rsidR="001422EA" w:rsidRPr="001422EA" w14:paraId="16C44AF3" w14:textId="77777777" w:rsidTr="00010BB7">
        <w:tc>
          <w:tcPr>
            <w:tcW w:w="3544" w:type="dxa"/>
            <w:hideMark/>
          </w:tcPr>
          <w:p w14:paraId="06EB7B4C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&gt;14 months, n</w:t>
            </w:r>
          </w:p>
        </w:tc>
        <w:tc>
          <w:tcPr>
            <w:tcW w:w="4678" w:type="dxa"/>
            <w:hideMark/>
          </w:tcPr>
          <w:p w14:paraId="12E5D90C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0</w:t>
            </w:r>
          </w:p>
        </w:tc>
      </w:tr>
    </w:tbl>
    <w:p w14:paraId="037BF87D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C. Classification interval by phenotype in the 103-lesion overlap set</w:t>
      </w:r>
    </w:p>
    <w:tbl>
      <w:tblPr>
        <w:tblStyle w:val="gg"/>
        <w:tblW w:w="8931" w:type="dxa"/>
        <w:tblLayout w:type="fixed"/>
        <w:tblLook w:val="04A0" w:firstRow="1" w:lastRow="0" w:firstColumn="1" w:lastColumn="0" w:noHBand="0" w:noVBand="1"/>
      </w:tblPr>
      <w:tblGrid>
        <w:gridCol w:w="1701"/>
        <w:gridCol w:w="426"/>
        <w:gridCol w:w="1701"/>
        <w:gridCol w:w="1417"/>
        <w:gridCol w:w="1559"/>
        <w:gridCol w:w="2127"/>
      </w:tblGrid>
      <w:tr w:rsidR="001422EA" w:rsidRPr="001422EA" w14:paraId="42E481E6" w14:textId="77777777" w:rsidTr="00010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  <w:hideMark/>
          </w:tcPr>
          <w:p w14:paraId="45F88D54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Phenotype</w:t>
            </w:r>
          </w:p>
        </w:tc>
        <w:tc>
          <w:tcPr>
            <w:tcW w:w="426" w:type="dxa"/>
            <w:hideMark/>
          </w:tcPr>
          <w:p w14:paraId="6B52B903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n</w:t>
            </w:r>
          </w:p>
        </w:tc>
        <w:tc>
          <w:tcPr>
            <w:tcW w:w="1701" w:type="dxa"/>
            <w:hideMark/>
          </w:tcPr>
          <w:p w14:paraId="5F909EB3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Median, months</w:t>
            </w:r>
          </w:p>
        </w:tc>
        <w:tc>
          <w:tcPr>
            <w:tcW w:w="1417" w:type="dxa"/>
            <w:hideMark/>
          </w:tcPr>
          <w:p w14:paraId="4A25278C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IQR, months</w:t>
            </w:r>
          </w:p>
        </w:tc>
        <w:tc>
          <w:tcPr>
            <w:tcW w:w="1559" w:type="dxa"/>
            <w:hideMark/>
          </w:tcPr>
          <w:p w14:paraId="0E6AFCA1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Range, months</w:t>
            </w:r>
          </w:p>
        </w:tc>
        <w:tc>
          <w:tcPr>
            <w:tcW w:w="2127" w:type="dxa"/>
            <w:hideMark/>
          </w:tcPr>
          <w:p w14:paraId="396A6D01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10–14 months, n (%)</w:t>
            </w:r>
          </w:p>
        </w:tc>
      </w:tr>
      <w:tr w:rsidR="001422EA" w:rsidRPr="001422EA" w14:paraId="117F71AF" w14:textId="77777777" w:rsidTr="00010BB7">
        <w:tc>
          <w:tcPr>
            <w:tcW w:w="1701" w:type="dxa"/>
            <w:hideMark/>
          </w:tcPr>
          <w:p w14:paraId="535839C8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CR/disappearance</w:t>
            </w:r>
          </w:p>
        </w:tc>
        <w:tc>
          <w:tcPr>
            <w:tcW w:w="426" w:type="dxa"/>
            <w:hideMark/>
          </w:tcPr>
          <w:p w14:paraId="7AAD96B4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21</w:t>
            </w:r>
          </w:p>
        </w:tc>
        <w:tc>
          <w:tcPr>
            <w:tcW w:w="1701" w:type="dxa"/>
            <w:hideMark/>
          </w:tcPr>
          <w:p w14:paraId="707B6A8E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</w:t>
            </w:r>
          </w:p>
        </w:tc>
        <w:tc>
          <w:tcPr>
            <w:tcW w:w="1417" w:type="dxa"/>
            <w:hideMark/>
          </w:tcPr>
          <w:p w14:paraId="49B3AA78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12.00–12.00</w:t>
            </w:r>
          </w:p>
        </w:tc>
        <w:tc>
          <w:tcPr>
            <w:tcW w:w="1559" w:type="dxa"/>
            <w:hideMark/>
          </w:tcPr>
          <w:p w14:paraId="0C9F9231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12.00–12.00</w:t>
            </w:r>
          </w:p>
        </w:tc>
        <w:tc>
          <w:tcPr>
            <w:tcW w:w="2127" w:type="dxa"/>
            <w:hideMark/>
          </w:tcPr>
          <w:p w14:paraId="60B8180C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21 (100%)</w:t>
            </w:r>
          </w:p>
        </w:tc>
      </w:tr>
      <w:tr w:rsidR="001422EA" w:rsidRPr="001422EA" w14:paraId="17E04499" w14:textId="77777777" w:rsidTr="00010BB7">
        <w:tc>
          <w:tcPr>
            <w:tcW w:w="1701" w:type="dxa"/>
            <w:hideMark/>
          </w:tcPr>
          <w:p w14:paraId="6138FA93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Partial regression</w:t>
            </w:r>
          </w:p>
        </w:tc>
        <w:tc>
          <w:tcPr>
            <w:tcW w:w="426" w:type="dxa"/>
            <w:hideMark/>
          </w:tcPr>
          <w:p w14:paraId="61F1B57D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34</w:t>
            </w:r>
          </w:p>
        </w:tc>
        <w:tc>
          <w:tcPr>
            <w:tcW w:w="1701" w:type="dxa"/>
            <w:hideMark/>
          </w:tcPr>
          <w:p w14:paraId="10CC5F52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</w:t>
            </w:r>
          </w:p>
        </w:tc>
        <w:tc>
          <w:tcPr>
            <w:tcW w:w="1417" w:type="dxa"/>
            <w:hideMark/>
          </w:tcPr>
          <w:p w14:paraId="0B717747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12.00–12.00</w:t>
            </w:r>
          </w:p>
        </w:tc>
        <w:tc>
          <w:tcPr>
            <w:tcW w:w="1559" w:type="dxa"/>
            <w:hideMark/>
          </w:tcPr>
          <w:p w14:paraId="1AF991E6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12.00–12.00</w:t>
            </w:r>
          </w:p>
        </w:tc>
        <w:tc>
          <w:tcPr>
            <w:tcW w:w="2127" w:type="dxa"/>
            <w:hideMark/>
          </w:tcPr>
          <w:p w14:paraId="735ED362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34 (100%)</w:t>
            </w:r>
          </w:p>
        </w:tc>
      </w:tr>
      <w:tr w:rsidR="001422EA" w:rsidRPr="001422EA" w14:paraId="2F3FB9FE" w14:textId="77777777" w:rsidTr="00010BB7">
        <w:tc>
          <w:tcPr>
            <w:tcW w:w="1701" w:type="dxa"/>
            <w:hideMark/>
          </w:tcPr>
          <w:p w14:paraId="11B46DF0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Stable control</w:t>
            </w:r>
          </w:p>
        </w:tc>
        <w:tc>
          <w:tcPr>
            <w:tcW w:w="426" w:type="dxa"/>
            <w:hideMark/>
          </w:tcPr>
          <w:p w14:paraId="51EA472F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26</w:t>
            </w:r>
          </w:p>
        </w:tc>
        <w:tc>
          <w:tcPr>
            <w:tcW w:w="1701" w:type="dxa"/>
            <w:hideMark/>
          </w:tcPr>
          <w:p w14:paraId="23B9BC5A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</w:t>
            </w:r>
          </w:p>
        </w:tc>
        <w:tc>
          <w:tcPr>
            <w:tcW w:w="1417" w:type="dxa"/>
            <w:hideMark/>
          </w:tcPr>
          <w:p w14:paraId="277BA037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12.00–12.00</w:t>
            </w:r>
          </w:p>
        </w:tc>
        <w:tc>
          <w:tcPr>
            <w:tcW w:w="1559" w:type="dxa"/>
            <w:hideMark/>
          </w:tcPr>
          <w:p w14:paraId="4CBE1773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12.00–12.00</w:t>
            </w:r>
          </w:p>
        </w:tc>
        <w:tc>
          <w:tcPr>
            <w:tcW w:w="2127" w:type="dxa"/>
            <w:hideMark/>
          </w:tcPr>
          <w:p w14:paraId="33967CD5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26 (100%)</w:t>
            </w:r>
          </w:p>
        </w:tc>
      </w:tr>
      <w:tr w:rsidR="001422EA" w:rsidRPr="001422EA" w14:paraId="1AC138D7" w14:textId="77777777" w:rsidTr="00010BB7">
        <w:tc>
          <w:tcPr>
            <w:tcW w:w="1701" w:type="dxa"/>
            <w:hideMark/>
          </w:tcPr>
          <w:p w14:paraId="3ACF0B1B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 xml:space="preserve">Progression </w:t>
            </w:r>
            <w:r w:rsidRPr="001422EA">
              <w:rPr>
                <w:bCs/>
                <w:sz w:val="20"/>
              </w:rPr>
              <w:lastRenderedPageBreak/>
              <w:t>phenotype</w:t>
            </w:r>
          </w:p>
        </w:tc>
        <w:tc>
          <w:tcPr>
            <w:tcW w:w="426" w:type="dxa"/>
            <w:hideMark/>
          </w:tcPr>
          <w:p w14:paraId="33E9EFBD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lastRenderedPageBreak/>
              <w:t>22</w:t>
            </w:r>
          </w:p>
        </w:tc>
        <w:tc>
          <w:tcPr>
            <w:tcW w:w="1701" w:type="dxa"/>
            <w:hideMark/>
          </w:tcPr>
          <w:p w14:paraId="309EF2D6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12.00</w:t>
            </w:r>
          </w:p>
        </w:tc>
        <w:tc>
          <w:tcPr>
            <w:tcW w:w="1417" w:type="dxa"/>
            <w:hideMark/>
          </w:tcPr>
          <w:p w14:paraId="5CD6D907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7.50–12.00</w:t>
            </w:r>
          </w:p>
        </w:tc>
        <w:tc>
          <w:tcPr>
            <w:tcW w:w="1559" w:type="dxa"/>
            <w:hideMark/>
          </w:tcPr>
          <w:p w14:paraId="3950C0DA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6.00–12.00</w:t>
            </w:r>
          </w:p>
        </w:tc>
        <w:tc>
          <w:tcPr>
            <w:tcW w:w="2127" w:type="dxa"/>
            <w:hideMark/>
          </w:tcPr>
          <w:p w14:paraId="6A0346D5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16 (72.7%)</w:t>
            </w:r>
          </w:p>
        </w:tc>
      </w:tr>
    </w:tbl>
    <w:p w14:paraId="01AE5352" w14:textId="77777777" w:rsidR="001422EA" w:rsidRPr="001422EA" w:rsidRDefault="001422EA" w:rsidP="001422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D. Patient-clustered GEE restricted to classifications at 10–14 months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1276"/>
        <w:gridCol w:w="1134"/>
        <w:gridCol w:w="2110"/>
        <w:gridCol w:w="992"/>
        <w:gridCol w:w="1560"/>
        <w:gridCol w:w="992"/>
      </w:tblGrid>
      <w:tr w:rsidR="001422EA" w:rsidRPr="001422EA" w14:paraId="7154D3C2" w14:textId="77777777" w:rsidTr="00010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6" w:type="dxa"/>
            <w:hideMark/>
          </w:tcPr>
          <w:p w14:paraId="17BF21A5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n lesions</w:t>
            </w:r>
          </w:p>
        </w:tc>
        <w:tc>
          <w:tcPr>
            <w:tcW w:w="1134" w:type="dxa"/>
            <w:hideMark/>
          </w:tcPr>
          <w:p w14:paraId="1A7A7AE8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n patients</w:t>
            </w:r>
          </w:p>
        </w:tc>
        <w:tc>
          <w:tcPr>
            <w:tcW w:w="2110" w:type="dxa"/>
            <w:hideMark/>
          </w:tcPr>
          <w:p w14:paraId="67C9D718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Local failures, n</w:t>
            </w:r>
          </w:p>
        </w:tc>
        <w:tc>
          <w:tcPr>
            <w:tcW w:w="992" w:type="dxa"/>
            <w:hideMark/>
          </w:tcPr>
          <w:p w14:paraId="454D9221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OR</w:t>
            </w:r>
          </w:p>
        </w:tc>
        <w:tc>
          <w:tcPr>
            <w:tcW w:w="1560" w:type="dxa"/>
            <w:hideMark/>
          </w:tcPr>
          <w:p w14:paraId="4BEBD0BB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95% CI</w:t>
            </w:r>
          </w:p>
        </w:tc>
        <w:tc>
          <w:tcPr>
            <w:tcW w:w="992" w:type="dxa"/>
            <w:hideMark/>
          </w:tcPr>
          <w:p w14:paraId="30B3807C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p value</w:t>
            </w:r>
          </w:p>
        </w:tc>
      </w:tr>
      <w:tr w:rsidR="001422EA" w:rsidRPr="001422EA" w14:paraId="03F54CDE" w14:textId="77777777" w:rsidTr="00010BB7">
        <w:tc>
          <w:tcPr>
            <w:tcW w:w="1276" w:type="dxa"/>
            <w:hideMark/>
          </w:tcPr>
          <w:p w14:paraId="5E4CBAF3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97</w:t>
            </w:r>
          </w:p>
        </w:tc>
        <w:tc>
          <w:tcPr>
            <w:tcW w:w="1134" w:type="dxa"/>
            <w:hideMark/>
          </w:tcPr>
          <w:p w14:paraId="40ACF7AF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42</w:t>
            </w:r>
          </w:p>
        </w:tc>
        <w:tc>
          <w:tcPr>
            <w:tcW w:w="2110" w:type="dxa"/>
            <w:hideMark/>
          </w:tcPr>
          <w:p w14:paraId="46A6D4A2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28</w:t>
            </w:r>
          </w:p>
        </w:tc>
        <w:tc>
          <w:tcPr>
            <w:tcW w:w="992" w:type="dxa"/>
            <w:hideMark/>
          </w:tcPr>
          <w:p w14:paraId="09381F73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19.37</w:t>
            </w:r>
          </w:p>
        </w:tc>
        <w:tc>
          <w:tcPr>
            <w:tcW w:w="1560" w:type="dxa"/>
            <w:hideMark/>
          </w:tcPr>
          <w:p w14:paraId="491B3506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5.00–75.09</w:t>
            </w:r>
          </w:p>
        </w:tc>
        <w:tc>
          <w:tcPr>
            <w:tcW w:w="992" w:type="dxa"/>
            <w:hideMark/>
          </w:tcPr>
          <w:p w14:paraId="33CE1480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&lt;0.001</w:t>
            </w:r>
          </w:p>
        </w:tc>
      </w:tr>
    </w:tbl>
    <w:p w14:paraId="7492965F" w14:textId="77777777" w:rsid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1422EA">
        <w:rPr>
          <w:rFonts w:ascii="Times New Roman" w:hAnsi="Times New Roman" w:cs="Times New Roman"/>
          <w:bCs/>
          <w:sz w:val="20"/>
          <w:szCs w:val="20"/>
        </w:rPr>
        <w:t xml:space="preserve"> All six classifications at 6 months in the 103-lesion overlap set belonged to the progression phenotype; no classification in this set occurred after 12 months. Exact classification-scan and local-salvage dates were unavailable for all lesions; classification before local salvage therefore could not be verified for every lesion. The restricted GEE used an exchangeable working correlation, patient-level clustering, and robust sandwich covariance. CI, confidence interval; CR, complete response; GEE, generalized estimating equation; IQR, interquartile range; LC₁₂m, 12-month local control; OR, odds ratio.</w:t>
      </w:r>
    </w:p>
    <w:p w14:paraId="31E86FB0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63897487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0D1FA340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08BBDF1D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6A95BBF4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168F3A42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066B3FAC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6504901E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25482B5B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024EF2DF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7AA6ED52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12135282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603C593B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33128687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1DAA408A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25FB7654" w14:textId="77777777" w:rsidR="00010BB7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3B4F58B3" w14:textId="77777777" w:rsidR="00010BB7" w:rsidRPr="001422EA" w:rsidRDefault="00010BB7" w:rsidP="001422EA">
      <w:pPr>
        <w:rPr>
          <w:rFonts w:ascii="Times New Roman" w:hAnsi="Times New Roman" w:cs="Times New Roman"/>
          <w:bCs/>
          <w:sz w:val="20"/>
          <w:szCs w:val="20"/>
        </w:rPr>
      </w:pPr>
    </w:p>
    <w:p w14:paraId="2466E2B9" w14:textId="77777777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S6. Systemic therapy exposure before and within 3 months after GKRS</w:t>
      </w:r>
    </w:p>
    <w:tbl>
      <w:tblPr>
        <w:tblStyle w:val="gg"/>
        <w:tblW w:w="0" w:type="auto"/>
        <w:tblLook w:val="04A0" w:firstRow="1" w:lastRow="0" w:firstColumn="1" w:lastColumn="0" w:noHBand="0" w:noVBand="1"/>
      </w:tblPr>
      <w:tblGrid>
        <w:gridCol w:w="2266"/>
        <w:gridCol w:w="2194"/>
        <w:gridCol w:w="3522"/>
      </w:tblGrid>
      <w:tr w:rsidR="001422EA" w:rsidRPr="001422EA" w14:paraId="078C0402" w14:textId="77777777" w:rsidTr="00010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A148650" w14:textId="77777777" w:rsidR="001422EA" w:rsidRPr="001422EA" w:rsidRDefault="001422EA" w:rsidP="001422EA">
            <w:pPr>
              <w:spacing w:after="160" w:line="278" w:lineRule="auto"/>
              <w:jc w:val="left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Therapy class</w:t>
            </w:r>
          </w:p>
        </w:tc>
        <w:tc>
          <w:tcPr>
            <w:tcW w:w="0" w:type="auto"/>
            <w:hideMark/>
          </w:tcPr>
          <w:p w14:paraId="207159E5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Before GKRS, n/N (%)</w:t>
            </w:r>
          </w:p>
        </w:tc>
        <w:tc>
          <w:tcPr>
            <w:tcW w:w="0" w:type="auto"/>
            <w:hideMark/>
          </w:tcPr>
          <w:p w14:paraId="37926DD3" w14:textId="77777777" w:rsidR="001422EA" w:rsidRPr="001422EA" w:rsidRDefault="001422EA" w:rsidP="00010BB7">
            <w:pPr>
              <w:spacing w:after="160" w:line="278" w:lineRule="auto"/>
              <w:rPr>
                <w:b/>
                <w:bCs/>
                <w:sz w:val="20"/>
              </w:rPr>
            </w:pPr>
            <w:r w:rsidRPr="001422EA">
              <w:rPr>
                <w:b/>
                <w:bCs/>
                <w:sz w:val="20"/>
              </w:rPr>
              <w:t>Within 3 months after GKRS, n/N (%)</w:t>
            </w:r>
          </w:p>
        </w:tc>
      </w:tr>
      <w:tr w:rsidR="001422EA" w:rsidRPr="001422EA" w14:paraId="3A60DA25" w14:textId="77777777" w:rsidTr="00010BB7">
        <w:tc>
          <w:tcPr>
            <w:tcW w:w="0" w:type="auto"/>
            <w:hideMark/>
          </w:tcPr>
          <w:p w14:paraId="218277BA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Chemotherapy</w:t>
            </w:r>
          </w:p>
        </w:tc>
        <w:tc>
          <w:tcPr>
            <w:tcW w:w="0" w:type="auto"/>
            <w:hideMark/>
          </w:tcPr>
          <w:p w14:paraId="2537DA7C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66/78 (84.6%)</w:t>
            </w:r>
          </w:p>
        </w:tc>
        <w:tc>
          <w:tcPr>
            <w:tcW w:w="0" w:type="auto"/>
            <w:hideMark/>
          </w:tcPr>
          <w:p w14:paraId="6AC59E90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36/71 (50.7%)</w:t>
            </w:r>
          </w:p>
        </w:tc>
      </w:tr>
      <w:tr w:rsidR="001422EA" w:rsidRPr="001422EA" w14:paraId="14ACD143" w14:textId="77777777" w:rsidTr="00010BB7">
        <w:tc>
          <w:tcPr>
            <w:tcW w:w="0" w:type="auto"/>
            <w:hideMark/>
          </w:tcPr>
          <w:p w14:paraId="309DA392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HER2-targeted therapy</w:t>
            </w:r>
          </w:p>
        </w:tc>
        <w:tc>
          <w:tcPr>
            <w:tcW w:w="0" w:type="auto"/>
            <w:hideMark/>
          </w:tcPr>
          <w:p w14:paraId="2A98E19F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48/78 (61.5%)</w:t>
            </w:r>
          </w:p>
        </w:tc>
        <w:tc>
          <w:tcPr>
            <w:tcW w:w="0" w:type="auto"/>
            <w:hideMark/>
          </w:tcPr>
          <w:p w14:paraId="46145279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33/71 (46.5%)</w:t>
            </w:r>
          </w:p>
        </w:tc>
      </w:tr>
      <w:tr w:rsidR="001422EA" w:rsidRPr="001422EA" w14:paraId="3A9795B4" w14:textId="77777777" w:rsidTr="00010BB7">
        <w:tc>
          <w:tcPr>
            <w:tcW w:w="0" w:type="auto"/>
            <w:hideMark/>
          </w:tcPr>
          <w:p w14:paraId="44E4C0FF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Endocrine therapy</w:t>
            </w:r>
          </w:p>
        </w:tc>
        <w:tc>
          <w:tcPr>
            <w:tcW w:w="0" w:type="auto"/>
            <w:hideMark/>
          </w:tcPr>
          <w:p w14:paraId="16CCBF52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23/78 (29.5%)</w:t>
            </w:r>
          </w:p>
        </w:tc>
        <w:tc>
          <w:tcPr>
            <w:tcW w:w="0" w:type="auto"/>
            <w:hideMark/>
          </w:tcPr>
          <w:p w14:paraId="47D4679C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6/71 (8.5%)</w:t>
            </w:r>
          </w:p>
        </w:tc>
      </w:tr>
      <w:tr w:rsidR="001422EA" w:rsidRPr="001422EA" w14:paraId="3D08A0DD" w14:textId="77777777" w:rsidTr="00010BB7">
        <w:tc>
          <w:tcPr>
            <w:tcW w:w="0" w:type="auto"/>
            <w:hideMark/>
          </w:tcPr>
          <w:p w14:paraId="6456DF8C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CDK4/6 inhibitor</w:t>
            </w:r>
          </w:p>
        </w:tc>
        <w:tc>
          <w:tcPr>
            <w:tcW w:w="0" w:type="auto"/>
            <w:hideMark/>
          </w:tcPr>
          <w:p w14:paraId="73CAF0CC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10/78 (12.8%)</w:t>
            </w:r>
          </w:p>
        </w:tc>
        <w:tc>
          <w:tcPr>
            <w:tcW w:w="0" w:type="auto"/>
            <w:hideMark/>
          </w:tcPr>
          <w:p w14:paraId="4B84B460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Not available</w:t>
            </w:r>
          </w:p>
        </w:tc>
      </w:tr>
      <w:tr w:rsidR="001422EA" w:rsidRPr="001422EA" w14:paraId="14AAD3FE" w14:textId="77777777" w:rsidTr="00010BB7">
        <w:tc>
          <w:tcPr>
            <w:tcW w:w="0" w:type="auto"/>
            <w:hideMark/>
          </w:tcPr>
          <w:p w14:paraId="0F101DE6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Antibody–drug conjugate</w:t>
            </w:r>
          </w:p>
        </w:tc>
        <w:tc>
          <w:tcPr>
            <w:tcW w:w="0" w:type="auto"/>
            <w:hideMark/>
          </w:tcPr>
          <w:p w14:paraId="7857AB56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22/78 (28.2%)</w:t>
            </w:r>
          </w:p>
        </w:tc>
        <w:tc>
          <w:tcPr>
            <w:tcW w:w="0" w:type="auto"/>
            <w:hideMark/>
          </w:tcPr>
          <w:p w14:paraId="5654F794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Not available</w:t>
            </w:r>
          </w:p>
        </w:tc>
      </w:tr>
      <w:tr w:rsidR="001422EA" w:rsidRPr="001422EA" w14:paraId="5EAF99B8" w14:textId="77777777" w:rsidTr="00010BB7">
        <w:tc>
          <w:tcPr>
            <w:tcW w:w="0" w:type="auto"/>
            <w:hideMark/>
          </w:tcPr>
          <w:p w14:paraId="789367F9" w14:textId="77777777" w:rsidR="001422EA" w:rsidRPr="001422EA" w:rsidRDefault="001422EA" w:rsidP="001422EA">
            <w:pPr>
              <w:spacing w:after="160" w:line="278" w:lineRule="auto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Immunotherapy</w:t>
            </w:r>
          </w:p>
        </w:tc>
        <w:tc>
          <w:tcPr>
            <w:tcW w:w="0" w:type="auto"/>
            <w:hideMark/>
          </w:tcPr>
          <w:p w14:paraId="4A08BE35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3/78 (3.8%)</w:t>
            </w:r>
          </w:p>
        </w:tc>
        <w:tc>
          <w:tcPr>
            <w:tcW w:w="0" w:type="auto"/>
            <w:hideMark/>
          </w:tcPr>
          <w:p w14:paraId="4C75CFBE" w14:textId="77777777" w:rsidR="001422EA" w:rsidRPr="001422EA" w:rsidRDefault="001422EA" w:rsidP="00010BB7">
            <w:pPr>
              <w:spacing w:after="160" w:line="278" w:lineRule="auto"/>
              <w:jc w:val="center"/>
              <w:rPr>
                <w:bCs/>
                <w:sz w:val="20"/>
              </w:rPr>
            </w:pPr>
            <w:r w:rsidRPr="001422EA">
              <w:rPr>
                <w:bCs/>
                <w:sz w:val="20"/>
              </w:rPr>
              <w:t>1/71 (1.4%)</w:t>
            </w:r>
          </w:p>
        </w:tc>
      </w:tr>
    </w:tbl>
    <w:p w14:paraId="11A8FEB0" w14:textId="77777777" w:rsidR="001422EA" w:rsidRPr="001422EA" w:rsidRDefault="001422EA" w:rsidP="001422EA">
      <w:pPr>
        <w:rPr>
          <w:rFonts w:ascii="Times New Roman" w:hAnsi="Times New Roman" w:cs="Times New Roman"/>
          <w:bCs/>
          <w:sz w:val="20"/>
          <w:szCs w:val="20"/>
        </w:rPr>
      </w:pPr>
      <w:r w:rsidRPr="001422EA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1422EA">
        <w:rPr>
          <w:rFonts w:ascii="Times New Roman" w:hAnsi="Times New Roman" w:cs="Times New Roman"/>
          <w:bCs/>
          <w:sz w:val="20"/>
          <w:szCs w:val="20"/>
        </w:rPr>
        <w:t xml:space="preserve"> Data are summarized at the patient level, and therapy categories are not mutually exclusive. “Before GKRS” denotes any documented exposure before the index GKRS course. Early post-GKRS exposure used the predefined 3-month window. Pretreatment systemic-therapy data were available for 78 of 80 patients, and early post-GKRS data for 71 patients. Post-GKRS CDK4/6-inhibitor and antibody–drug conjugate exposure was not available with sufficient temporal resolution. These data are descriptive and were not modeled as causal treatment exposures. GKRS, Gamma Knife radiosurgery; HER2, human epidermal growth factor receptor 2.</w:t>
      </w:r>
    </w:p>
    <w:p w14:paraId="05FA5BA8" w14:textId="77777777" w:rsidR="00363560" w:rsidRPr="001422EA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029E2302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4555B404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717F9F4A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7BA37D64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233A9CAC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041514B8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23721D55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760A4F67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65BD5DC5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57B53B26" w14:textId="77777777" w:rsidR="00363560" w:rsidRDefault="00363560" w:rsidP="00363560">
      <w:pPr>
        <w:rPr>
          <w:rFonts w:ascii="Times New Roman" w:hAnsi="Times New Roman" w:cs="Times New Roman"/>
          <w:bCs/>
          <w:sz w:val="20"/>
          <w:szCs w:val="20"/>
        </w:rPr>
      </w:pPr>
    </w:p>
    <w:p w14:paraId="61137577" w14:textId="77777777" w:rsidR="00363560" w:rsidRPr="00363560" w:rsidRDefault="00363560" w:rsidP="00363560">
      <w:pPr>
        <w:rPr>
          <w:rFonts w:ascii="Times New Roman" w:hAnsi="Times New Roman" w:cs="Times New Roman"/>
          <w:bCs/>
          <w:sz w:val="20"/>
          <w:szCs w:val="20"/>
          <w:u w:val="single"/>
        </w:rPr>
      </w:pPr>
    </w:p>
    <w:p w14:paraId="4D80009F" w14:textId="77777777" w:rsidR="00561E7E" w:rsidRPr="00363560" w:rsidRDefault="00561E7E">
      <w:pPr>
        <w:rPr>
          <w:rFonts w:hint="eastAsia"/>
        </w:rPr>
      </w:pPr>
    </w:p>
    <w:sectPr w:rsidR="00561E7E" w:rsidRPr="00363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07C70" w14:textId="77777777" w:rsidR="004B6182" w:rsidRDefault="004B6182" w:rsidP="001D43C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C39AF5" w14:textId="77777777" w:rsidR="004B6182" w:rsidRDefault="004B6182" w:rsidP="001D43C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26BB" w14:textId="77777777" w:rsidR="004B6182" w:rsidRDefault="004B6182" w:rsidP="001D43C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4B9D3E8" w14:textId="77777777" w:rsidR="004B6182" w:rsidRDefault="004B6182" w:rsidP="001D43C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DD"/>
    <w:rsid w:val="00010BB7"/>
    <w:rsid w:val="00120BBD"/>
    <w:rsid w:val="001422EA"/>
    <w:rsid w:val="001D43C6"/>
    <w:rsid w:val="00363560"/>
    <w:rsid w:val="00455F7A"/>
    <w:rsid w:val="004B6182"/>
    <w:rsid w:val="00561E7E"/>
    <w:rsid w:val="006333A6"/>
    <w:rsid w:val="006510F7"/>
    <w:rsid w:val="00871512"/>
    <w:rsid w:val="00A441DD"/>
    <w:rsid w:val="00CE5033"/>
    <w:rsid w:val="00CF2E07"/>
    <w:rsid w:val="00D8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552D62"/>
  <w15:chartTrackingRefBased/>
  <w15:docId w15:val="{73BFAA3C-DC28-426D-96A9-726E7E5B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441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1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41D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41D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1D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41D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41D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41D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g">
    <w:name w:val="gg"/>
    <w:basedOn w:val="a1"/>
    <w:uiPriority w:val="99"/>
    <w:rsid w:val="006333A6"/>
    <w:pPr>
      <w:spacing w:after="0" w:line="240" w:lineRule="auto"/>
    </w:pPr>
    <w:rPr>
      <w:rFonts w:ascii="Times New Roman" w:eastAsia="Times New Roman" w:hAnsi="Times New Roman" w:cs="Times New Roman"/>
      <w:kern w:val="0"/>
      <w:sz w:val="21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A441D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441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441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441D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441D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441D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441D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441D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441D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441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44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41D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441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4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441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41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41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41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441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41D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6356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63560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1D43C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1D43C6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1D43C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1D43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jing6811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1607</Words>
  <Characters>9483</Characters>
  <Application>Microsoft Office Word</Application>
  <DocSecurity>0</DocSecurity>
  <Lines>592</Lines>
  <Paragraphs>482</Paragraphs>
  <ScaleCrop>false</ScaleCrop>
  <Company/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631028236@qq.com</dc:creator>
  <cp:keywords/>
  <dc:description/>
  <cp:lastModifiedBy>631028236@qq.com</cp:lastModifiedBy>
  <cp:revision>12</cp:revision>
  <dcterms:created xsi:type="dcterms:W3CDTF">2026-08-11T08:09:00Z</dcterms:created>
  <dcterms:modified xsi:type="dcterms:W3CDTF">2026-09-14T11:03:00Z</dcterms:modified>
</cp:coreProperties>
</file>