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219E" w14:textId="77777777" w:rsidR="00A715B4" w:rsidRPr="004213FA" w:rsidRDefault="00A715B4" w:rsidP="00A715B4">
      <w:pPr>
        <w:spacing w:line="240" w:lineRule="auto"/>
        <w:jc w:val="center"/>
        <w:rPr>
          <w:b/>
          <w:bCs/>
          <w:sz w:val="24"/>
          <w:szCs w:val="24"/>
        </w:rPr>
      </w:pPr>
      <w:bookmarkStart w:id="0" w:name="_heading=h.btpymrfar84n" w:colFirst="0" w:colLast="0"/>
      <w:bookmarkStart w:id="1" w:name="_Hlk239841312"/>
      <w:bookmarkEnd w:id="0"/>
      <w:r w:rsidRPr="004213FA">
        <w:rPr>
          <w:b/>
          <w:bCs/>
          <w:sz w:val="24"/>
          <w:szCs w:val="24"/>
        </w:rPr>
        <w:t>Decadal shifts of organic contaminants in oceanic plankton</w:t>
      </w:r>
    </w:p>
    <w:p w14:paraId="5E7C94CC" w14:textId="77777777" w:rsidR="00A715B4" w:rsidRPr="004213FA" w:rsidRDefault="00A715B4" w:rsidP="00A715B4">
      <w:pPr>
        <w:spacing w:line="240" w:lineRule="auto"/>
        <w:jc w:val="center"/>
        <w:rPr>
          <w:sz w:val="24"/>
          <w:szCs w:val="24"/>
        </w:rPr>
      </w:pPr>
      <w:r w:rsidRPr="004213FA">
        <w:rPr>
          <w:sz w:val="24"/>
          <w:szCs w:val="24"/>
        </w:rPr>
        <w:t>Jessica Patrone</w:t>
      </w:r>
      <w:r w:rsidRPr="004213FA">
        <w:rPr>
          <w:sz w:val="24"/>
          <w:szCs w:val="24"/>
          <w:vertAlign w:val="superscript"/>
        </w:rPr>
        <w:t>1</w:t>
      </w:r>
      <w:r>
        <w:rPr>
          <w:sz w:val="24"/>
          <w:szCs w:val="24"/>
          <w:vertAlign w:val="superscript"/>
        </w:rPr>
        <w:t>,</w:t>
      </w:r>
      <w:r w:rsidRPr="004213FA">
        <w:rPr>
          <w:sz w:val="24"/>
          <w:szCs w:val="24"/>
          <w:vertAlign w:val="superscript"/>
        </w:rPr>
        <w:t>2</w:t>
      </w:r>
      <w:r w:rsidRPr="004213FA">
        <w:rPr>
          <w:sz w:val="24"/>
          <w:szCs w:val="24"/>
        </w:rPr>
        <w:t>, Jordi Dachs</w:t>
      </w:r>
      <w:r w:rsidRPr="004213FA">
        <w:rPr>
          <w:sz w:val="24"/>
          <w:szCs w:val="24"/>
          <w:vertAlign w:val="superscript"/>
        </w:rPr>
        <w:t>1</w:t>
      </w:r>
      <w:r w:rsidRPr="004213FA">
        <w:rPr>
          <w:sz w:val="24"/>
          <w:szCs w:val="24"/>
        </w:rPr>
        <w:t>, Maria Vila</w:t>
      </w:r>
      <w:r>
        <w:rPr>
          <w:sz w:val="24"/>
          <w:szCs w:val="24"/>
        </w:rPr>
        <w:t>-</w:t>
      </w:r>
      <w:r w:rsidRPr="004213FA">
        <w:rPr>
          <w:sz w:val="24"/>
          <w:szCs w:val="24"/>
        </w:rPr>
        <w:t>Costa</w:t>
      </w:r>
      <w:r w:rsidRPr="004213FA">
        <w:rPr>
          <w:sz w:val="24"/>
          <w:szCs w:val="24"/>
          <w:vertAlign w:val="superscript"/>
        </w:rPr>
        <w:t>1</w:t>
      </w:r>
      <w:r w:rsidRPr="004213FA">
        <w:rPr>
          <w:sz w:val="24"/>
          <w:szCs w:val="24"/>
        </w:rPr>
        <w:t xml:space="preserve">, </w:t>
      </w:r>
      <w:proofErr w:type="spellStart"/>
      <w:r w:rsidRPr="004213FA">
        <w:rPr>
          <w:sz w:val="24"/>
          <w:szCs w:val="24"/>
        </w:rPr>
        <w:t>Naiara</w:t>
      </w:r>
      <w:proofErr w:type="spellEnd"/>
      <w:r w:rsidRPr="004213FA">
        <w:rPr>
          <w:sz w:val="24"/>
          <w:szCs w:val="24"/>
        </w:rPr>
        <w:t xml:space="preserve"> </w:t>
      </w:r>
      <w:proofErr w:type="spellStart"/>
      <w:r w:rsidRPr="004213FA">
        <w:rPr>
          <w:sz w:val="24"/>
          <w:szCs w:val="24"/>
        </w:rPr>
        <w:t>Berrojalbiz</w:t>
      </w:r>
      <w:proofErr w:type="spellEnd"/>
      <w:r w:rsidRPr="004213FA">
        <w:rPr>
          <w:sz w:val="24"/>
          <w:szCs w:val="24"/>
        </w:rPr>
        <w:t xml:space="preserve"> Castrillejo</w:t>
      </w:r>
      <w:r w:rsidRPr="004213FA">
        <w:rPr>
          <w:sz w:val="24"/>
          <w:szCs w:val="24"/>
          <w:vertAlign w:val="superscript"/>
        </w:rPr>
        <w:t>1</w:t>
      </w:r>
      <w:r w:rsidRPr="004213FA">
        <w:rPr>
          <w:sz w:val="24"/>
          <w:szCs w:val="24"/>
        </w:rPr>
        <w:t>, Cristóbal Galbán</w:t>
      </w:r>
      <w:r>
        <w:rPr>
          <w:sz w:val="24"/>
          <w:szCs w:val="24"/>
        </w:rPr>
        <w:t>-</w:t>
      </w:r>
      <w:r w:rsidRPr="004213FA">
        <w:rPr>
          <w:sz w:val="24"/>
          <w:szCs w:val="24"/>
        </w:rPr>
        <w:t>Malagón</w:t>
      </w:r>
      <w:r w:rsidRPr="004213FA">
        <w:rPr>
          <w:sz w:val="24"/>
          <w:szCs w:val="24"/>
          <w:vertAlign w:val="superscript"/>
        </w:rPr>
        <w:t>3</w:t>
      </w:r>
      <w:r>
        <w:rPr>
          <w:sz w:val="24"/>
          <w:szCs w:val="24"/>
          <w:vertAlign w:val="superscript"/>
        </w:rPr>
        <w:t>,</w:t>
      </w:r>
      <w:r w:rsidRPr="004213FA">
        <w:rPr>
          <w:sz w:val="24"/>
          <w:szCs w:val="24"/>
          <w:vertAlign w:val="superscript"/>
        </w:rPr>
        <w:t>4</w:t>
      </w:r>
      <w:r w:rsidRPr="004213FA">
        <w:rPr>
          <w:sz w:val="24"/>
          <w:szCs w:val="24"/>
        </w:rPr>
        <w:t>, Maria Christina Nika</w:t>
      </w:r>
      <w:r w:rsidRPr="004213FA">
        <w:rPr>
          <w:sz w:val="24"/>
          <w:szCs w:val="24"/>
          <w:vertAlign w:val="superscript"/>
        </w:rPr>
        <w:t>1</w:t>
      </w:r>
      <w:r>
        <w:rPr>
          <w:sz w:val="24"/>
          <w:szCs w:val="24"/>
          <w:vertAlign w:val="superscript"/>
        </w:rPr>
        <w:t>,</w:t>
      </w:r>
      <w:r w:rsidRPr="004213FA">
        <w:rPr>
          <w:sz w:val="24"/>
          <w:szCs w:val="24"/>
          <w:vertAlign w:val="superscript"/>
        </w:rPr>
        <w:t>5</w:t>
      </w:r>
      <w:r w:rsidRPr="004213FA">
        <w:rPr>
          <w:sz w:val="24"/>
          <w:szCs w:val="24"/>
        </w:rPr>
        <w:t>, Nikolaos Thomaidis</w:t>
      </w:r>
      <w:r w:rsidRPr="004213FA">
        <w:rPr>
          <w:sz w:val="24"/>
          <w:szCs w:val="24"/>
          <w:vertAlign w:val="superscript"/>
        </w:rPr>
        <w:t>5</w:t>
      </w:r>
      <w:r w:rsidRPr="004213FA">
        <w:rPr>
          <w:sz w:val="24"/>
          <w:szCs w:val="24"/>
        </w:rPr>
        <w:t>, Ruben Gil Solsona</w:t>
      </w:r>
      <w:r w:rsidRPr="004213FA">
        <w:rPr>
          <w:sz w:val="24"/>
          <w:szCs w:val="24"/>
          <w:vertAlign w:val="superscript"/>
        </w:rPr>
        <w:t>1</w:t>
      </w:r>
      <w:r w:rsidRPr="004213FA">
        <w:rPr>
          <w:sz w:val="24"/>
          <w:szCs w:val="24"/>
        </w:rPr>
        <w:t>*, Pablo Gago</w:t>
      </w:r>
      <w:r>
        <w:rPr>
          <w:sz w:val="24"/>
          <w:szCs w:val="24"/>
        </w:rPr>
        <w:t>-</w:t>
      </w:r>
      <w:r w:rsidRPr="004213FA">
        <w:rPr>
          <w:sz w:val="24"/>
          <w:szCs w:val="24"/>
        </w:rPr>
        <w:t>Ferrero</w:t>
      </w:r>
      <w:r w:rsidRPr="004213FA">
        <w:rPr>
          <w:sz w:val="24"/>
          <w:szCs w:val="24"/>
          <w:vertAlign w:val="superscript"/>
        </w:rPr>
        <w:t>1</w:t>
      </w:r>
      <w:r w:rsidRPr="004213FA">
        <w:rPr>
          <w:sz w:val="24"/>
          <w:szCs w:val="24"/>
        </w:rPr>
        <w:t>*</w:t>
      </w:r>
    </w:p>
    <w:p w14:paraId="6C652D40" w14:textId="77777777" w:rsidR="00A715B4" w:rsidRPr="004213FA" w:rsidRDefault="00A715B4" w:rsidP="00A715B4">
      <w:pPr>
        <w:spacing w:after="0" w:line="240" w:lineRule="auto"/>
        <w:jc w:val="center"/>
        <w:rPr>
          <w:sz w:val="24"/>
          <w:szCs w:val="24"/>
        </w:rPr>
      </w:pPr>
      <w:r w:rsidRPr="004213FA">
        <w:rPr>
          <w:sz w:val="24"/>
          <w:szCs w:val="24"/>
          <w:vertAlign w:val="superscript"/>
        </w:rPr>
        <w:t>1</w:t>
      </w:r>
      <w:r w:rsidRPr="004213FA">
        <w:rPr>
          <w:sz w:val="24"/>
          <w:szCs w:val="24"/>
        </w:rPr>
        <w:t>Department of Environmental Chemistry, IDAEA</w:t>
      </w:r>
      <w:r>
        <w:rPr>
          <w:sz w:val="24"/>
          <w:szCs w:val="24"/>
        </w:rPr>
        <w:t>-</w:t>
      </w:r>
      <w:r w:rsidRPr="004213FA">
        <w:rPr>
          <w:sz w:val="24"/>
          <w:szCs w:val="24"/>
        </w:rPr>
        <w:t>CSIC, Barcelona, Spain</w:t>
      </w:r>
    </w:p>
    <w:p w14:paraId="0085D39C" w14:textId="77777777" w:rsidR="00A715B4" w:rsidRPr="004213FA" w:rsidRDefault="00A715B4" w:rsidP="00A715B4">
      <w:pPr>
        <w:spacing w:after="0" w:line="240" w:lineRule="auto"/>
        <w:jc w:val="center"/>
        <w:rPr>
          <w:sz w:val="24"/>
          <w:szCs w:val="24"/>
        </w:rPr>
      </w:pPr>
      <w:r w:rsidRPr="004213FA">
        <w:rPr>
          <w:sz w:val="24"/>
          <w:szCs w:val="24"/>
          <w:vertAlign w:val="superscript"/>
        </w:rPr>
        <w:t>2</w:t>
      </w:r>
      <w:r w:rsidRPr="004213FA">
        <w:rPr>
          <w:sz w:val="24"/>
          <w:szCs w:val="24"/>
        </w:rPr>
        <w:t>University of Barcelona, Barcelona, Spain</w:t>
      </w:r>
    </w:p>
    <w:p w14:paraId="2913B5C1" w14:textId="77777777" w:rsidR="00A715B4" w:rsidRPr="004213FA" w:rsidRDefault="00A715B4" w:rsidP="00A715B4">
      <w:pPr>
        <w:spacing w:after="0" w:line="240" w:lineRule="auto"/>
        <w:jc w:val="center"/>
        <w:rPr>
          <w:sz w:val="24"/>
          <w:szCs w:val="24"/>
        </w:rPr>
      </w:pPr>
      <w:r w:rsidRPr="004213FA">
        <w:rPr>
          <w:sz w:val="24"/>
          <w:szCs w:val="24"/>
          <w:vertAlign w:val="superscript"/>
        </w:rPr>
        <w:t>3</w:t>
      </w:r>
      <w:r w:rsidRPr="004213FA">
        <w:rPr>
          <w:sz w:val="24"/>
          <w:szCs w:val="24"/>
        </w:rPr>
        <w:t xml:space="preserve">GEMA </w:t>
      </w:r>
      <w:proofErr w:type="spellStart"/>
      <w:r w:rsidRPr="004213FA">
        <w:rPr>
          <w:sz w:val="24"/>
          <w:szCs w:val="24"/>
        </w:rPr>
        <w:t>Center</w:t>
      </w:r>
      <w:proofErr w:type="spellEnd"/>
      <w:r w:rsidRPr="004213FA">
        <w:rPr>
          <w:sz w:val="24"/>
          <w:szCs w:val="24"/>
        </w:rPr>
        <w:t xml:space="preserve"> (Genomics, Ecology and Environment), Universidad Mayor, Santiago de Chile, Chile.</w:t>
      </w:r>
    </w:p>
    <w:p w14:paraId="74307BC9" w14:textId="77777777" w:rsidR="00A715B4" w:rsidRPr="004213FA" w:rsidRDefault="00A715B4" w:rsidP="00A715B4">
      <w:pPr>
        <w:spacing w:after="0" w:line="240" w:lineRule="auto"/>
        <w:jc w:val="center"/>
        <w:rPr>
          <w:sz w:val="24"/>
          <w:szCs w:val="24"/>
        </w:rPr>
      </w:pPr>
      <w:r w:rsidRPr="004213FA">
        <w:rPr>
          <w:sz w:val="24"/>
          <w:szCs w:val="24"/>
          <w:vertAlign w:val="superscript"/>
        </w:rPr>
        <w:t>4</w:t>
      </w:r>
      <w:r w:rsidRPr="004213FA">
        <w:rPr>
          <w:sz w:val="24"/>
          <w:szCs w:val="24"/>
        </w:rPr>
        <w:t xml:space="preserve">Data Observatory Foundation, Providencia, Chile </w:t>
      </w:r>
    </w:p>
    <w:p w14:paraId="0309CF16" w14:textId="77777777" w:rsidR="00A715B4" w:rsidRPr="004213FA" w:rsidRDefault="00A715B4" w:rsidP="00A715B4">
      <w:pPr>
        <w:spacing w:after="0" w:line="240" w:lineRule="auto"/>
        <w:jc w:val="center"/>
        <w:rPr>
          <w:sz w:val="24"/>
          <w:szCs w:val="24"/>
          <w:vertAlign w:val="superscript"/>
        </w:rPr>
      </w:pPr>
      <w:r w:rsidRPr="004213FA">
        <w:rPr>
          <w:sz w:val="24"/>
          <w:szCs w:val="24"/>
          <w:vertAlign w:val="superscript"/>
        </w:rPr>
        <w:t>5</w:t>
      </w:r>
      <w:r w:rsidRPr="004213FA">
        <w:rPr>
          <w:sz w:val="24"/>
          <w:szCs w:val="24"/>
        </w:rPr>
        <w:t>University of Athens, Athens, Greece</w:t>
      </w:r>
    </w:p>
    <w:bookmarkEnd w:id="1"/>
    <w:p w14:paraId="51B8E85D" w14:textId="77777777" w:rsidR="000C2BFD" w:rsidRDefault="000C2BFD">
      <w:pPr>
        <w:spacing w:after="0" w:line="240" w:lineRule="auto"/>
        <w:jc w:val="center"/>
        <w:rPr>
          <w:sz w:val="24"/>
          <w:szCs w:val="24"/>
        </w:rPr>
      </w:pPr>
    </w:p>
    <w:p w14:paraId="3DB70F14" w14:textId="77777777" w:rsidR="000C2BFD" w:rsidRDefault="000C2BFD">
      <w:pPr>
        <w:spacing w:after="0" w:line="240" w:lineRule="auto"/>
        <w:jc w:val="center"/>
        <w:rPr>
          <w:sz w:val="24"/>
          <w:szCs w:val="24"/>
        </w:rPr>
      </w:pPr>
    </w:p>
    <w:p w14:paraId="32CA3D32" w14:textId="77777777" w:rsidR="000C2BFD" w:rsidRDefault="000C2BFD">
      <w:pPr>
        <w:spacing w:after="0" w:line="360" w:lineRule="auto"/>
        <w:jc w:val="center"/>
        <w:rPr>
          <w:rFonts w:ascii="Times New Roman" w:eastAsia="Times New Roman" w:hAnsi="Times New Roman" w:cs="Times New Roman"/>
          <w:sz w:val="24"/>
          <w:szCs w:val="24"/>
        </w:rPr>
      </w:pPr>
    </w:p>
    <w:p w14:paraId="139A7338" w14:textId="77777777" w:rsidR="000C2BFD" w:rsidRDefault="003C7D3E">
      <w:pPr>
        <w:spacing w:after="0" w:line="360" w:lineRule="auto"/>
        <w:rPr>
          <w:b/>
          <w:bCs/>
          <w:sz w:val="24"/>
          <w:szCs w:val="24"/>
        </w:rPr>
      </w:pPr>
      <w:r>
        <w:rPr>
          <w:b/>
          <w:bCs/>
          <w:sz w:val="24"/>
          <w:szCs w:val="24"/>
        </w:rPr>
        <w:t>Content:</w:t>
      </w:r>
    </w:p>
    <w:p w14:paraId="2742ECD5" w14:textId="77777777" w:rsidR="000C2BFD" w:rsidRPr="00A715B4" w:rsidRDefault="003C7D3E">
      <w:pPr>
        <w:spacing w:after="0" w:line="360" w:lineRule="auto"/>
        <w:rPr>
          <w:b/>
          <w:bCs/>
          <w:sz w:val="24"/>
          <w:szCs w:val="24"/>
          <w:lang w:val="it-IT"/>
        </w:rPr>
      </w:pPr>
      <w:r w:rsidRPr="00A715B4">
        <w:rPr>
          <w:b/>
          <w:bCs/>
          <w:sz w:val="24"/>
          <w:szCs w:val="24"/>
          <w:lang w:val="it-IT"/>
        </w:rPr>
        <w:t>SI 1. Semiquantification</w:t>
      </w:r>
    </w:p>
    <w:p w14:paraId="4D8477C7" w14:textId="77777777" w:rsidR="000C2BFD" w:rsidRPr="00A715B4" w:rsidRDefault="003C7D3E">
      <w:pPr>
        <w:spacing w:after="0" w:line="360" w:lineRule="auto"/>
        <w:rPr>
          <w:b/>
          <w:bCs/>
          <w:sz w:val="24"/>
          <w:szCs w:val="24"/>
          <w:lang w:val="it-IT"/>
        </w:rPr>
      </w:pPr>
      <w:r w:rsidRPr="00A715B4">
        <w:rPr>
          <w:b/>
          <w:bCs/>
          <w:sz w:val="24"/>
          <w:szCs w:val="24"/>
          <w:lang w:val="it-IT"/>
        </w:rPr>
        <w:t>Figure S1</w:t>
      </w:r>
    </w:p>
    <w:p w14:paraId="6DF3E34F" w14:textId="77777777" w:rsidR="000C2BFD" w:rsidRPr="00A715B4" w:rsidRDefault="003C7D3E">
      <w:pPr>
        <w:spacing w:after="0" w:line="360" w:lineRule="auto"/>
        <w:rPr>
          <w:b/>
          <w:bCs/>
          <w:sz w:val="24"/>
          <w:szCs w:val="24"/>
          <w:lang w:val="it-IT"/>
        </w:rPr>
      </w:pPr>
      <w:r w:rsidRPr="00A715B4">
        <w:rPr>
          <w:b/>
          <w:bCs/>
          <w:sz w:val="24"/>
          <w:szCs w:val="24"/>
          <w:lang w:val="it-IT"/>
        </w:rPr>
        <w:t>Figure S2</w:t>
      </w:r>
    </w:p>
    <w:p w14:paraId="40643B9F" w14:textId="77777777" w:rsidR="000C2BFD" w:rsidRPr="00A715B4" w:rsidRDefault="003C7D3E">
      <w:pPr>
        <w:rPr>
          <w:b/>
          <w:bCs/>
          <w:sz w:val="24"/>
          <w:szCs w:val="24"/>
          <w:lang w:val="it-IT"/>
        </w:rPr>
      </w:pPr>
      <w:r w:rsidRPr="00A715B4">
        <w:rPr>
          <w:lang w:val="it-IT"/>
        </w:rPr>
        <w:br w:type="page"/>
      </w:r>
    </w:p>
    <w:p w14:paraId="60500838" w14:textId="77777777" w:rsidR="000C2BFD" w:rsidRPr="00A715B4" w:rsidRDefault="003C7D3E">
      <w:pPr>
        <w:pStyle w:val="Titolo1"/>
        <w:spacing w:after="240"/>
        <w:rPr>
          <w:b/>
          <w:bCs/>
          <w:color w:val="000000"/>
          <w:sz w:val="24"/>
          <w:szCs w:val="24"/>
          <w:lang w:val="it-IT"/>
        </w:rPr>
      </w:pPr>
      <w:r w:rsidRPr="00A715B4">
        <w:rPr>
          <w:b/>
          <w:bCs/>
          <w:color w:val="000000"/>
          <w:sz w:val="24"/>
          <w:szCs w:val="24"/>
          <w:lang w:val="it-IT"/>
        </w:rPr>
        <w:lastRenderedPageBreak/>
        <w:t>SI 1. Semiquantification</w:t>
      </w:r>
    </w:p>
    <w:p w14:paraId="795834CA" w14:textId="77777777" w:rsidR="000C2BFD" w:rsidRDefault="003C7D3E">
      <w:pPr>
        <w:spacing w:after="0" w:line="276" w:lineRule="auto"/>
        <w:jc w:val="both"/>
        <w:rPr>
          <w:sz w:val="24"/>
          <w:szCs w:val="24"/>
        </w:rPr>
      </w:pPr>
      <w:r>
        <w:rPr>
          <w:sz w:val="24"/>
          <w:szCs w:val="24"/>
        </w:rPr>
        <w:t>Semi-quantification was performed using a Quantitative Structure–Ionization Relationship (QSIR) model trained in solvent. The predictive performance of the model was evaluated independently. It showed encouraging results, with 80% of the training-set predictions (10th–90th percentiles) falling within approximately a three-fold deviation from the corresponding experimental values, as described elsewhere (manuscript in preparation).</w:t>
      </w:r>
    </w:p>
    <w:p w14:paraId="47EE3187" w14:textId="77777777" w:rsidR="000C2BFD" w:rsidRDefault="003C7D3E">
      <w:pPr>
        <w:spacing w:after="0" w:line="276" w:lineRule="auto"/>
        <w:jc w:val="both"/>
        <w:rPr>
          <w:sz w:val="24"/>
          <w:szCs w:val="24"/>
        </w:rPr>
      </w:pPr>
      <w:r>
        <w:rPr>
          <w:sz w:val="24"/>
          <w:szCs w:val="24"/>
        </w:rPr>
        <w:t>To adapt the model to the instrumental conditions used in the present study, its predictions were harmonized using calibration curves acquired within the same analytical batch as the study samples. After this instrumental harmonization, the dispersion remained within a range considered suitable for semi-quantitative purposes (</w:t>
      </w:r>
      <w:r>
        <w:rPr>
          <w:b/>
          <w:bCs/>
          <w:sz w:val="24"/>
          <w:szCs w:val="24"/>
        </w:rPr>
        <w:t>Figure S1</w:t>
      </w:r>
      <w:r>
        <w:rPr>
          <w:sz w:val="24"/>
          <w:szCs w:val="24"/>
        </w:rPr>
        <w:t>), with the large majority of compounds falling within approximately a six-fold deviation in positive ionization mode and within approximately a five- to eight-fold deviation in negative ionization mode.</w:t>
      </w:r>
    </w:p>
    <w:p w14:paraId="17EEE388" w14:textId="77777777" w:rsidR="000C2BFD" w:rsidRDefault="003C7D3E">
      <w:pPr>
        <w:spacing w:after="0" w:line="276" w:lineRule="auto"/>
        <w:jc w:val="both"/>
        <w:rPr>
          <w:sz w:val="24"/>
          <w:szCs w:val="24"/>
        </w:rPr>
      </w:pPr>
      <w:r>
        <w:rPr>
          <w:sz w:val="24"/>
          <w:szCs w:val="24"/>
        </w:rPr>
        <w:t>Nevertheless, because the QSIR model was originally trained using solvent-based measurements, it does not explicitly account for compound-specific matrix effects. In our experiments, application of the solvent-trained model to complex biological matrices tended to result in systematically underestimated concentrations, consistent with ion suppression affecting the analytical response.</w:t>
      </w:r>
    </w:p>
    <w:p w14:paraId="429BA9EE" w14:textId="77777777" w:rsidR="000C2BFD" w:rsidRDefault="003C7D3E">
      <w:pPr>
        <w:pBdr>
          <w:top w:val="nil"/>
          <w:left w:val="nil"/>
          <w:bottom w:val="nil"/>
          <w:right w:val="nil"/>
          <w:between w:val="nil"/>
        </w:pBdr>
        <w:spacing w:line="276" w:lineRule="auto"/>
        <w:jc w:val="both"/>
        <w:rPr>
          <w:color w:val="000000"/>
          <w:sz w:val="24"/>
          <w:szCs w:val="24"/>
        </w:rPr>
      </w:pPr>
      <w:r>
        <w:rPr>
          <w:color w:val="000000"/>
          <w:sz w:val="24"/>
          <w:szCs w:val="24"/>
        </w:rPr>
        <w:t>To partially account for this source of bias, matrix effects were experimentally determined for all compounds included in the calibration set and evaluated as a function of chromatographic retention time (</w:t>
      </w:r>
      <w:r>
        <w:rPr>
          <w:b/>
          <w:bCs/>
          <w:color w:val="000000"/>
          <w:sz w:val="24"/>
          <w:szCs w:val="24"/>
        </w:rPr>
        <w:t>Figure S2</w:t>
      </w:r>
      <w:r>
        <w:rPr>
          <w:color w:val="000000"/>
          <w:sz w:val="24"/>
          <w:szCs w:val="24"/>
        </w:rPr>
        <w:t xml:space="preserve">). An empirical relationship describing the observed matrix-effect pattern across the chromatographic gradient was then derived separately for each ionization mode. For compounds without an authentic standard, the expected matrix effect was estimated from the locally observed </w:t>
      </w:r>
      <w:proofErr w:type="spellStart"/>
      <w:r>
        <w:rPr>
          <w:color w:val="000000"/>
          <w:sz w:val="24"/>
          <w:szCs w:val="24"/>
        </w:rPr>
        <w:t>behavior</w:t>
      </w:r>
      <w:proofErr w:type="spellEnd"/>
      <w:r>
        <w:rPr>
          <w:color w:val="000000"/>
          <w:sz w:val="24"/>
          <w:szCs w:val="24"/>
        </w:rPr>
        <w:t xml:space="preserve"> of calibration compounds eluting at similar retention times. This correction was applied assuming that in the absence of compound-specific data, the matrix effect varies smoothly along the chromatographic gradient and depends mainly on the co-eluting matrix components.</w:t>
      </w:r>
    </w:p>
    <w:p w14:paraId="68D2DAE9" w14:textId="77777777" w:rsidR="000C2BFD" w:rsidRDefault="000C2BFD">
      <w:pPr>
        <w:jc w:val="both"/>
        <w:rPr>
          <w:sz w:val="24"/>
          <w:szCs w:val="24"/>
        </w:rPr>
      </w:pPr>
    </w:p>
    <w:p w14:paraId="7C251979" w14:textId="77777777" w:rsidR="000C2BFD" w:rsidRDefault="003C7D3E">
      <w:pPr>
        <w:pBdr>
          <w:top w:val="nil"/>
          <w:left w:val="nil"/>
          <w:bottom w:val="nil"/>
          <w:right w:val="nil"/>
          <w:between w:val="nil"/>
        </w:pBdr>
        <w:spacing w:line="240" w:lineRule="auto"/>
        <w:jc w:val="both"/>
        <w:rPr>
          <w:color w:val="000000"/>
          <w:sz w:val="24"/>
          <w:szCs w:val="24"/>
        </w:rPr>
      </w:pPr>
      <w:r>
        <w:rPr>
          <w:noProof/>
          <w:color w:val="000000"/>
          <w:sz w:val="24"/>
          <w:szCs w:val="24"/>
        </w:rPr>
        <w:lastRenderedPageBreak/>
        <w:drawing>
          <wp:inline distT="0" distB="0" distL="0" distR="0" wp14:anchorId="3F9B39DB" wp14:editId="41075F93">
            <wp:extent cx="5391150" cy="237172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391150" cy="2371725"/>
                    </a:xfrm>
                    <a:prstGeom prst="rect">
                      <a:avLst/>
                    </a:prstGeom>
                    <a:ln/>
                  </pic:spPr>
                </pic:pic>
              </a:graphicData>
            </a:graphic>
          </wp:inline>
        </w:drawing>
      </w:r>
    </w:p>
    <w:p w14:paraId="364F2853" w14:textId="77777777" w:rsidR="000C2BFD" w:rsidRDefault="003C7D3E">
      <w:pPr>
        <w:pBdr>
          <w:top w:val="nil"/>
          <w:left w:val="nil"/>
          <w:bottom w:val="nil"/>
          <w:right w:val="nil"/>
          <w:between w:val="nil"/>
        </w:pBdr>
        <w:spacing w:line="240" w:lineRule="auto"/>
        <w:jc w:val="both"/>
        <w:rPr>
          <w:color w:val="000000"/>
          <w:sz w:val="24"/>
          <w:szCs w:val="24"/>
        </w:rPr>
      </w:pPr>
      <w:r>
        <w:rPr>
          <w:b/>
          <w:bCs/>
          <w:color w:val="000000"/>
          <w:sz w:val="24"/>
          <w:szCs w:val="24"/>
        </w:rPr>
        <w:t xml:space="preserve">Figure S1. </w:t>
      </w:r>
      <w:r>
        <w:rPr>
          <w:color w:val="000000"/>
          <w:sz w:val="24"/>
          <w:szCs w:val="24"/>
        </w:rPr>
        <w:t>Deviation between semi-quantified and experimentally determined concentrations for the compounds in the calibration set, after harmonization of QSIR model predictions with calibration curves acquired in the same analytical batch as the study samples. Each point corresponds to one compound; the violin shows the density of the fold-change distribution. Respectively: (</w:t>
      </w:r>
      <w:r>
        <w:rPr>
          <w:b/>
          <w:bCs/>
          <w:color w:val="000000"/>
          <w:sz w:val="24"/>
          <w:szCs w:val="24"/>
        </w:rPr>
        <w:t>a</w:t>
      </w:r>
      <w:r>
        <w:rPr>
          <w:color w:val="000000"/>
          <w:sz w:val="24"/>
          <w:szCs w:val="24"/>
        </w:rPr>
        <w:t>) positive ionization mode; (</w:t>
      </w:r>
      <w:r>
        <w:rPr>
          <w:b/>
          <w:bCs/>
          <w:color w:val="000000"/>
          <w:sz w:val="24"/>
          <w:szCs w:val="24"/>
        </w:rPr>
        <w:t>b</w:t>
      </w:r>
      <w:r>
        <w:rPr>
          <w:color w:val="000000"/>
          <w:sz w:val="24"/>
          <w:szCs w:val="24"/>
        </w:rPr>
        <w:t>) negative ionization mode.</w:t>
      </w:r>
    </w:p>
    <w:p w14:paraId="15CACB40" w14:textId="77777777" w:rsidR="000C2BFD" w:rsidRDefault="000C2BFD">
      <w:pPr>
        <w:pBdr>
          <w:top w:val="nil"/>
          <w:left w:val="nil"/>
          <w:bottom w:val="nil"/>
          <w:right w:val="nil"/>
          <w:between w:val="nil"/>
        </w:pBdr>
        <w:spacing w:line="240" w:lineRule="auto"/>
        <w:jc w:val="both"/>
        <w:rPr>
          <w:color w:val="000000"/>
          <w:sz w:val="24"/>
          <w:szCs w:val="24"/>
        </w:rPr>
      </w:pPr>
    </w:p>
    <w:p w14:paraId="1FE41A96" w14:textId="77777777" w:rsidR="000C2BFD" w:rsidRDefault="003C7D3E">
      <w:pPr>
        <w:pBdr>
          <w:top w:val="nil"/>
          <w:left w:val="nil"/>
          <w:bottom w:val="nil"/>
          <w:right w:val="nil"/>
          <w:between w:val="nil"/>
        </w:pBdr>
        <w:spacing w:line="240" w:lineRule="auto"/>
        <w:jc w:val="both"/>
        <w:rPr>
          <w:color w:val="000000"/>
          <w:sz w:val="24"/>
          <w:szCs w:val="24"/>
        </w:rPr>
      </w:pPr>
      <w:r>
        <w:rPr>
          <w:noProof/>
          <w:color w:val="000000"/>
          <w:sz w:val="24"/>
          <w:szCs w:val="24"/>
        </w:rPr>
        <w:lastRenderedPageBreak/>
        <w:drawing>
          <wp:inline distT="0" distB="0" distL="0" distR="0" wp14:anchorId="52EA5C26" wp14:editId="03DDFE2B">
            <wp:extent cx="5400675" cy="525780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400675" cy="5257800"/>
                    </a:xfrm>
                    <a:prstGeom prst="rect">
                      <a:avLst/>
                    </a:prstGeom>
                    <a:ln/>
                  </pic:spPr>
                </pic:pic>
              </a:graphicData>
            </a:graphic>
          </wp:inline>
        </w:drawing>
      </w:r>
      <w:r>
        <w:rPr>
          <w:b/>
          <w:bCs/>
          <w:color w:val="000000"/>
          <w:sz w:val="24"/>
          <w:szCs w:val="24"/>
        </w:rPr>
        <w:t>Figure S2.</w:t>
      </w:r>
      <w:r>
        <w:rPr>
          <w:color w:val="000000"/>
          <w:sz w:val="24"/>
          <w:szCs w:val="24"/>
        </w:rPr>
        <w:t xml:space="preserve"> Matrix effect (ME) experimentally determined for the compounds of the calibration set in positive (</w:t>
      </w:r>
      <w:r>
        <w:rPr>
          <w:b/>
          <w:bCs/>
          <w:color w:val="000000"/>
          <w:sz w:val="24"/>
          <w:szCs w:val="24"/>
        </w:rPr>
        <w:t>a</w:t>
      </w:r>
      <w:r>
        <w:rPr>
          <w:color w:val="000000"/>
          <w:sz w:val="24"/>
          <w:szCs w:val="24"/>
        </w:rPr>
        <w:t>) and negative (</w:t>
      </w:r>
      <w:r>
        <w:rPr>
          <w:b/>
          <w:bCs/>
          <w:color w:val="000000"/>
          <w:sz w:val="24"/>
          <w:szCs w:val="24"/>
        </w:rPr>
        <w:t>b</w:t>
      </w:r>
      <w:r>
        <w:rPr>
          <w:color w:val="000000"/>
          <w:sz w:val="24"/>
          <w:szCs w:val="24"/>
        </w:rPr>
        <w:t>) ionization mode, plotted as a function of chromatographic retention time (RT, min). Each point corresponds to one compound; ME values below 1 indicate ion suppression and values above 1 ion enhancement. The solid line is the fitted regression describing the matrix-effect pattern across the chromatographic gradient.</w:t>
      </w:r>
    </w:p>
    <w:p w14:paraId="0CDCB926" w14:textId="77777777" w:rsidR="000C2BFD" w:rsidRDefault="000C2BFD">
      <w:pPr>
        <w:jc w:val="both"/>
        <w:rPr>
          <w:color w:val="FF0000"/>
          <w:sz w:val="24"/>
          <w:szCs w:val="24"/>
        </w:rPr>
      </w:pPr>
    </w:p>
    <w:p w14:paraId="0AB79351" w14:textId="77777777" w:rsidR="000C2BFD" w:rsidRDefault="000C2BFD">
      <w:pPr>
        <w:pBdr>
          <w:top w:val="nil"/>
          <w:left w:val="nil"/>
          <w:bottom w:val="nil"/>
          <w:right w:val="nil"/>
          <w:between w:val="nil"/>
        </w:pBdr>
        <w:spacing w:line="240" w:lineRule="auto"/>
        <w:jc w:val="both"/>
        <w:rPr>
          <w:color w:val="000000"/>
          <w:sz w:val="24"/>
          <w:szCs w:val="24"/>
        </w:rPr>
      </w:pPr>
    </w:p>
    <w:sectPr w:rsidR="000C2BFD">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0952B6E7-05F1-41C7-AFB6-6E200597992D}"/>
    <w:embedBold r:id="rId2" w:fontKey="{461F065C-335C-4E19-A4C9-F429C8A56947}"/>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51CEFF6F-72FC-47EB-AC2C-BA9E71000153}"/>
  </w:font>
  <w:font w:name="Georgia">
    <w:panose1 w:val="02040502050405020303"/>
    <w:charset w:val="00"/>
    <w:family w:val="roman"/>
    <w:pitch w:val="variable"/>
    <w:sig w:usb0="00000287" w:usb1="00000000" w:usb2="00000000" w:usb3="00000000" w:csb0="0000009F" w:csb1="00000000"/>
    <w:embedItalic r:id="rId4" w:fontKey="{07E40076-57E1-4FF7-BD00-A95ED920612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FD"/>
    <w:rsid w:val="000C2BFD"/>
    <w:rsid w:val="003C7D3E"/>
    <w:rsid w:val="00A715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9CAEA"/>
  <w15:docId w15:val="{A80D8F29-CB79-48F1-B0BE-5D09A06C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F5496"/>
      <w:sz w:val="32"/>
      <w:szCs w:val="32"/>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Testocommento">
    <w:name w:val="annotation text"/>
    <w:link w:val="TestocommentoCarattere"/>
    <w:uiPriority w:val="99"/>
    <w:unhideWhenUsed/>
    <w:rsid w:val="00366BC6"/>
    <w:pPr>
      <w:spacing w:line="240" w:lineRule="auto"/>
    </w:pPr>
    <w:rPr>
      <w:sz w:val="20"/>
      <w:szCs w:val="20"/>
      <w:lang w:val="en-US" w:eastAsia="en-US"/>
    </w:rPr>
  </w:style>
  <w:style w:type="character" w:customStyle="1" w:styleId="TestocommentoCarattere">
    <w:name w:val="Testo commento Carattere"/>
    <w:basedOn w:val="Carpredefinitoparagrafo"/>
    <w:link w:val="Testocommento"/>
    <w:uiPriority w:val="99"/>
    <w:rsid w:val="00366BC6"/>
    <w:rPr>
      <w:rFonts w:ascii="Calibri" w:eastAsia="Calibri" w:hAnsi="Calibri" w:cs="Calibri"/>
      <w:sz w:val="20"/>
      <w:szCs w:val="20"/>
      <w:lang w:val="en-US"/>
    </w:rPr>
  </w:style>
  <w:style w:type="character" w:styleId="Rimandocommento">
    <w:name w:val="annotation reference"/>
    <w:basedOn w:val="Carpredefinitoparagrafo"/>
    <w:uiPriority w:val="99"/>
    <w:semiHidden/>
    <w:unhideWhenUsed/>
    <w:rsid w:val="00366BC6"/>
    <w:rPr>
      <w:sz w:val="16"/>
      <w:szCs w:val="16"/>
    </w:rPr>
  </w:style>
  <w:style w:type="paragraph" w:styleId="NormaleWeb">
    <w:name w:val="Normal (Web)"/>
    <w:uiPriority w:val="99"/>
    <w:unhideWhenUsed/>
    <w:rsid w:val="006E086F"/>
    <w:pPr>
      <w:spacing w:before="100" w:beforeAutospacing="1" w:after="100" w:afterAutospacing="1" w:line="240" w:lineRule="auto"/>
    </w:pPr>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uiPriority w:val="9"/>
    <w:rsid w:val="00511E23"/>
    <w:rPr>
      <w:rFonts w:asciiTheme="majorHAnsi" w:eastAsiaTheme="majorEastAsia" w:hAnsiTheme="majorHAnsi" w:cstheme="majorBidi"/>
      <w:color w:val="2F5496" w:themeColor="accent1" w:themeShade="BF"/>
      <w:sz w:val="32"/>
      <w:szCs w:val="32"/>
      <w:lang w:val="en" w:eastAsia="it-IT"/>
    </w:rPr>
  </w:style>
  <w:style w:type="paragraph" w:styleId="Soggettocommento">
    <w:name w:val="annotation subject"/>
    <w:basedOn w:val="Testocommento"/>
    <w:next w:val="Testocommento"/>
    <w:link w:val="SoggettocommentoCarattere"/>
    <w:uiPriority w:val="99"/>
    <w:semiHidden/>
    <w:unhideWhenUsed/>
    <w:rsid w:val="004A676B"/>
    <w:rPr>
      <w:b/>
      <w:bCs/>
      <w:lang w:val="en" w:eastAsia="it-IT"/>
    </w:rPr>
  </w:style>
  <w:style w:type="character" w:customStyle="1" w:styleId="SoggettocommentoCarattere">
    <w:name w:val="Soggetto commento Carattere"/>
    <w:basedOn w:val="TestocommentoCarattere"/>
    <w:link w:val="Soggettocommento"/>
    <w:uiPriority w:val="99"/>
    <w:semiHidden/>
    <w:rsid w:val="004A676B"/>
    <w:rPr>
      <w:rFonts w:ascii="Calibri" w:eastAsia="Calibri" w:hAnsi="Calibri" w:cs="Calibri"/>
      <w:b/>
      <w:bCs/>
      <w:sz w:val="20"/>
      <w:szCs w:val="20"/>
      <w:lang w:val="en"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M3TofpkU5rQBHyccOKZj7r+ng==">CgMxLjAaJwoBMBIiCiAIBCocCgtBQUFDR0ltb3lqdxAIGgtBQUFDR0ltb3lqdyL8AQoLQUFBQ0dJbW95ancSzAEKC0FBQUNHSW1veWp3EgtBQUFDR0ltb3lqdxoYCgl0ZXh0L2h0bWwSC0FmZmlsaWF0aW9uIhkKCnRleHQvcGxhaW4SC0FmZmlsaWF0aW9uKhsiFTExMzUyNDk1MTgwODkyNDkwMDc1MSgAOAAw0tuomYQ0ONLbqJmENEoPCgp0ZXh0L3BsYWluEgF4WiAyMTEyYTBiZjQ3MDI3YTIzZGQwZGQwODU5ZTI3OGM2NHICIAB4AJoBBggAEAAYAKoBDRILQWZmaWxpYXRpb24Y0tuomYQ0INLbqJmENEIQa2l4LjE4aGNuYTZiNTBoOTgAciExLUhWZWR6SGlZbGpXTFNBT1daZ3lxMlBoajRyemNBY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3</cp:revision>
  <dcterms:created xsi:type="dcterms:W3CDTF">2026-08-10T11:01:00Z</dcterms:created>
  <dcterms:modified xsi:type="dcterms:W3CDTF">2026-09-09T09:28:00Z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241368a7-5154-4c75-8f3d-f30a138ccef1</vt:lpwstr>
  </property>
</Properties>
</file>