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E60CF" w14:textId="77777777" w:rsidR="00BC476A" w:rsidRPr="00A23B88" w:rsidRDefault="00BC476A" w:rsidP="00BC476A">
      <w:pPr>
        <w:spacing w:beforeLines="50" w:before="120" w:after="200" w:line="360" w:lineRule="auto"/>
        <w:rPr>
          <w:rFonts w:ascii="Arial" w:hAnsi="Arial" w:cs="Arial"/>
        </w:rPr>
      </w:pPr>
      <w:r w:rsidRPr="00A23B88">
        <w:rPr>
          <w:rFonts w:ascii="Arial" w:hAnsi="Arial" w:cs="Arial"/>
          <w:b/>
          <w:sz w:val="28"/>
        </w:rPr>
        <w:t>Supplementary Materials</w:t>
      </w:r>
    </w:p>
    <w:p w14:paraId="7FA4DAD5" w14:textId="77777777" w:rsidR="00BC476A" w:rsidRPr="00A23B88" w:rsidRDefault="00BC476A" w:rsidP="00BC476A">
      <w:pPr>
        <w:spacing w:beforeLines="50" w:before="120" w:after="120" w:line="360" w:lineRule="auto"/>
        <w:rPr>
          <w:rFonts w:ascii="Arial" w:hAnsi="Arial" w:cs="Arial"/>
        </w:rPr>
      </w:pPr>
      <w:r w:rsidRPr="00A23B88">
        <w:rPr>
          <w:rFonts w:ascii="Arial" w:hAnsi="Arial" w:cs="Arial"/>
          <w:b/>
          <w:sz w:val="26"/>
        </w:rPr>
        <w:t>Supplementary Figures</w:t>
      </w:r>
    </w:p>
    <w:p w14:paraId="6C890AB5" w14:textId="78A910A9" w:rsidR="001F7CD4" w:rsidRDefault="001F7CD4" w:rsidP="00BC476A">
      <w:pPr>
        <w:spacing w:beforeLines="50" w:before="120" w:after="160" w:line="360" w:lineRule="auto"/>
        <w:rPr>
          <w:rFonts w:ascii="Arial" w:hAnsi="Arial" w:cs="Arial"/>
          <w:b/>
          <w:sz w:val="20"/>
        </w:rPr>
      </w:pPr>
      <w:r>
        <w:rPr>
          <w:noProof/>
        </w:rPr>
        <w:drawing>
          <wp:inline distT="0" distB="0" distL="0" distR="0" wp14:anchorId="08F11A89" wp14:editId="46C68563">
            <wp:extent cx="5098415" cy="2913380"/>
            <wp:effectExtent l="0" t="0" r="698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98415" cy="291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A633D" w14:textId="7E9D1DB1" w:rsidR="00BC476A" w:rsidRPr="00A23B88" w:rsidRDefault="00BC476A" w:rsidP="00BC476A">
      <w:pPr>
        <w:spacing w:beforeLines="50" w:before="120" w:after="160" w:line="360" w:lineRule="auto"/>
        <w:rPr>
          <w:rFonts w:ascii="Arial" w:hAnsi="Arial" w:cs="Arial"/>
        </w:rPr>
      </w:pPr>
      <w:r w:rsidRPr="00A23B88">
        <w:rPr>
          <w:rFonts w:ascii="Arial" w:hAnsi="Arial" w:cs="Arial"/>
          <w:b/>
          <w:sz w:val="20"/>
        </w:rPr>
        <w:t xml:space="preserve">Figure S1. All eight repeat classes across the population size gradient. </w:t>
      </w:r>
      <w:r w:rsidRPr="00A23B88">
        <w:rPr>
          <w:rFonts w:ascii="Arial" w:hAnsi="Arial" w:cs="Arial"/>
          <w:sz w:val="20"/>
        </w:rPr>
        <w:t>Boxplots showing genomic fraction of each repeat class for the three species, with individual haplotypes as jittered points. Exact p-values for all pairwise comparisons are reported in Table S1. Provides the complete data underlying Figure 1C.</w:t>
      </w:r>
    </w:p>
    <w:p w14:paraId="6B6965D8" w14:textId="2B56CB51" w:rsidR="001F7CD4" w:rsidRDefault="001F7CD4" w:rsidP="00BC476A">
      <w:pPr>
        <w:spacing w:beforeLines="50" w:before="120" w:after="160" w:line="360" w:lineRule="auto"/>
        <w:rPr>
          <w:rFonts w:ascii="Arial" w:hAnsi="Arial" w:cs="Arial"/>
          <w:b/>
          <w:sz w:val="20"/>
        </w:rPr>
      </w:pPr>
      <w:r>
        <w:rPr>
          <w:noProof/>
        </w:rPr>
        <w:drawing>
          <wp:inline distT="0" distB="0" distL="0" distR="0" wp14:anchorId="3BC2B1C7" wp14:editId="6E3C0D8F">
            <wp:extent cx="5098415" cy="2336800"/>
            <wp:effectExtent l="0" t="0" r="698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8415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DE1F8" w14:textId="48F7F471" w:rsidR="00BC476A" w:rsidRPr="00A23B88" w:rsidRDefault="00BC476A" w:rsidP="00BC476A">
      <w:pPr>
        <w:spacing w:beforeLines="50" w:before="120" w:after="160" w:line="360" w:lineRule="auto"/>
        <w:rPr>
          <w:rFonts w:ascii="Arial" w:hAnsi="Arial" w:cs="Arial"/>
        </w:rPr>
      </w:pPr>
      <w:r w:rsidRPr="00A23B88">
        <w:rPr>
          <w:rFonts w:ascii="Arial" w:hAnsi="Arial" w:cs="Arial"/>
          <w:b/>
          <w:sz w:val="20"/>
        </w:rPr>
        <w:t xml:space="preserve">Figure S2. TE age composition by category and species. </w:t>
      </w:r>
      <w:r w:rsidRPr="00A23B88">
        <w:rPr>
          <w:rFonts w:ascii="Arial" w:hAnsi="Arial" w:cs="Arial"/>
          <w:sz w:val="20"/>
        </w:rPr>
        <w:t>Stacked bar charts showing the mean proportion of young (&lt;5% Kimura), medium (5–15%), and old (&gt;15%) TE insertions for LINE, LTR, and SINE elements. Note the different baseline compositions: LINE ~86% old, LTR ~60% old, SINE ~95% old. AI consistently shows reduced young fraction and increased old fraction.</w:t>
      </w:r>
    </w:p>
    <w:p w14:paraId="23B70DD2" w14:textId="6B81E803" w:rsidR="001F7CD4" w:rsidRDefault="001F7CD4" w:rsidP="00BC476A">
      <w:pPr>
        <w:spacing w:beforeLines="50" w:before="120" w:after="160" w:line="360" w:lineRule="auto"/>
        <w:rPr>
          <w:rFonts w:ascii="Arial" w:hAnsi="Arial" w:cs="Arial"/>
          <w:b/>
          <w:sz w:val="20"/>
        </w:rPr>
      </w:pPr>
      <w:r>
        <w:rPr>
          <w:noProof/>
        </w:rPr>
        <w:lastRenderedPageBreak/>
        <w:drawing>
          <wp:inline distT="0" distB="0" distL="0" distR="0" wp14:anchorId="71AEAD6D" wp14:editId="7578A31F">
            <wp:extent cx="5098415" cy="2185035"/>
            <wp:effectExtent l="0" t="0" r="698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8415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2B384" w14:textId="3016C5C3" w:rsidR="00BC476A" w:rsidRDefault="00BC476A" w:rsidP="00BC476A">
      <w:pPr>
        <w:spacing w:beforeLines="50" w:before="120" w:after="160" w:line="360" w:lineRule="auto"/>
        <w:rPr>
          <w:rFonts w:ascii="Arial" w:hAnsi="Arial" w:cs="Arial"/>
          <w:sz w:val="20"/>
        </w:rPr>
      </w:pPr>
      <w:r w:rsidRPr="00A23B88">
        <w:rPr>
          <w:rFonts w:ascii="Arial" w:hAnsi="Arial" w:cs="Arial"/>
          <w:b/>
          <w:sz w:val="20"/>
        </w:rPr>
        <w:t xml:space="preserve">Figure S3. Detailed view of constraint score distributions. </w:t>
      </w:r>
      <w:r w:rsidRPr="00A23B88">
        <w:rPr>
          <w:rFonts w:ascii="Arial" w:hAnsi="Arial" w:cs="Arial"/>
          <w:sz w:val="20"/>
        </w:rPr>
        <w:t>(</w:t>
      </w:r>
      <w:r w:rsidRPr="00FD49E8">
        <w:rPr>
          <w:rFonts w:ascii="Arial" w:hAnsi="Arial" w:cs="Arial"/>
          <w:b/>
          <w:bCs/>
          <w:sz w:val="20"/>
        </w:rPr>
        <w:t>A</w:t>
      </w:r>
      <w:r w:rsidRPr="00A23B88">
        <w:rPr>
          <w:rFonts w:ascii="Arial" w:hAnsi="Arial" w:cs="Arial"/>
          <w:sz w:val="20"/>
        </w:rPr>
        <w:t>) Histogram of constraint scores across 15 TE subfamilies, colored by category. Distribution is bimodal with high-constraint (&gt;0.90) and moderate-to-low constraint clusters. (</w:t>
      </w:r>
      <w:r w:rsidRPr="00FD49E8">
        <w:rPr>
          <w:rFonts w:ascii="Arial" w:hAnsi="Arial" w:cs="Arial"/>
          <w:b/>
          <w:bCs/>
          <w:sz w:val="20"/>
        </w:rPr>
        <w:t>B</w:t>
      </w:r>
      <w:r w:rsidRPr="00A23B88">
        <w:rPr>
          <w:rFonts w:ascii="Arial" w:hAnsi="Arial" w:cs="Arial"/>
          <w:sz w:val="20"/>
        </w:rPr>
        <w:t>) Relationship between CV_AW and constraint score, with point size proportional to mean AW abundance. Abundant subfamilies tend to have lower CV (higher constraint).</w:t>
      </w:r>
    </w:p>
    <w:p w14:paraId="74AD9A16" w14:textId="7149ADA1" w:rsidR="001F7CD4" w:rsidRPr="00A23B88" w:rsidRDefault="001F7CD4" w:rsidP="00BC476A">
      <w:pPr>
        <w:spacing w:beforeLines="50" w:before="120" w:after="160" w:line="360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296E204" wp14:editId="672F4CA0">
            <wp:extent cx="5098415" cy="2124075"/>
            <wp:effectExtent l="0" t="0" r="698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9841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DD9A5" w14:textId="3E7E0821" w:rsidR="00BC476A" w:rsidRDefault="00BC476A" w:rsidP="00BC476A">
      <w:pPr>
        <w:spacing w:beforeLines="50" w:before="120" w:after="160" w:line="360" w:lineRule="auto"/>
        <w:rPr>
          <w:rFonts w:ascii="Arial" w:hAnsi="Arial" w:cs="Arial"/>
          <w:sz w:val="20"/>
        </w:rPr>
      </w:pPr>
      <w:r w:rsidRPr="00A23B88">
        <w:rPr>
          <w:rFonts w:ascii="Arial" w:hAnsi="Arial" w:cs="Arial"/>
          <w:b/>
          <w:sz w:val="20"/>
        </w:rPr>
        <w:t xml:space="preserve">Figure S4. AC (medium Ne) shows intermediate young TE proportions. </w:t>
      </w:r>
      <w:r w:rsidRPr="00A23B88">
        <w:rPr>
          <w:rFonts w:ascii="Arial" w:hAnsi="Arial" w:cs="Arial"/>
          <w:sz w:val="20"/>
        </w:rPr>
        <w:t>Boxplots of young TE insertion percentage across LINE, LTR, and SINE. AC consistently falls between AW and AI, demonstrating a graded relationship between Ne and the efficiency of purifying selection against young TE insertions.</w:t>
      </w:r>
    </w:p>
    <w:p w14:paraId="040AAFC9" w14:textId="77777777" w:rsidR="009B5B53" w:rsidRPr="00A23B88" w:rsidRDefault="009B5B53" w:rsidP="00BC476A">
      <w:pPr>
        <w:spacing w:beforeLines="50" w:before="120" w:after="160" w:line="360" w:lineRule="auto"/>
        <w:rPr>
          <w:rFonts w:ascii="Arial" w:hAnsi="Arial" w:cs="Arial"/>
        </w:rPr>
      </w:pPr>
    </w:p>
    <w:p w14:paraId="1F53712D" w14:textId="77777777" w:rsidR="00BC476A" w:rsidRPr="00A23B88" w:rsidRDefault="00BC476A" w:rsidP="00BC476A">
      <w:pPr>
        <w:spacing w:beforeLines="50" w:before="120" w:after="120" w:line="360" w:lineRule="auto"/>
        <w:rPr>
          <w:rFonts w:ascii="Arial" w:hAnsi="Arial" w:cs="Arial"/>
        </w:rPr>
      </w:pPr>
      <w:r w:rsidRPr="00A23B88">
        <w:rPr>
          <w:rFonts w:ascii="Arial" w:hAnsi="Arial" w:cs="Arial"/>
          <w:b/>
          <w:sz w:val="26"/>
        </w:rPr>
        <w:t>Supplementary Tables</w:t>
      </w:r>
    </w:p>
    <w:p w14:paraId="5F2983D8" w14:textId="77777777" w:rsidR="00BC476A" w:rsidRPr="003737CE" w:rsidRDefault="00BC476A" w:rsidP="00BC476A">
      <w:pPr>
        <w:spacing w:beforeLines="50" w:before="120" w:after="100" w:line="360" w:lineRule="auto"/>
        <w:rPr>
          <w:rFonts w:ascii="Arial" w:hAnsi="Arial" w:cs="Arial"/>
          <w:szCs w:val="20"/>
        </w:rPr>
      </w:pPr>
      <w:r w:rsidRPr="00412DD3">
        <w:rPr>
          <w:rFonts w:ascii="Arial" w:hAnsi="Arial" w:cs="Arial"/>
          <w:b/>
          <w:bCs/>
          <w:szCs w:val="20"/>
        </w:rPr>
        <w:t>Table S1. Repeat element abundance statistics across species.</w:t>
      </w:r>
      <w:r w:rsidRPr="003737CE">
        <w:rPr>
          <w:rFonts w:ascii="Arial" w:hAnsi="Arial" w:cs="Arial"/>
          <w:szCs w:val="20"/>
        </w:rPr>
        <w:t xml:space="preserve"> Mean genomic fraction (%), standard deviation, AI/AW abundance ratio, Kruskal-Wallis H and p-value, and Mann-Whitney U results (AW vs. AI) for eight major repeat classes. </w:t>
      </w:r>
    </w:p>
    <w:p w14:paraId="56B3CDA9" w14:textId="77777777" w:rsidR="00BC476A" w:rsidRPr="003737CE" w:rsidRDefault="00BC476A" w:rsidP="00BC476A">
      <w:pPr>
        <w:spacing w:beforeLines="50" w:before="120" w:after="100" w:line="360" w:lineRule="auto"/>
        <w:rPr>
          <w:rFonts w:ascii="Arial" w:hAnsi="Arial" w:cs="Arial"/>
          <w:szCs w:val="20"/>
        </w:rPr>
      </w:pPr>
      <w:r w:rsidRPr="000B54FC">
        <w:rPr>
          <w:rFonts w:ascii="Arial" w:hAnsi="Arial" w:cs="Arial"/>
          <w:b/>
          <w:bCs/>
          <w:szCs w:val="20"/>
        </w:rPr>
        <w:t>Table S2. TE age structure and copy number statistics by category and species at the individual level.</w:t>
      </w:r>
      <w:r w:rsidRPr="003737CE">
        <w:rPr>
          <w:rFonts w:ascii="Arial" w:hAnsi="Arial" w:cs="Arial"/>
          <w:szCs w:val="20"/>
        </w:rPr>
        <w:t xml:space="preserve"> Mean and standard deviation of young TE%, old TE%, and total </w:t>
      </w:r>
      <w:r w:rsidRPr="003737CE">
        <w:rPr>
          <w:rFonts w:ascii="Arial" w:hAnsi="Arial" w:cs="Arial"/>
          <w:szCs w:val="20"/>
        </w:rPr>
        <w:lastRenderedPageBreak/>
        <w:t xml:space="preserve">TE copy number per individual for LINE, SINE, and LTR across the three species (N = 15, 14, 15 individuals). Kruskal-Wallis tests compare all three species; Mann-Whitney U tests compare AW vs. AI. </w:t>
      </w:r>
    </w:p>
    <w:p w14:paraId="4AE59E37" w14:textId="77777777" w:rsidR="00BC476A" w:rsidRPr="003737CE" w:rsidRDefault="00BC476A" w:rsidP="00BC476A">
      <w:pPr>
        <w:spacing w:beforeLines="50" w:before="120" w:after="100" w:line="360" w:lineRule="auto"/>
        <w:rPr>
          <w:rFonts w:ascii="Arial" w:hAnsi="Arial" w:cs="Arial"/>
          <w:szCs w:val="20"/>
        </w:rPr>
      </w:pPr>
      <w:r w:rsidRPr="00E513DD">
        <w:rPr>
          <w:rFonts w:ascii="Arial" w:hAnsi="Arial" w:cs="Arial"/>
          <w:b/>
          <w:bCs/>
          <w:szCs w:val="20"/>
        </w:rPr>
        <w:t>Table S3. Subfamily-level constraint analysis.</w:t>
      </w:r>
      <w:r w:rsidRPr="003737CE">
        <w:rPr>
          <w:rFonts w:ascii="Arial" w:hAnsi="Arial" w:cs="Arial"/>
          <w:szCs w:val="20"/>
        </w:rPr>
        <w:t xml:space="preserve"> For 15 TE subfamilies: category, mean genomic fraction in AW and AI (%), AI/AW ratio, CV_AW, and constraint score [1/(1+CV)]. Sorted by AI/AW ratio.</w:t>
      </w:r>
    </w:p>
    <w:p w14:paraId="65F38B4E" w14:textId="77777777" w:rsidR="00BC476A" w:rsidRDefault="00BC476A" w:rsidP="00BC476A">
      <w:pPr>
        <w:spacing w:beforeLines="50" w:before="120" w:after="100" w:line="360" w:lineRule="auto"/>
        <w:rPr>
          <w:rFonts w:ascii="Arial" w:hAnsi="Arial" w:cs="Arial"/>
          <w:szCs w:val="20"/>
        </w:rPr>
      </w:pPr>
      <w:r w:rsidRPr="003737CE">
        <w:rPr>
          <w:rFonts w:ascii="Arial" w:hAnsi="Arial" w:cs="Arial"/>
          <w:b/>
          <w:bCs/>
          <w:szCs w:val="20"/>
        </w:rPr>
        <w:t>Table S4. Sensitivity analysis of young-TE thresholds.</w:t>
      </w:r>
      <w:r w:rsidRPr="003737CE">
        <w:rPr>
          <w:rFonts w:ascii="Arial" w:hAnsi="Arial" w:cs="Arial"/>
          <w:szCs w:val="20"/>
        </w:rPr>
        <w:t xml:space="preserve"> Proportion of young TE insertions (LINE/SINE/LTR combined, based on an unbiased sample of 50,000 copies per species) under young-insertion thresholds of 3-7% divergence, and the corresponding relative change in AI and AC versus AW. </w:t>
      </w:r>
    </w:p>
    <w:p w14:paraId="0385F258" w14:textId="77777777" w:rsidR="00373381" w:rsidRDefault="00373381"/>
    <w:sectPr w:rsidR="00373381" w:rsidSect="00F81492">
      <w:type w:val="oddPage"/>
      <w:pgSz w:w="11907" w:h="16840" w:code="9"/>
      <w:pgMar w:top="1440" w:right="1797" w:bottom="1440" w:left="1797" w:header="1134" w:footer="992" w:gutter="284"/>
      <w:cols w:space="425"/>
      <w:docGrid w:linePitch="384" w:charSpace="7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1FD89" w14:textId="77777777" w:rsidR="00914089" w:rsidRDefault="00914089" w:rsidP="00BC476A">
      <w:r>
        <w:separator/>
      </w:r>
    </w:p>
  </w:endnote>
  <w:endnote w:type="continuationSeparator" w:id="0">
    <w:p w14:paraId="769B1C9E" w14:textId="77777777" w:rsidR="00914089" w:rsidRDefault="00914089" w:rsidP="00BC4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5030D" w14:textId="77777777" w:rsidR="00914089" w:rsidRDefault="00914089" w:rsidP="00BC476A">
      <w:r>
        <w:separator/>
      </w:r>
    </w:p>
  </w:footnote>
  <w:footnote w:type="continuationSeparator" w:id="0">
    <w:p w14:paraId="65CFC772" w14:textId="77777777" w:rsidR="00914089" w:rsidRDefault="00914089" w:rsidP="00BC47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evenAndOddHeaders/>
  <w:drawingGridHorizontalSpacing w:val="138"/>
  <w:drawingGridVerticalSpacing w:val="19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BE"/>
    <w:rsid w:val="00094EF5"/>
    <w:rsid w:val="001F7CD4"/>
    <w:rsid w:val="00204B9D"/>
    <w:rsid w:val="002E4CBF"/>
    <w:rsid w:val="00373381"/>
    <w:rsid w:val="0058165F"/>
    <w:rsid w:val="00914089"/>
    <w:rsid w:val="009B5B53"/>
    <w:rsid w:val="009E2B32"/>
    <w:rsid w:val="00AE03BE"/>
    <w:rsid w:val="00BC476A"/>
    <w:rsid w:val="00CB127C"/>
    <w:rsid w:val="00F81492"/>
    <w:rsid w:val="00FD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0AA65D"/>
  <w15:chartTrackingRefBased/>
  <w15:docId w15:val="{0779B0FC-8A5C-4237-B744-DCF7A830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47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47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47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47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2026-08-24T06:22:00Z</dcterms:created>
  <dcterms:modified xsi:type="dcterms:W3CDTF">2026-08-24T08:15:00Z</dcterms:modified>
</cp:coreProperties>
</file>