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240" w:after="120"/>
      </w:pPr>
      <w:r>
        <w:rPr>
          <w:rFonts w:ascii="Calibri" w:hAnsi="Calibri"/>
          <w:b/>
          <w:color w:val="1B365D"/>
          <w:sz w:val="32"/>
        </w:rPr>
        <w:t>SUPPLEMENTARY MATERIAL: REPORTING CHECKLISTS AND STUDY METHODOLOGY</w:t>
      </w:r>
    </w:p>
    <w:p>
      <w:pPr>
        <w:spacing w:before="0" w:after="80" w:line="276" w:lineRule="auto"/>
      </w:pPr>
      <w:r>
        <w:rPr>
          <w:rFonts w:ascii="Calibri" w:hAnsi="Calibri"/>
          <w:b/>
          <w:color w:val="1E293B"/>
          <w:sz w:val="20"/>
        </w:rPr>
        <w:t>Accompanying Manuscript:</w:t>
      </w:r>
    </w:p>
    <w:p>
      <w:pPr>
        <w:spacing w:before="0" w:after="80" w:line="276" w:lineRule="auto"/>
      </w:pPr>
      <w:r>
        <w:rPr>
          <w:rFonts w:ascii="Calibri" w:hAnsi="Calibri"/>
          <w:color w:val="1E293B"/>
          <w:sz w:val="20"/>
        </w:rPr>
        <w:t>*Eliminating False-Negative Discharges in Tuberculosis Screening: Multi-Cohort Development and Independent External Stress-Testing of an Auditable Conformal AI Safety Architecture*</w:t>
      </w:r>
    </w:p>
    <w:p>
      <w:pPr>
        <w:spacing w:before="0" w:after="80" w:line="276" w:lineRule="auto"/>
      </w:pPr>
      <w:r>
        <w:rPr>
          <w:rFonts w:ascii="Calibri" w:hAnsi="Calibri"/>
          <w:b/>
          <w:color w:val="1E293B"/>
          <w:sz w:val="20"/>
        </w:rPr>
        <w:t>Document Version:</w:t>
      </w:r>
      <w:r>
        <w:rPr>
          <w:rFonts w:ascii="Calibri" w:hAnsi="Calibri"/>
          <w:color w:val="1E293B"/>
          <w:sz w:val="20"/>
        </w:rPr>
        <w:t xml:space="preserve"> 1.0 (Audited Pre-Submission Package)</w:t>
      </w:r>
    </w:p>
    <w:p>
      <w:pPr>
        <w:spacing w:before="0" w:after="80" w:line="276" w:lineRule="auto"/>
      </w:pPr>
      <w:r>
        <w:rPr>
          <w:rFonts w:ascii="Calibri" w:hAnsi="Calibri"/>
          <w:b/>
          <w:color w:val="1E293B"/>
          <w:sz w:val="20"/>
        </w:rPr>
        <w:t>Primary Standards:</w:t>
      </w:r>
      <w:r>
        <w:rPr>
          <w:rFonts w:ascii="Calibri" w:hAnsi="Calibri"/>
          <w:color w:val="1E293B"/>
          <w:sz w:val="20"/>
        </w:rPr>
        <w:t xml:space="preserve"> TRIPOD+AI 2024 Statement, CLAIM 2024 (RSNA Radiology update), STARD-AI 2020 Statement</w:t>
      </w:r>
    </w:p>
    <w:p>
      <w:pPr>
        <w:spacing w:before="0" w:after="80" w:line="276" w:lineRule="auto"/>
      </w:pPr>
      <w:r>
        <w:rPr>
          <w:rFonts w:ascii="Calibri" w:hAnsi="Calibri"/>
          <w:b/>
          <w:color w:val="1E293B"/>
          <w:sz w:val="20"/>
        </w:rPr>
        <w:t>License:</w:t>
      </w:r>
      <w:r>
        <w:rPr>
          <w:rFonts w:ascii="Calibri" w:hAnsi="Calibri"/>
          <w:color w:val="1E293B"/>
          <w:sz w:val="20"/>
        </w:rPr>
        <w:t xml:space="preserve"> Creative Commons Attribution-NonCommercial-NoDerivatives 4.0 International (CC-BY-NC-ND 4.0)</w:t>
      </w:r>
    </w:p>
    <w:p>
      <w:pPr>
        <w:pStyle w:val="Heading2"/>
        <w:spacing w:before="280" w:after="120"/>
      </w:pPr>
      <w:r>
        <w:rPr>
          <w:rFonts w:ascii="Calibri" w:hAnsi="Calibri"/>
          <w:b/>
          <w:color w:val="1B365D"/>
          <w:sz w:val="26"/>
        </w:rPr>
        <w:t>SECTION 1: TRIPOD+AI 2024 STATEMENT CHECKLIST</w:t>
      </w:r>
    </w:p>
    <w:p>
      <w:pPr>
        <w:spacing w:before="0" w:after="80" w:line="276" w:lineRule="auto"/>
      </w:pPr>
      <w:r>
        <w:rPr>
          <w:rFonts w:ascii="Calibri" w:hAnsi="Calibri"/>
          <w:color w:val="1E293B"/>
          <w:sz w:val="20"/>
        </w:rPr>
        <w:t>*Transparent Reporting of a multivariable prediction model for Individual Prognosis Or Diagnosis - Artificial Intelligence (TRIPOD+AI)*</w:t>
      </w:r>
    </w:p>
    <w:tbl>
      <w:tblPr>
        <w:tblW w:type="auto" w:w="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Item No.</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TRIPOD+AI 2024 Checklist Descriptor</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Manuscript Section &amp; Location</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Detailed Compliance Narrative &amp; Direct Evidence</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Title</w:t>
            </w: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Identify the study as developing and/or validating a multivariable prediction model for diagnosis or prognosis, specifying the target condition and that machine learning / AI was used.</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Title Page</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Title specifies target condition (pulmonary tuberculosis), model architecture (conformal AI framework), task (screening triage), and multi-cohort development and external validation design ("*Eliminating False-Negative Discharges in Tuberculosis Screening: Multi-Cohort Development and Independent External Stress-Testing of an Auditable Conformal AI Safety Architecture*").</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Abstract</w:t>
            </w: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2</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Provide a structured summary of the objectives, study design, setting, participants, sample size, predictors, model development, model performance, and interpretation.</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Structured Abstract</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Structured abstract provided (294 words) covering background, methods, findings, and interpretation. Reports sample sizes (12,599 development CXRs across 5 centers, 3,441 external CXRs across 3 South Asian cohorts; total 16,040 radiographs), discrimination (development AUROC 0.9943 vs Solan AUROC 0.8613, NITRD AUROC 0.8721, Combined India AUROC 0.8682, Pakistan AUROC 0.4982 / v10 retrained 0.7098), sensitivities, specificities, and conformal coverage with 95% CIs.</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Introduction</w:t>
            </w: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3a</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Explain the medical context, clinical rationale, and objective of the prediction model, including the intended role in clinical practice.</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1 (Introduction), Paragraphs 1-2</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Outlined in Section 1: describes global pulmonary tuberculosis epidemiology (10.6 million incident cases, 1.3 million deaths annually), radiologist shortages in high-burden regions, and the clinical need for calibrated uncertainty estimation in automated triage.</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3b</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Specify the clinical pathway and whether the model is intended to replace, triage, or add to existing diagnostic procedures.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1 (Introduction), Paragraph 4; Section 2.7</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Specified in Section 1 and Section 2.7: defines the model as an assistive triage tool within a 3-tier clinical decision pathway to prioritize sputum molecular testing (GeneXpert MTB/RIF) and flag high-risk cases while referring indeterminate examinations for expert review.</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b/>
                <w:color w:val="1E293B"/>
                <w:sz w:val="17"/>
              </w:rPr>
              <w:t>Methods</w:t>
            </w:r>
          </w:p>
        </w:tc>
        <w:tc>
          <w:tcPr>
            <w:tcW w:type="dxa" w:w="2340"/>
            <w:shd w:fill="F8FAFC"/>
            <w:tcMar>
              <w:top w:w="80" w:type="dxa"/>
              <w:bottom w:w="80" w:type="dxa"/>
              <w:left w:w="120" w:type="dxa"/>
              <w:right w:w="120" w:type="dxa"/>
            </w:tcMar>
          </w:tcPr>
          <w:p>
            <w:pPr>
              <w:spacing w:before="40" w:after="40"/>
              <w:jc w:val="center"/>
            </w:pPr>
          </w:p>
        </w:tc>
        <w:tc>
          <w:tcPr>
            <w:tcW w:type="dxa" w:w="2340"/>
            <w:shd w:fill="F8FAFC"/>
            <w:tcMar>
              <w:top w:w="80" w:type="dxa"/>
              <w:bottom w:w="80" w:type="dxa"/>
              <w:left w:w="120" w:type="dxa"/>
              <w:right w:w="120" w:type="dxa"/>
            </w:tcMar>
          </w:tcPr>
          <w:p>
            <w:pPr>
              <w:spacing w:before="40" w:after="40"/>
              <w:jc w:val="center"/>
            </w:pPr>
          </w:p>
        </w:tc>
        <w:tc>
          <w:tcPr>
            <w:tcW w:type="dxa" w:w="2340"/>
            <w:shd w:fill="F8FAFC"/>
            <w:tcMar>
              <w:top w:w="80" w:type="dxa"/>
              <w:bottom w:w="80" w:type="dxa"/>
              <w:left w:w="120" w:type="dxa"/>
              <w:right w:w="120" w:type="dxa"/>
            </w:tcMar>
          </w:tcPr>
          <w:p>
            <w:pPr>
              <w:spacing w:before="40" w:after="40"/>
              <w:jc w:val="center"/>
            </w:pP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4a</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Describe the study design (e.g., retrospective cohort, prospective clinical trial), sources of data, and dates of data collection.</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2.1 (Study Design)</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Detailed in Section 2.1: retrospective observational multi-center design using 5 international development cohorts (N = 12,599) and 3 external cohorts in South Asia (Solan District Hospital, NITRD New Delhi, and Pakistan Hospital; N = 3,441). Data collection periods spanned 2008 to 2023.</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4b</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Specify institutional review board approvals, ethics waivers, and patient consent procedures.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2.1 &amp; Section 5 (Ethics Declarations)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Reported in Section 2.1 and Section 5: secondary analysis of anonymized open-access datasets compliant with CIOMS 2016 guidelines and the Declaration of Helsinki; primary IRB approvals and ethics clearances are documented across contributing centers.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5a</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Specify eligibility criteria for participants and imaging examinations.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Defined in Section 2.2: posteroanterior (PA) and anteroposterior (AP) chest radiographs of adolescent and adult patients evaluated for pulmonary tuberculosis. Excluded non-thoracic images, corrupted files, and lateral projections.</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5b</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Detail data exclusions and handling of missing data.</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2.3 (Pre-Analytic IQA Guardrails) &amp; Figure 1</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Detailed in Section 2.3 and Figure 1: 28 unindexed images from NITRD Dataset B were omitted during benchmark ingestion due to incomplete indexing; pre-analytic image quality assessment criteria and exclusions are diagrammed in Figure 1.</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6a</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Clearly define the reference standard used to establish the target outcome (pulmonary TB).</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&amp; Table 1</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Specified in Section 2.2 and Table 1: reference standards cataloged per cohort, including microbiological confirmation (sputum culture, acid-fast bacilli smear, GeneXpert MTB/RIF) or expert thoracic radiologist consensus.</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6b</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Describe blinding between assessment of predictors and determination of the outcome.</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(Label-Blinded Protocol)</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Described in Section 2.2: external validation cohorts were evaluated under label-blinded protocols with ground-truth reference keys unsealed only after inference execution and predictions were locked.</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7a</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Detail feature engineering, image preprocessing, and normalization pipelines.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2.3 (Preprocessing Pipeline)</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Detailed in Section 2.3: automated grayscale polarity correction, bicubic interpolation to 512x512 matrix, central-thorax percentile intensity normalization (</w:t>
            </w:r>
            <w:r>
              <w:rPr>
                <w:rFonts w:ascii="Calibri" w:hAnsi="Calibri"/>
                <w:color w:val="1E293B"/>
                <w:sz w:val="17"/>
              </w:rPr>
              <w:t>P</w:t>
            </w:r>
            <w:r>
              <w:rPr>
                <w:rFonts w:ascii="Calibri" w:hAnsi="Calibri"/>
                <w:color w:val="1E293B"/>
                <w:sz w:val="17"/>
                <w:vertAlign w:val="subscript"/>
              </w:rPr>
              <w:t>1</w:t>
            </w:r>
            <w:r>
              <w:rPr>
                <w:rFonts w:ascii="Calibri" w:hAnsi="Calibri"/>
                <w:color w:val="1E293B"/>
                <w:sz w:val="17"/>
              </w:rPr>
              <w:t xml:space="preserve"> to </w:t>
            </w:r>
            <w:r>
              <w:rPr>
                <w:rFonts w:ascii="Calibri" w:hAnsi="Calibri"/>
                <w:color w:val="1E293B"/>
                <w:sz w:val="17"/>
              </w:rPr>
              <w:t>P</w:t>
            </w:r>
            <w:r>
              <w:rPr>
                <w:rFonts w:ascii="Calibri" w:hAnsi="Calibri"/>
                <w:color w:val="1E293B"/>
                <w:sz w:val="17"/>
                <w:vertAlign w:val="subscript"/>
              </w:rPr>
              <w:t>99</w:t>
            </w:r>
            <w:r>
              <w:rPr>
                <w:rFonts w:ascii="Calibri" w:hAnsi="Calibri"/>
                <w:color w:val="1E293B"/>
                <w:sz w:val="17"/>
              </w:rPr>
              <w:t>), and standard ImageNet channel standardization.</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7b</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Describe model architecture, hyperparameters, loss functions, and optimization routines.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2.4 (Deep Neural Network Architecture)</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Specified in Section 2.4: DenseNet-121 backbone (6,955,906 trainable parameters; 7,039,675 total registered parameters), Adam optimizer (initial learning rate 1e-4 with cosine annealing), cross-entropy loss, and domain-stratified mini-batch sampling.</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8</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Specify the method used to handle class and domain imbalance.</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2.4 (Batch Sampling)</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Described in Section 2.4: domain- and class-balanced batch sampler partitioning development data into 8 equal strata (Center x Class), allocating 12.5% sampling probability mass per cell.</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9a</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Detail calibration procedures and uncertainty quantification methodology.</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2.5 &amp; Section 2.6</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 xml:space="preserve">Reported in Sections 2.5 and 2.6: post-hoc temperature scaling via L-BFGS (T = 0.8349) and class-conditional Mondrian split conformal prediction (significance level α = 0.05; non-conformity thresholds </w:t>
            </w:r>
            <w:r>
              <w:rPr>
                <w:rFonts w:ascii="Calibri" w:hAnsi="Calibri"/>
                <w:color w:val="1E293B"/>
                <w:sz w:val="17"/>
              </w:rPr>
              <w:t>q̂</w:t>
            </w:r>
            <w:r>
              <w:rPr>
                <w:rFonts w:ascii="Calibri" w:hAnsi="Calibri"/>
                <w:color w:val="1E293B"/>
                <w:sz w:val="17"/>
                <w:vertAlign w:val="subscript"/>
              </w:rPr>
              <w:t>0</w:t>
            </w:r>
            <w:r>
              <w:rPr>
                <w:rFonts w:ascii="Calibri" w:hAnsi="Calibri"/>
                <w:color w:val="1E293B"/>
                <w:sz w:val="17"/>
              </w:rPr>
              <w:t xml:space="preserve"> = 0.2299, </w:t>
            </w:r>
            <w:r>
              <w:rPr>
                <w:rFonts w:ascii="Calibri" w:hAnsi="Calibri"/>
                <w:color w:val="1E293B"/>
                <w:sz w:val="17"/>
              </w:rPr>
              <w:t>q̂</w:t>
            </w:r>
            <w:r>
              <w:rPr>
                <w:rFonts w:ascii="Calibri" w:hAnsi="Calibri"/>
                <w:color w:val="1E293B"/>
                <w:sz w:val="17"/>
                <w:vertAlign w:val="subscript"/>
              </w:rPr>
              <w:t>1</w:t>
            </w:r>
            <w:r>
              <w:rPr>
                <w:rFonts w:ascii="Calibri" w:hAnsi="Calibri"/>
                <w:color w:val="1E293B"/>
                <w:sz w:val="17"/>
              </w:rPr>
              <w:t xml:space="preserve"> = 0.7413) to establish formal coverage bounds.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9b</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Describe out-of-distribution (OOD) detection architecture.</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2.8 (Penultimate Mahalanobis OOD Detector)</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Detailed in Section 2.8: penultimate 1024-dimensional feature representations, class-conditional Gaussian centroids, regularized pooled covariance matrix, and empirical distance threshold γ = 21.4 calibrated at the 95th percentile.</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10</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Specify hardware, software libraries, random seeds, and compute environment.</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2.10 (Hardware &amp; Software Reproducibility)</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Specified in Section 2.10 and Table S3: hardware environment (dual NVIDIA Tesla T4 GPUs), software packages (Python 3.10.12, PyTorch 2.5.1+cu121), determinism random seed 42, and model weight checkpoint SHA-256 hash.</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Results</w:t>
            </w: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11a</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Report demographic, clinical, and scanner characteristics across all datasets.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Table 1</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Summarized in Table 1: cohort sample sizes, TB prevalence, radiographic hardware modalities (DR vs CR), native matrix resolutions, and reference standards across all 8 centers. Individual age and sex were unrecorded in open-access archives.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11b</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Report the number of participants and events in development, validation, and test sets.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&amp; Table 1</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Documented in Section 2.2 and Table 1: 16,040 total chest radiographs across 8 centers. Development pool N = 12,599 (training n = 8,819 [TB: 1,061], validation n = 1,261 [TB: 152], calibration n = 1,261 [TB: 152], internal test n = 1,258 [TB: 148]); external multi-cohort benchmark N = 3,441 (Solan n = 155 [TB: 78], NITRD n = 278 [TB: 125], Pakistan n = 3,008 [TB: 2,494]).</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12a</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Present discrimination metrics (AUROC, sensitivity, specificity) with 95% confidence intervals.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3.1-3.4; Table 2, Table 3, Table S6</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Reported in Sections 3.1-3.4, Tables 2 and 3, and Table S6: AUROC, sensitivity, specificity, PPV, NPV, and balanced accuracy with 95% confidence intervals for internal test (AUROC 0.9943 [95% CI: 0.990-0.998]) and external cohorts (Solan AUROC 0.8613 [95% CI: 0.802-0.920], NITRD AUROC 0.8721 [95% CI: 0.828-0.916], Combined India AUROC 0.8682 [95% CI: 0.829-0.908], Pakistan AUROC 0.4982 [95% CI: 0.471-0.526]).</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12b</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Present calibration metrics and empirical conformal coverage.</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3.1 &amp; Section 3.3; Figure 4</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Presented in Section 3.1, Section 3.3, and Figure 4: empirical conformal coverage on internal test (96.50%) and external cohorts (Solan 79.35%, NITRD 77.70%, Combined India 78.29%, Pakistan 82.91%). Multi-center expected calibration error reported before (0.0412) and after (0.0128) temperature scaling.</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13</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Document safety interlock ablation and mitigation of false negatives.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3.6 &amp; Table 3</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Reported in Section 3.6 and Table 3: ablation analysis evaluating false-negative triage cases across configurations on Solan (n = 155, TB n = 78), comparing uncalibrated baseline (9 FN releases, 11.54%) to pre-analytic IQA (7 FN releases, 8.97%) and assistive triage with OOD rejection (0 FN releases, 0.00%).</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Discussion</w:t>
            </w: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14a</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Summarize key findings and place results in the context of existing literature.</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4.1 &amp; Section 4.2</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Discussed in Sections 4.1 and 4.2: external test performance in India (Solan AUROC 0.8613, NITRD AUROC 0.8721) is contextualized against published external evaluations of commercial CAD systems (e.g., Qin et al., Lancet Digital Health 2021; AUC 0.82-0.88) and WHO target product profile benchmarks.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14b</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Explain mechanistic physical causes of performance degradation across cohorts.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4.3 (Medical Physics Etiology)</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Analyzed in Section 4.3: physical and technical determinants of domain shift, including computed radiography photostimulable phosphor plate degradation, native detector resolution differences, and lossy JPEG 8x8 DCT compression blockiness (B &gt; 1.70).</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15</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Discuss clinical implementation pathways, limitations, and future research directions.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4.4, Section 4.5 &amp; Section 4.6</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Addressed in Sections 4.4, 4.5, and 4.6: clinical implementation pathway for assistive triage, necessity of local site recalibration, retrospective design limitations, and lack of pediatric cohorts.</w:t>
            </w:r>
          </w:p>
        </w:tc>
      </w:tr>
    </w:tbl>
    <w:p>
      <w:pPr>
        <w:spacing w:before="80" w:after="120"/>
      </w:pPr>
    </w:p>
    <w:p>
      <w:pPr>
        <w:pStyle w:val="Heading2"/>
        <w:spacing w:before="280" w:after="120"/>
      </w:pPr>
      <w:r>
        <w:rPr>
          <w:rFonts w:ascii="Calibri" w:hAnsi="Calibri"/>
          <w:b/>
          <w:color w:val="1B365D"/>
          <w:sz w:val="26"/>
        </w:rPr>
        <w:t>SECTION 2: CLAIM 2024 CHECKLIST FOR AI IN MEDICAL IMAGING</w:t>
      </w:r>
    </w:p>
    <w:p>
      <w:pPr>
        <w:spacing w:before="0" w:after="80" w:line="276" w:lineRule="auto"/>
      </w:pPr>
      <w:r>
        <w:rPr>
          <w:rFonts w:ascii="Calibri" w:hAnsi="Calibri"/>
          <w:color w:val="1E293B"/>
          <w:sz w:val="20"/>
        </w:rPr>
        <w:t>*Checklist for Artificial Intelligence in Medical Imaging (CLAIM 2024 Update, RSNA)*</w:t>
      </w:r>
    </w:p>
    <w:tbl>
      <w:tblPr>
        <w:tblW w:type="auto" w:w="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shd w:fill="F1F5F9"/>
            <w:tcMar>
              <w:top w:w="90" w:type="dxa"/>
              <w:bottom w:w="90" w:type="dxa"/>
              <w:left w:w="120" w:type="dxa"/>
              <w:right w:w="120" w:type="dxa"/>
            </w:tcMar>
          </w:tcPr>
          <w:p>
            <w:pPr>
              <w:spacing w:before="60" w:after="60"/>
              <w:jc w:val="center"/>
            </w:pPr>
            <w:r>
              <w:rPr>
                <w:rFonts w:ascii="Calibri" w:hAnsi="Calibri"/>
                <w:b/>
                <w:color w:val="1B365D"/>
                <w:sz w:val="18"/>
              </w:rPr>
              <w:t>Section</w:t>
            </w:r>
          </w:p>
        </w:tc>
        <w:tc>
          <w:tcPr>
            <w:tcW w:type="dxa" w:w="1872"/>
            <w:shd w:fill="F1F5F9"/>
            <w:tcMar>
              <w:top w:w="90" w:type="dxa"/>
              <w:bottom w:w="90" w:type="dxa"/>
              <w:left w:w="120" w:type="dxa"/>
              <w:right w:w="120" w:type="dxa"/>
            </w:tcMar>
          </w:tcPr>
          <w:p>
            <w:pPr>
              <w:spacing w:before="60" w:after="60"/>
              <w:jc w:val="center"/>
            </w:pPr>
            <w:r>
              <w:rPr>
                <w:rFonts w:ascii="Calibri" w:hAnsi="Calibri"/>
                <w:b/>
                <w:color w:val="1B365D"/>
                <w:sz w:val="18"/>
              </w:rPr>
              <w:t>Item</w:t>
            </w:r>
          </w:p>
        </w:tc>
        <w:tc>
          <w:tcPr>
            <w:tcW w:type="dxa" w:w="1872"/>
            <w:shd w:fill="F1F5F9"/>
            <w:tcMar>
              <w:top w:w="90" w:type="dxa"/>
              <w:bottom w:w="90" w:type="dxa"/>
              <w:left w:w="120" w:type="dxa"/>
              <w:right w:w="120" w:type="dxa"/>
            </w:tcMar>
          </w:tcPr>
          <w:p>
            <w:pPr>
              <w:spacing w:before="60" w:after="60"/>
              <w:jc w:val="center"/>
            </w:pPr>
            <w:r>
              <w:rPr>
                <w:rFonts w:ascii="Calibri" w:hAnsi="Calibri"/>
                <w:b/>
                <w:color w:val="1B365D"/>
                <w:sz w:val="18"/>
              </w:rPr>
              <w:t>Descriptor</w:t>
            </w:r>
          </w:p>
        </w:tc>
        <w:tc>
          <w:tcPr>
            <w:tcW w:type="dxa" w:w="1872"/>
            <w:shd w:fill="F1F5F9"/>
            <w:tcMar>
              <w:top w:w="90" w:type="dxa"/>
              <w:bottom w:w="90" w:type="dxa"/>
              <w:left w:w="120" w:type="dxa"/>
              <w:right w:w="120" w:type="dxa"/>
            </w:tcMar>
          </w:tcPr>
          <w:p>
            <w:pPr>
              <w:spacing w:before="60" w:after="60"/>
              <w:jc w:val="center"/>
            </w:pPr>
            <w:r>
              <w:rPr>
                <w:rFonts w:ascii="Calibri" w:hAnsi="Calibri"/>
                <w:b/>
                <w:color w:val="1B365D"/>
                <w:sz w:val="18"/>
              </w:rPr>
              <w:t>Manuscript Location</w:t>
            </w:r>
          </w:p>
        </w:tc>
        <w:tc>
          <w:tcPr>
            <w:tcW w:type="dxa" w:w="1872"/>
            <w:shd w:fill="F1F5F9"/>
            <w:tcMar>
              <w:top w:w="90" w:type="dxa"/>
              <w:bottom w:w="90" w:type="dxa"/>
              <w:left w:w="120" w:type="dxa"/>
              <w:right w:w="120" w:type="dxa"/>
            </w:tcMar>
          </w:tcPr>
          <w:p>
            <w:pPr>
              <w:spacing w:before="60" w:after="60"/>
              <w:jc w:val="center"/>
            </w:pPr>
            <w:r>
              <w:rPr>
                <w:rFonts w:ascii="Calibri" w:hAnsi="Calibri"/>
                <w:b/>
                <w:color w:val="1B365D"/>
                <w:sz w:val="18"/>
              </w:rPr>
              <w:t>Verified Compliance Detail</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Title / Abstract</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Identify the application as medical imaging AI.</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Title Page</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Title and abstract specify deep learning-based triage on chest radiographs for pulmonary tuberculosis.</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2</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Provide structured summary of AI methods, validation, and performance.</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Structured Abstract</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Structured abstract provided with Background, Methods, Findings, and Interpretation sections including sample sizes, AUROC, sensitivity, specificity, and 95% CIs.</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Introduction</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3</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Scientific background and clinical problem addressed.</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1 (Introduction), Paragraphs 1-2</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1 describes tuberculosis disease burden, shortages of thoracic radiologists in endemic regions, and limitations of uncalibrated point estimates in automated triage.</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4</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Study objectives, hypotheses, and intended clinical utility.</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1 (Introduction), Paragraph 4</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1 defines study objectives: developing a calibrated, uncertainty-aware triage model to prioritize diagnostic workup and reduce clinical workload while controlling false-negative risk.</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Methods</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5</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Prospective vs retrospective design and clinical setting.</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2.1 (Study Design)</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2.1 describes retrospective multi-center study design using imaging data from 8 healthcare centers across 5 countries (China, USA, Belarus, India, and Pakistan).</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6</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Eligibility criteria and participant inclusion/exclusion flowchart.</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2.3 (Pre-Analytic IQA Guardrails) &amp; Figure 1</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2.3 and Figure 1 document patient and image inclusion, quality filtering, and cohort allocation in a flow diagram.</w:t>
            </w:r>
          </w:p>
        </w:tc>
      </w:tr>
      <w:tr>
        <w:trPr>
          <w:cantSplit/>
        </w:trPr>
        <w:tc>
          <w:tcPr>
            <w:tcW w:type="dxa" w:w="1872"/>
            <w:tcMar>
              <w:top w:w="80" w:type="dxa"/>
              <w:bottom w:w="80" w:type="dxa"/>
              <w:left w:w="120" w:type="dxa"/>
              <w:right w:w="120" w:type="dxa"/>
            </w:tcMar>
          </w:tcPr>
          <w:p>
            <w:pPr>
              <w:spacing w:before="40" w:after="40"/>
              <w:jc w:val="left"/>
            </w:pP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7</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Definition of reference standard (ground truth).</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2.2 &amp; Table 1</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2.2 and Table 1 define reference standards: microbiological confirmation (sputum culture, smear microscopy, GeneXpert MTB/RIF) or expert thoracic radiologist consensus.</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8</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Image acquisition details (scanner make, detector type, bit depth).</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 &amp; Table 1</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2.2 and Table 1 describe scanner manufacturers, detector modalities (digital and computed radiography), and native matrix dimensions (1024 to 3000 pixels).</w:t>
            </w:r>
          </w:p>
        </w:tc>
      </w:tr>
      <w:tr>
        <w:trPr>
          <w:cantSplit/>
        </w:trPr>
        <w:tc>
          <w:tcPr>
            <w:tcW w:type="dxa" w:w="1872"/>
            <w:tcMar>
              <w:top w:w="80" w:type="dxa"/>
              <w:bottom w:w="80" w:type="dxa"/>
              <w:left w:w="120" w:type="dxa"/>
              <w:right w:w="120" w:type="dxa"/>
            </w:tcMar>
          </w:tcPr>
          <w:p>
            <w:pPr>
              <w:spacing w:before="40" w:after="40"/>
              <w:jc w:val="left"/>
            </w:pP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9</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De-identification and patient privacy protocols.</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2.1 &amp; Section 5 (Ethics Declarations)</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Sections 2.1 and 5 describe de-identification of imaging files and removal of protected health information in accordance with HIPAA Safe Harbor standards.</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Data preprocessing, resizing, and normalization procedures.</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2.3 (Preprocessing Pipeline)</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2.3 details preprocessing: grayscale polarity verification, central-thorax percentile normalization (</w:t>
            </w:r>
            <w:r>
              <w:rPr>
                <w:rFonts w:ascii="Calibri" w:hAnsi="Calibri"/>
                <w:color w:val="1E293B"/>
                <w:sz w:val="17"/>
              </w:rPr>
              <w:t>P</w:t>
            </w:r>
            <w:r>
              <w:rPr>
                <w:rFonts w:ascii="Calibri" w:hAnsi="Calibri"/>
                <w:color w:val="1E293B"/>
                <w:sz w:val="17"/>
                <w:vertAlign w:val="subscript"/>
              </w:rPr>
              <w:t>1</w:t>
            </w:r>
            <w:r>
              <w:rPr>
                <w:rFonts w:ascii="Calibri" w:hAnsi="Calibri"/>
                <w:color w:val="1E293B"/>
                <w:sz w:val="17"/>
              </w:rPr>
              <w:t xml:space="preserve"> to </w:t>
            </w:r>
            <w:r>
              <w:rPr>
                <w:rFonts w:ascii="Calibri" w:hAnsi="Calibri"/>
                <w:color w:val="1E293B"/>
                <w:sz w:val="17"/>
              </w:rPr>
              <w:t>P</w:t>
            </w:r>
            <w:r>
              <w:rPr>
                <w:rFonts w:ascii="Calibri" w:hAnsi="Calibri"/>
                <w:color w:val="1E293B"/>
                <w:sz w:val="17"/>
                <w:vertAlign w:val="subscript"/>
              </w:rPr>
              <w:t>99</w:t>
            </w:r>
            <w:r>
              <w:rPr>
                <w:rFonts w:ascii="Calibri" w:hAnsi="Calibri"/>
                <w:color w:val="1E293B"/>
                <w:sz w:val="17"/>
              </w:rPr>
              <w:t>), and bicubic interpolation to 512x512 resolution.</w:t>
            </w:r>
          </w:p>
        </w:tc>
      </w:tr>
      <w:tr>
        <w:trPr>
          <w:cantSplit/>
        </w:trPr>
        <w:tc>
          <w:tcPr>
            <w:tcW w:type="dxa" w:w="1872"/>
            <w:tcMar>
              <w:top w:w="80" w:type="dxa"/>
              <w:bottom w:w="80" w:type="dxa"/>
              <w:left w:w="120" w:type="dxa"/>
              <w:right w:w="120" w:type="dxa"/>
            </w:tcMar>
          </w:tcPr>
          <w:p>
            <w:pPr>
              <w:spacing w:before="40" w:after="40"/>
              <w:jc w:val="left"/>
            </w:pP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11</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Data partitioning strategy (patient-level independence, leakage checks).</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 &amp; Table S5</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2.2 and Table S5 describe patient-level 70/10/10/10 stratified split and pairwise perceptual hash distance analysis across 288,420 comparisons to verify absence of data leakage.</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12</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Model architecture, parameter count, and initialization weights.</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2.4 (Deep Neural Network Architecture)</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2.4 reports architecture specifications: DenseNet-121 with ImageNet initialization, 6,955,906 trainable parameters (7,039,675 total parameters), and 1024-dimensional penultimate feature representation.</w:t>
            </w:r>
          </w:p>
        </w:tc>
      </w:tr>
      <w:tr>
        <w:trPr>
          <w:cantSplit/>
        </w:trPr>
        <w:tc>
          <w:tcPr>
            <w:tcW w:type="dxa" w:w="1872"/>
            <w:tcMar>
              <w:top w:w="80" w:type="dxa"/>
              <w:bottom w:w="80" w:type="dxa"/>
              <w:left w:w="120" w:type="dxa"/>
              <w:right w:w="120" w:type="dxa"/>
            </w:tcMar>
          </w:tcPr>
          <w:p>
            <w:pPr>
              <w:spacing w:before="40" w:after="40"/>
              <w:jc w:val="left"/>
            </w:pP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13</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Training algorithm, loss function, optimizer, and hyperparameter tuning.</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2.4 (Batch Sampling)</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2.4 describes training parameters: cross-entropy loss, Adam optimizer (initial learning rate 1e-4 with cosine decay), and 8-cell domain-balanced mini-batch sampling.</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14</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Model calibration and uncertainty quantification formulation.</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2.5 &amp; Section 2.6</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Sections 2.5 and 2.6 specify post-hoc temperature scaling (T = 0.8349) and class-conditional Mondrian split conformal prediction at significance level α = 0.05.</w:t>
            </w:r>
          </w:p>
        </w:tc>
      </w:tr>
      <w:tr>
        <w:trPr>
          <w:cantSplit/>
        </w:trPr>
        <w:tc>
          <w:tcPr>
            <w:tcW w:type="dxa" w:w="1872"/>
            <w:tcMar>
              <w:top w:w="80" w:type="dxa"/>
              <w:bottom w:w="80" w:type="dxa"/>
              <w:left w:w="120" w:type="dxa"/>
              <w:right w:w="120" w:type="dxa"/>
            </w:tcMar>
          </w:tcPr>
          <w:p>
            <w:pPr>
              <w:spacing w:before="40" w:after="40"/>
              <w:jc w:val="left"/>
            </w:pP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15</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Out-of-distribution (OOD) detection formulation.</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2.8 (Penultimate Mahalanobis OOD Detector)</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2.8 describes class-conditional Mahalanobis distance calculation on penultimate feature vectors with threshold γ = 21.4.</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16</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Explainable AI (XAI) methodology and quantitative localization evaluation.</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2.9 (HiResCAM Localization Metrics)</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2.9 outlines HiResCAM saliency mapping and quantitative evaluation against radiologist annotations using Pointing Game Hit Rate (88.00%) and Energy-in-BBox (28.12%).</w:t>
            </w:r>
          </w:p>
        </w:tc>
      </w:tr>
      <w:tr>
        <w:trPr>
          <w:cantSplit/>
        </w:trPr>
        <w:tc>
          <w:tcPr>
            <w:tcW w:type="dxa" w:w="1872"/>
            <w:tcMar>
              <w:top w:w="80" w:type="dxa"/>
              <w:bottom w:w="80" w:type="dxa"/>
              <w:left w:w="120" w:type="dxa"/>
              <w:right w:w="120" w:type="dxa"/>
            </w:tcMar>
          </w:tcPr>
          <w:p>
            <w:pPr>
              <w:spacing w:before="40" w:after="40"/>
              <w:jc w:val="left"/>
            </w:pP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17</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Code, data, and hardware reproducibility specifications.</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2.10 (Hardware Reproducibility) &amp; Section 5</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2.10, Table S3, and Section 5 document hardware specifications (dual Tesla T4 GPUs), software dependencies (PyTorch 2.5.1), random seed 42, and model checkpoint SHA-256 hash.</w:t>
            </w:r>
          </w:p>
        </w:tc>
      </w:tr>
      <w:tr>
        <w:trPr>
          <w:cantSplit/>
        </w:trPr>
        <w:tc>
          <w:tcPr>
            <w:tcW w:type="dxa" w:w="1872"/>
            <w:shd w:fill="F8FAFC"/>
            <w:tcMar>
              <w:top w:w="80" w:type="dxa"/>
              <w:bottom w:w="80" w:type="dxa"/>
              <w:left w:w="120" w:type="dxa"/>
              <w:right w:w="120" w:type="dxa"/>
            </w:tcMar>
          </w:tcPr>
          <w:p>
            <w:pPr>
              <w:spacing w:before="40" w:after="40"/>
              <w:jc w:val="left"/>
            </w:pPr>
            <w:r>
              <w:rPr>
                <w:rFonts w:ascii="Calibri" w:hAnsi="Calibri"/>
                <w:b/>
                <w:color w:val="1E293B"/>
                <w:sz w:val="17"/>
              </w:rPr>
              <w:t>Results</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18</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Participant and examination flow, subgroup counts, and demographics.</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Table 1</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Table 1 documents participant counts, disease prevalence, and cohort distributions across development (N = 12,599) and external validation (N = 3,441) cohorts (total 16,040 radiographs).</w:t>
            </w:r>
          </w:p>
        </w:tc>
      </w:tr>
      <w:tr>
        <w:trPr>
          <w:cantSplit/>
        </w:trPr>
        <w:tc>
          <w:tcPr>
            <w:tcW w:type="dxa" w:w="1872"/>
            <w:tcMar>
              <w:top w:w="80" w:type="dxa"/>
              <w:bottom w:w="80" w:type="dxa"/>
              <w:left w:w="120" w:type="dxa"/>
              <w:right w:w="120" w:type="dxa"/>
            </w:tcMar>
          </w:tcPr>
          <w:p>
            <w:pPr>
              <w:spacing w:before="40" w:after="40"/>
              <w:jc w:val="left"/>
            </w:pP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19</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Diagnostic discrimination performance across all cohorts with 95% CIs.</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3.1-3.4; Table 2, Table 3, Table S6</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Sections 3.1-3.4, Tables 2 and 3, and Table S6 report AUROC, sensitivity, specificity, and 95% CIs for internal test (AUROC 0.9943 [0.990-0.998]) and external cohorts (Solan 0.8613 [0.802-0.920], NITRD 0.8721 [0.828-0.916], Combined India 0.8682 [0.829-0.908], Pakistan 0.4982 [0.471-0.526]).</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20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Calibration metrics, Expected Calibration Error, and conformal coverage.</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3.1 &amp; Section 3.3; Figure 4</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3.1, Section 3.3, and Figure 4 report expected calibration error (reduced from 0.0412 to 0.0128) and empirical conformal coverage rates (internal test 96.50% vs Solan 79.35%, NITRD 77.70%, and Combined India 78.29%).</w:t>
            </w:r>
          </w:p>
        </w:tc>
      </w:tr>
      <w:tr>
        <w:trPr>
          <w:cantSplit/>
        </w:trPr>
        <w:tc>
          <w:tcPr>
            <w:tcW w:type="dxa" w:w="1872"/>
            <w:tcMar>
              <w:top w:w="80" w:type="dxa"/>
              <w:bottom w:w="80" w:type="dxa"/>
              <w:left w:w="120" w:type="dxa"/>
              <w:right w:w="120" w:type="dxa"/>
            </w:tcMar>
          </w:tcPr>
          <w:p>
            <w:pPr>
              <w:spacing w:before="40" w:after="40"/>
              <w:jc w:val="left"/>
            </w:pP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21</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Contingency tables (TP, FP, TN, FN) at operational triage thresholds.</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Supplementary Appendix Section 3 (Tables S1-S2D)</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Supplementary Appendix Tables S1, S2, S2B, S2C, and S2D provide full 2x2 diagnostic contingency tables across all evaluated cohorts.</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22</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Failure mode analysis and ablation of clinical safety mechanisms.</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3.6 &amp; Table 3</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3.6 and Table 3 report ablation analysis of false-negative cases across pre-analytic IQA (reducing FN releases from 9 to 7 on Solan) and assistive triage with OOD rejection (0 FN releases).</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Discussion</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23</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Interpretation of findings in relation to clinical practice and prior art.</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4.1 &amp; Section 4.6</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Sections 4.1 and 4.6 compare observed performance against WHO CAD target product profiles and independent validation literature.</w:t>
            </w:r>
          </w:p>
        </w:tc>
      </w:tr>
      <w:tr>
        <w:trPr>
          <w:cantSplit/>
        </w:trPr>
        <w:tc>
          <w:tcPr>
            <w:tcW w:type="dxa" w:w="1872"/>
            <w:shd w:fill="F8FAFC"/>
            <w:tcMar>
              <w:top w:w="80" w:type="dxa"/>
              <w:bottom w:w="80" w:type="dxa"/>
              <w:left w:w="120" w:type="dxa"/>
              <w:right w:w="120" w:type="dxa"/>
            </w:tcMar>
          </w:tcPr>
          <w:p>
            <w:pPr>
              <w:spacing w:before="40" w:after="40"/>
              <w:jc w:val="left"/>
            </w:pP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24</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Examination of algorithmic vulnerabilities and medical physics root causes.</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4.3 (Medical Physics Etiology)</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Section 4.3 discusses technical determinants of domain shift, including lossy compression blockiness and computed radiography noise profiles.</w:t>
            </w:r>
          </w:p>
        </w:tc>
      </w:tr>
      <w:tr>
        <w:trPr>
          <w:cantSplit/>
        </w:trPr>
        <w:tc>
          <w:tcPr>
            <w:tcW w:type="dxa" w:w="1872"/>
            <w:tcMar>
              <w:top w:w="80" w:type="dxa"/>
              <w:bottom w:w="80" w:type="dxa"/>
              <w:left w:w="120" w:type="dxa"/>
              <w:right w:w="120" w:type="dxa"/>
            </w:tcMar>
          </w:tcPr>
          <w:p>
            <w:pPr>
              <w:spacing w:before="40" w:after="40"/>
              <w:jc w:val="left"/>
            </w:pP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25</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Study limitations, scope of applicability, and clinical deployment barriers.</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4.5 (Limitations 1-6)</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Section 4.5 outlines study limitations, including retrospective data sources, lack of pediatric evaluation, and the requirement for prospective clinical calibration.</w:t>
            </w:r>
          </w:p>
        </w:tc>
      </w:tr>
    </w:tbl>
    <w:p>
      <w:pPr>
        <w:spacing w:before="80" w:after="120"/>
      </w:pPr>
    </w:p>
    <w:p>
      <w:pPr>
        <w:pStyle w:val="Heading2"/>
        <w:spacing w:before="280" w:after="120"/>
      </w:pPr>
      <w:r>
        <w:rPr>
          <w:rFonts w:ascii="Calibri" w:hAnsi="Calibri"/>
          <w:b/>
          <w:color w:val="1B365D"/>
          <w:sz w:val="26"/>
        </w:rPr>
        <w:t>SECTION 3: STARD-AI 2020 GUIDELINES &amp; 2x2 CONTINGENCY TABLES</w:t>
      </w:r>
    </w:p>
    <w:p>
      <w:pPr>
        <w:pStyle w:val="Heading3"/>
        <w:spacing w:before="200" w:after="80"/>
      </w:pPr>
      <w:r>
        <w:rPr>
          <w:rFonts w:ascii="Calibri" w:hAnsi="Calibri"/>
          <w:b/>
          <w:color w:val="1B365D"/>
          <w:sz w:val="22"/>
        </w:rPr>
        <w:t>STARD-AI 2020 Itemized Reporting Checklist Table</w:t>
      </w:r>
    </w:p>
    <w:p>
      <w:pPr>
        <w:spacing w:before="0" w:after="80" w:line="276" w:lineRule="auto"/>
      </w:pPr>
      <w:r>
        <w:rPr>
          <w:rFonts w:ascii="Calibri" w:hAnsi="Calibri"/>
          <w:color w:val="1E293B"/>
          <w:sz w:val="20"/>
        </w:rPr>
        <w:t>*Standards for Reporting of Diagnostic Accuracy Studies - Artificial Intelligence (STARD-AI 2020 Statement / EQUATOR Network)*</w:t>
      </w:r>
    </w:p>
    <w:tbl>
      <w:tblPr>
        <w:tblW w:type="auto" w:w="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Item No.</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STARD-AI 2020 Checklist Item</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Manuscript Section &amp; Location</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Detailed Compliance Narrative &amp; Direct Evidence</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Title / Abstract</w:t>
            </w: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Identify the study as evaluating diagnostic accuracy, specifying that AI / machine learning was used.</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Title Page</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Title page identifies the study as evaluating deep learning-based diagnostic triage for pulmonary tuberculosis using multi-cohort development and external validation ("*Eliminating False-Negative Discharges in Tuberculosis Screening: Multi-Cohort Development and Independent External Stress-Testing of an Auditable Conformal AI Safety Architecture*").</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2</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Provide a structured summary of study design, methods, results, and conclusions.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Structured Abstract</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Structured abstract (294 words) summarizes objectives, study design, participant numbers (12,599 dev, 3,441 external across 3 cohorts), diagnostic performance metrics (AUROC 0.9943 vs Solan 0.8613, NITRD 0.8721, Combined India 0.8682, Pakistan 0.4982) with 95% CIs, and clinical conclusions.</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b/>
                <w:color w:val="1E293B"/>
                <w:sz w:val="17"/>
              </w:rPr>
              <w:t>Introduction</w:t>
            </w:r>
          </w:p>
        </w:tc>
        <w:tc>
          <w:tcPr>
            <w:tcW w:type="dxa" w:w="2340"/>
            <w:shd w:fill="F8FAFC"/>
            <w:tcMar>
              <w:top w:w="80" w:type="dxa"/>
              <w:bottom w:w="80" w:type="dxa"/>
              <w:left w:w="120" w:type="dxa"/>
              <w:right w:w="120" w:type="dxa"/>
            </w:tcMar>
          </w:tcPr>
          <w:p>
            <w:pPr>
              <w:spacing w:before="40" w:after="40"/>
              <w:jc w:val="center"/>
            </w:pPr>
          </w:p>
        </w:tc>
        <w:tc>
          <w:tcPr>
            <w:tcW w:type="dxa" w:w="2340"/>
            <w:shd w:fill="F8FAFC"/>
            <w:tcMar>
              <w:top w:w="80" w:type="dxa"/>
              <w:bottom w:w="80" w:type="dxa"/>
              <w:left w:w="120" w:type="dxa"/>
              <w:right w:w="120" w:type="dxa"/>
            </w:tcMar>
          </w:tcPr>
          <w:p>
            <w:pPr>
              <w:spacing w:before="40" w:after="40"/>
              <w:jc w:val="center"/>
            </w:pPr>
          </w:p>
        </w:tc>
        <w:tc>
          <w:tcPr>
            <w:tcW w:type="dxa" w:w="2340"/>
            <w:shd w:fill="F8FAFC"/>
            <w:tcMar>
              <w:top w:w="80" w:type="dxa"/>
              <w:bottom w:w="80" w:type="dxa"/>
              <w:left w:w="120" w:type="dxa"/>
              <w:right w:w="120" w:type="dxa"/>
            </w:tcMar>
          </w:tcPr>
          <w:p>
            <w:pPr>
              <w:spacing w:before="40" w:after="40"/>
              <w:jc w:val="center"/>
            </w:pP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3</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Describe medical background, clinical rationale, target population, clinical setting, and intended clinical role of AI (add-on, replacement, triage).</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1 (Introduction), Paragraphs 1-2 &amp; Section 2.7</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1 describes global tuberculosis incidence (10.6 million incident cases, 1.3 million deaths), clinical radiologist shortages, and defines the role of the system as an assistive triage tool to guide confirmatory molecular testing.</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4</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State study objectives and pre-specified hypotheses.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1 (Introduction), Paragraph 4</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1 states study objectives: assessing whether combining probability calibration, conformal prediction, and out-of-distribution detection maintains target coverage and minimizes false-negative discharge errors under external distribution shift.</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Methods</w:t>
            </w: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5</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Specify prospective vs retrospective design and multi-center data collection strategy.</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2.1 (Study Design)</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2.1 specifies retrospective observational multi-center design incorporating 8 clinical cohorts across 5 countries (China, USA, Belarus, India, and Pakistan).</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6</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Describe clinical settings, referral pathways, and institutional locations of data acquisition.</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 &amp; Table 1</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and Table 1 document clinical settings, including tertiary referral hospitals, municipal tuberculosis clinics, national registries, and a district-level hospital.</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7</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Detail inclusion and exclusion criteria for patients and radiographic examinations.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 &amp; Section 2.3 (Pre-Analytic IQA Guardrails)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Sections 2.2 and 2.3 define inclusion criteria (posteroanterior and anteroposterior chest radiographs of adolescent and adult patients) and exclusion criteria (non-thoracic images, corrupt files, severe artifact).</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8</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Describe sampling method and identification of consecutive, random, or convenience cohorts.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describes sampling from public biomedical imaging repositories for development and independent clinical hold-out cohorts for external evaluation.</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9</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Report recruitment period and radiographic acquisition date ranges.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&amp; Table 1</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and Table 1 report collection timeframes: 2008-2020 for development datasets; 2012-2014 for Solan; 2018-2020 for NITRD; and 2022-2023 for Pakistan.</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10a</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Detail index AI test architecture, version, input parameters, and preprocessing pipeline.</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2.3 (Preprocessing Pipeline) &amp; Section 2.4 (Deep Neural Network Architecture)</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Sections 2.3 and 2.4 detail the model pipeline: DenseNet-121 backbone (7.04M total parameters), 512x512 bicubic interpolation, percentile intensity normalization, and 1024-dimensional penultimate feature layer.</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10b</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Specify data partitioning protocols (training, validation, test) and data leakage safeguards.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Table 1 &amp; Section 3.7</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and Table S5 specify patient-level 70/10/10/10 partitioning (train = 8,819, validation = 1,261, calibration = 1,261, test = 1,258) and pairwise hash distance audit across 288,420 comparisons.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11</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State rationale for chosen index test threshold / operating point and whether pre-specified.</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2.5 &amp; Section 2.7</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 xml:space="preserve">Sections 2.5 and 2.7 report pre-specified decision threshold </w:t>
            </w:r>
            <w:r>
              <w:rPr>
                <w:rFonts w:ascii="Calibri" w:hAnsi="Calibri"/>
                <w:color w:val="1E293B"/>
                <w:sz w:val="17"/>
              </w:rPr>
              <w:t>τ</w:t>
            </w:r>
            <w:r>
              <w:rPr>
                <w:rFonts w:ascii="Calibri" w:hAnsi="Calibri"/>
                <w:color w:val="1E293B"/>
                <w:sz w:val="17"/>
                <w:vertAlign w:val="subscript"/>
              </w:rPr>
              <w:t>WHO</w:t>
            </w:r>
            <w:r>
              <w:rPr>
                <w:rFonts w:ascii="Calibri" w:hAnsi="Calibri"/>
                <w:color w:val="1E293B"/>
                <w:sz w:val="17"/>
              </w:rPr>
              <w:t xml:space="preserve"> = 0.4401 established on the calibration set (n = 1,261) to satisfy WHO CAD target product profile screening sensitivity criteria (≥ 95%).</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12</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Clearly define reference standard criteria for target condition (pulmonary TB).</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&amp; Table 1</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and Table 1 define reference standards: microbiological assays (culture, smear, GeneXpert MTB/RIF) or thoracic radiologist panel consensus.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13a</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Explain rationale for reference standard selection.</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details rationale: microbiological testing represents the definitive reference standard, supplemented by expert consensus for sputum-scarce clinical presentations.</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13b</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Describe operational execution, credentials, and consensus procedures of reference interpreters.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describes reader qualifications and consensus procedures: board-certified radiologists with subspecialist arbitration for discordant interpretations.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14</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State whether index test readers were blinded to reference standard and vice versa.</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2.1 &amp; Section 3.3 (Label-Blinded Protocol)</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Sections 2.1 and 3.3 state that external cohort evaluations were performed with ground truth labels masked until predictions were generated and stored.</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15</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Report time interval and clinical interventions between index test and reference standard.</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2.2 notes that radiographic imaging and microbiological specimens were obtained during initial diagnostic evaluation prior to treatment initiation.</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16</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Describe statistical methods for estimating diagnostic accuracy metrics and uncertainty intervals.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2.10 (Statistical Analysis)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2.10 describes statistical methods: DeLong 95% CIs for AUROC, Wilson score intervals for diagnostic proportions, and 10-bin expected calibration error.</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17</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Explain how indeterminate or ambiguous index test results were defined and managed.</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2.6 &amp; Section 2.7 (Conformal UQ &amp; Triage Policy)</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Sections 2.6 and 2.7 define indeterminate outputs based on conformal prediction set size: non-singleton sets ({Normal, TB} or empty sets) are routed for expedited clinical review.</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18</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Describe handling of missing data, corrupted scans, and quality exclusions.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2.3 (Pre-Analytic IQA Guardrails) &amp; Figure 1</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2.3 and Figure 1 report exclusions: 28 unindexed scans omitted from NITRD Dataset B, with pre-analytic image quality filtering applied to detect severely degraded scans.</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19</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Outline planned evaluations of performance variability across patient subgroups, centers, and modalities.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2.10 &amp; Section 3.3</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Sections 2.10 and 3.3 report stratified evaluation across 3 external cohorts representing distinct detector technologies (CR vs DR) and image compression levels.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20</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Justify sample size and multi-center dataset assembly.</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describes sample size justification: 16,040 radiographs across 8 international centers to ensure adequate precision for sensitivity and specificity estimates across diverse settings.</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b/>
                <w:color w:val="1E293B"/>
                <w:sz w:val="17"/>
              </w:rPr>
              <w:t>Results</w:t>
            </w:r>
          </w:p>
        </w:tc>
        <w:tc>
          <w:tcPr>
            <w:tcW w:type="dxa" w:w="2340"/>
            <w:shd w:fill="F8FAFC"/>
            <w:tcMar>
              <w:top w:w="80" w:type="dxa"/>
              <w:bottom w:w="80" w:type="dxa"/>
              <w:left w:w="120" w:type="dxa"/>
              <w:right w:w="120" w:type="dxa"/>
            </w:tcMar>
          </w:tcPr>
          <w:p>
            <w:pPr>
              <w:spacing w:before="40" w:after="40"/>
              <w:jc w:val="center"/>
            </w:pPr>
          </w:p>
        </w:tc>
        <w:tc>
          <w:tcPr>
            <w:tcW w:type="dxa" w:w="2340"/>
            <w:shd w:fill="F8FAFC"/>
            <w:tcMar>
              <w:top w:w="80" w:type="dxa"/>
              <w:bottom w:w="80" w:type="dxa"/>
              <w:left w:w="120" w:type="dxa"/>
              <w:right w:w="120" w:type="dxa"/>
            </w:tcMar>
          </w:tcPr>
          <w:p>
            <w:pPr>
              <w:spacing w:before="40" w:after="40"/>
              <w:jc w:val="center"/>
            </w:pPr>
          </w:p>
        </w:tc>
        <w:tc>
          <w:tcPr>
            <w:tcW w:type="dxa" w:w="2340"/>
            <w:shd w:fill="F8FAFC"/>
            <w:tcMar>
              <w:top w:w="80" w:type="dxa"/>
              <w:bottom w:w="80" w:type="dxa"/>
              <w:left w:w="120" w:type="dxa"/>
              <w:right w:w="120" w:type="dxa"/>
            </w:tcMar>
          </w:tcPr>
          <w:p>
            <w:pPr>
              <w:spacing w:before="40" w:after="40"/>
              <w:jc w:val="center"/>
            </w:pP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21</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Provide a flowchart detailing participant and examination progression through inclusion, partitioning, and testing.</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Figure 1 &amp; Figure 1 Legend</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Figure 1 depicts the participant and examination flow diagram detailing cohort assembly, exclusions, development splits, and external test cohorts.</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22</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Report baseline demographic, clinical, and scanner characteristics for each cohort.</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Table 1</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Table 1 summarizes cohort characteristics, disease prevalence, imaging equipment types, and native image dimensions across all centers.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23</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Report time interval between index test and reference standard.</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(Multi-Cohort Imaging Repositories)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2.2 confirms index tests and reference standard specimens were obtained during the baseline diagnostic episode prior to treatment.</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24</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Provide full cross-tabulation of index test results by reference standard (2x2 contingency tables).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Supplementary Appendix Section 3 (Tables S1-S2D)</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Supplementary Appendix Tables S1, S2, S2B, S2C, and S2D provide full 2x2 contingency tables for internal and external test cohorts.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25</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Present diagnostic accuracy estimates (sensitivity, specificity, AUROC, PPV, NPV) with confidence intervals.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3.1-3.4; Table 2, Table 3, Table S6</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Sections 3.1-3.4 and Tables 2-3 present diagnostic accuracy estimates (AUROC, sensitivity, specificity, predictive values) with 95% confidence intervals (internal test AUROC 0.9943 [95% CI: 0.990-0.998], Solan AUROC 0.8613, NITRD AUROC 0.8721, Combined India AUROC 0.8682, Pakistan AUROC 0.4982).</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26</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Report frequency, distribution, and handling of indeterminate index test results.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3.1 &amp; Section 3.3; Figure 4</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3.1, Section 3.3, and Figure 4 report frequencies of indeterminate conformal prediction sets, including multi-class sets and empty sets, across development and external cohorts.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27</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Report diagnostic accuracy variability across subgroups, centers, and hardware modalities.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3.3 &amp; Section 3.4; Table S6</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Sections 3.3-3.4 and Table S6 report diagnostic accuracy variations across centers and modalities: sensitivity was 97.97% on internal test, 70.51% on Solan CR, 78.40% on NITRD DR, and 100.00% (with 0.00% specificity) on Pakistan JPEG images.</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28</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Report adverse events, test-related harms, or risks stemming from diagnostic errors.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3.6; Table 3 &amp; Table S6</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3.6 and Table 3 analyze diagnostic misclassifications and triage errors: uncalibrated baseline yielded 9 false-negative discharges (11.54% of TB cases on Solan), which was reduced to 7 with IQA and 0 under assistive triage with OOD rejection.</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Discussion</w:t>
            </w: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29</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Discuss principal findings in relation to existing literature and clinical practice.</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4.1 &amp; Section 4.2</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Sections 4.1 and 4.2 contextualize external performance against WHO CAD target product profiles and independent CAD evaluation studies (e.g., Qin et al., Lancet Digital Health 2021).</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30</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Discuss study limitations, biases, and generalizability constraints.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4.5 (Limitations 1-6)</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4.5 discusses limitations: retrospective study design, absence of pediatric cohorts, unrecorded individual patient demographics in public archives, and requirement for localized threshold calibration.</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31</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Outline clinical implications, triage implementation pathways, and deployment safety.</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4.4 &amp; Section 4.6</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Sections 4.4 and 4.6 outline clinical integration: assistive triage workflow with clinician overread for indeterminate cases, transitioning to prospective local calibration prior to autonomous implementation.</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Other Information</w:t>
            </w: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c>
          <w:tcPr>
            <w:tcW w:type="dxa" w:w="2340"/>
            <w:tcMar>
              <w:top w:w="80" w:type="dxa"/>
              <w:bottom w:w="80" w:type="dxa"/>
              <w:left w:w="120" w:type="dxa"/>
              <w:right w:w="120" w:type="dxa"/>
            </w:tcMar>
          </w:tcPr>
          <w:p>
            <w:pPr>
              <w:spacing w:before="40" w:after="40"/>
              <w:jc w:val="center"/>
            </w:pP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32</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State registration details, protocol accessibility, and ethical oversight.</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2.1 &amp; Section 5 (Ethics Declarations)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2.1 and Section 5 state ethical oversight and compliance with CIOMS 2016 guidelines and the Declaration of Helsinki for secondary analysis of de-identified imaging archives.</w:t>
            </w:r>
          </w:p>
        </w:tc>
      </w:tr>
      <w:tr>
        <w:trPr>
          <w:cantSplit/>
        </w:trPr>
        <w:tc>
          <w:tcPr>
            <w:tcW w:type="dxa" w:w="2340"/>
            <w:tcMar>
              <w:top w:w="80" w:type="dxa"/>
              <w:bottom w:w="80" w:type="dxa"/>
              <w:left w:w="120" w:type="dxa"/>
              <w:right w:w="120" w:type="dxa"/>
            </w:tcMar>
          </w:tcPr>
          <w:p>
            <w:pPr>
              <w:spacing w:before="40" w:after="40"/>
              <w:jc w:val="left"/>
            </w:pPr>
            <w:r>
              <w:rPr>
                <w:rFonts w:ascii="Calibri" w:hAnsi="Calibri"/>
                <w:color w:val="1E293B"/>
                <w:sz w:val="17"/>
              </w:rPr>
              <w:t>33</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Specify availability of imaging datasets, computational code, and model checkpoints.</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5 (Data &amp; Code Availability)</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Section 5 provides data and code availability details: public GitHub repository, Kaggle Datasets permanent archive, Kaggle Model Hub, and model checkpoint SHA-256 checksum (</w:t>
            </w:r>
            <w:r>
              <w:rPr>
                <w:rFonts w:ascii="Courier New" w:hAnsi="Courier New"/>
                <w:color w:val="1E293B"/>
                <w:sz w:val="16"/>
              </w:rPr>
              <w:t>d461fe07975e5d60...</w:t>
            </w:r>
            <w:r>
              <w:rPr>
                <w:rFonts w:ascii="Calibri" w:hAnsi="Calibri"/>
                <w:color w:val="1E293B"/>
                <w:sz w:val="17"/>
              </w:rPr>
              <w:t>).</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color w:val="1E293B"/>
                <w:sz w:val="17"/>
              </w:rPr>
              <w:t>34</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Disclose sources of funding, role of funders, and conflicts of interest.</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5 (Funding &amp; Competing Interests)</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Section 5 includes ICMJE-compliant competing interests disclosures and funding statements; authors declare no commercial conflicts of interest.</w:t>
            </w:r>
          </w:p>
        </w:tc>
      </w:tr>
    </w:tbl>
    <w:p>
      <w:pPr>
        <w:spacing w:before="80" w:after="120"/>
      </w:pPr>
    </w:p>
    <w:p>
      <w:pPr>
        <w:pStyle w:val="Heading3"/>
        <w:spacing w:before="200" w:after="80"/>
      </w:pPr>
      <w:r>
        <w:rPr>
          <w:rFonts w:ascii="Calibri" w:hAnsi="Calibri"/>
          <w:b/>
          <w:color w:val="1B365D"/>
          <w:sz w:val="22"/>
        </w:rPr>
        <w:t>Table S1: 2x2 Diagnostic Contingency Table on 5-Center Internal Test Cohort (n = 1,258)</w:t>
      </w:r>
    </w:p>
    <w:p>
      <w:pPr>
        <w:spacing w:before="0" w:after="80" w:line="276" w:lineRule="auto"/>
      </w:pPr>
      <w:r>
        <w:rPr>
          <w:rFonts w:ascii="Calibri" w:hAnsi="Calibri"/>
          <w:color w:val="1E293B"/>
          <w:sz w:val="20"/>
        </w:rPr>
        <w:t>*Operational Decision Threshold ta</w:t>
      </w:r>
      <w:r>
        <w:rPr>
          <w:rFonts w:ascii="Calibri" w:hAnsi="Calibri"/>
          <w:color w:val="1E293B"/>
          <w:sz w:val="20"/>
        </w:rPr>
        <w:t>u</w:t>
      </w:r>
      <w:r>
        <w:rPr>
          <w:rFonts w:ascii="Calibri" w:hAnsi="Calibri"/>
          <w:color w:val="1E293B"/>
          <w:sz w:val="20"/>
          <w:vertAlign w:val="subscript"/>
        </w:rPr>
        <w:t>WHO</w:t>
      </w:r>
      <w:r>
        <w:rPr>
          <w:rFonts w:ascii="Calibri" w:hAnsi="Calibri"/>
          <w:color w:val="1E293B"/>
          <w:sz w:val="20"/>
        </w:rPr>
        <w:t xml:space="preserve"> = 0.4401 (Calibrated for ≥ 95% Sensitivity Target)*</w:t>
      </w:r>
    </w:p>
    <w:tbl>
      <w:tblPr>
        <w:tblW w:type="auto" w:w="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Test Result</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Microbiological / Radiologist Positive (TB)</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Reference Standard Negative (Normal)</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Total Evaluated</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Model Predicted TB (Y-hat = 1)</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145</w:t>
            </w:r>
            <w:r>
              <w:rPr>
                <w:rFonts w:ascii="Calibri" w:hAnsi="Calibri"/>
                <w:color w:val="1E293B"/>
                <w:sz w:val="17"/>
              </w:rPr>
              <w:t xml:space="preserve"> (True Positive, TP)</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26</w:t>
            </w:r>
            <w:r>
              <w:rPr>
                <w:rFonts w:ascii="Calibri" w:hAnsi="Calibri"/>
                <w:color w:val="1E293B"/>
                <w:sz w:val="17"/>
              </w:rPr>
              <w:t xml:space="preserve"> (False Positive, FP)</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171</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b/>
                <w:color w:val="1E293B"/>
                <w:sz w:val="17"/>
              </w:rPr>
              <w:t>Model Predicted Normal (Y-hat = 0)</w:t>
            </w:r>
          </w:p>
        </w:tc>
        <w:tc>
          <w:tcPr>
            <w:tcW w:type="dxa" w:w="2340"/>
            <w:shd w:fill="F8FAFC"/>
            <w:tcMar>
              <w:top w:w="80" w:type="dxa"/>
              <w:bottom w:w="80" w:type="dxa"/>
              <w:left w:w="120" w:type="dxa"/>
              <w:right w:w="120" w:type="dxa"/>
            </w:tcMar>
          </w:tcPr>
          <w:p>
            <w:pPr>
              <w:spacing w:before="40" w:after="40"/>
              <w:jc w:val="center"/>
            </w:pPr>
            <w:r>
              <w:rPr>
                <w:rFonts w:ascii="Calibri" w:hAnsi="Calibri"/>
                <w:b/>
                <w:color w:val="1E293B"/>
                <w:sz w:val="17"/>
              </w:rPr>
              <w:t>3</w:t>
            </w:r>
            <w:r>
              <w:rPr>
                <w:rFonts w:ascii="Calibri" w:hAnsi="Calibri"/>
                <w:color w:val="1E293B"/>
                <w:sz w:val="17"/>
              </w:rPr>
              <w:t xml:space="preserve"> (False Negative, FN)</w:t>
            </w:r>
          </w:p>
        </w:tc>
        <w:tc>
          <w:tcPr>
            <w:tcW w:type="dxa" w:w="2340"/>
            <w:shd w:fill="F8FAFC"/>
            <w:tcMar>
              <w:top w:w="80" w:type="dxa"/>
              <w:bottom w:w="80" w:type="dxa"/>
              <w:left w:w="120" w:type="dxa"/>
              <w:right w:w="120" w:type="dxa"/>
            </w:tcMar>
          </w:tcPr>
          <w:p>
            <w:pPr>
              <w:spacing w:before="40" w:after="40"/>
              <w:jc w:val="center"/>
            </w:pPr>
            <w:r>
              <w:rPr>
                <w:rFonts w:ascii="Calibri" w:hAnsi="Calibri"/>
                <w:b/>
                <w:color w:val="1E293B"/>
                <w:sz w:val="17"/>
              </w:rPr>
              <w:t>1,084</w:t>
            </w:r>
            <w:r>
              <w:rPr>
                <w:rFonts w:ascii="Calibri" w:hAnsi="Calibri"/>
                <w:color w:val="1E293B"/>
                <w:sz w:val="17"/>
              </w:rPr>
              <w:t xml:space="preserve"> (True Negative, TN)</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1,087</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Total Cohort</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148</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1,110</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1,258</w:t>
            </w:r>
          </w:p>
        </w:tc>
      </w:tr>
    </w:tbl>
    <w:p>
      <w:pPr>
        <w:spacing w:before="80" w:after="120"/>
      </w:pP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Sensitivity:</w:t>
      </w:r>
      <w:r>
        <w:rPr>
          <w:rFonts w:ascii="Calibri" w:hAnsi="Calibri"/>
          <w:color w:val="1E293B"/>
          <w:sz w:val="20"/>
        </w:rPr>
        <w:t xml:space="preserve"> 97.97% (95% CI: 94.20% - 99.58%; 145 / 148)</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Specificity:</w:t>
      </w:r>
      <w:r>
        <w:rPr>
          <w:rFonts w:ascii="Calibri" w:hAnsi="Calibri"/>
          <w:color w:val="1E293B"/>
          <w:sz w:val="20"/>
        </w:rPr>
        <w:t xml:space="preserve"> 97.66% (95% CI: 96.58% - 98.46%; 1,084 / 1,110)</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Positive Predictive Value (PPV):</w:t>
      </w:r>
      <w:r>
        <w:rPr>
          <w:rFonts w:ascii="Calibri" w:hAnsi="Calibri"/>
          <w:color w:val="1E293B"/>
          <w:sz w:val="20"/>
        </w:rPr>
        <w:t xml:space="preserve"> 84.80% (95% CI: 78.65% - 89.47%; 145 / 171)</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Negative Predictive Value (NPV):</w:t>
      </w:r>
      <w:r>
        <w:rPr>
          <w:rFonts w:ascii="Calibri" w:hAnsi="Calibri"/>
          <w:color w:val="1E293B"/>
          <w:sz w:val="20"/>
        </w:rPr>
        <w:t xml:space="preserve"> 99.72% (95% CI: 99.19% - 99.91%; 1,084 / 1,087)</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Positive Likelihood Ratio (LR^+):</w:t>
      </w:r>
      <w:r>
        <w:rPr>
          <w:rFonts w:ascii="Calibri" w:hAnsi="Calibri"/>
          <w:color w:val="1E293B"/>
          <w:sz w:val="20"/>
        </w:rPr>
        <w:t xml:space="preserve"> 41.83 (95% CI: 28.53 - 61.32)</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Negative Likelihood Ratio (LR^-):</w:t>
      </w:r>
      <w:r>
        <w:rPr>
          <w:rFonts w:ascii="Calibri" w:hAnsi="Calibri"/>
          <w:color w:val="1E293B"/>
          <w:sz w:val="20"/>
        </w:rPr>
        <w:t xml:space="preserve"> 0.021 (95% CI: 0.007 - 0.063)</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Diagnostic Odds Ratio (DOR):</w:t>
      </w:r>
      <w:r>
        <w:rPr>
          <w:rFonts w:ascii="Calibri" w:hAnsi="Calibri"/>
          <w:color w:val="1E293B"/>
          <w:sz w:val="20"/>
        </w:rPr>
        <w:t xml:space="preserve"> 2,013.8 (95% CI: 582.4 - 6,963.2)</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Youden Index (J):</w:t>
      </w:r>
      <w:r>
        <w:rPr>
          <w:rFonts w:ascii="Calibri" w:hAnsi="Calibri"/>
          <w:color w:val="1E293B"/>
          <w:sz w:val="20"/>
        </w:rPr>
        <w:t xml:space="preserve"> 0.9563</w:t>
      </w:r>
    </w:p>
    <w:p>
      <w:pPr>
        <w:pStyle w:val="Heading3"/>
        <w:spacing w:before="200" w:after="80"/>
      </w:pPr>
      <w:r>
        <w:rPr>
          <w:rFonts w:ascii="Calibri" w:hAnsi="Calibri"/>
          <w:b/>
          <w:color w:val="1B365D"/>
          <w:sz w:val="22"/>
        </w:rPr>
        <w:t>Table S2: 2x2 Diagnostic Contingency Table on Solan District Hospital External Test Cohort (n = 155)</w:t>
      </w:r>
    </w:p>
    <w:p>
      <w:pPr>
        <w:spacing w:before="0" w:after="80" w:line="276" w:lineRule="auto"/>
      </w:pPr>
      <w:r>
        <w:rPr>
          <w:rFonts w:ascii="Calibri" w:hAnsi="Calibri"/>
          <w:color w:val="1E293B"/>
          <w:sz w:val="20"/>
        </w:rPr>
        <w:t>*Evaluated at Frozen Threshold ta</w:t>
      </w:r>
      <w:r>
        <w:rPr>
          <w:rFonts w:ascii="Calibri" w:hAnsi="Calibri"/>
          <w:color w:val="1E293B"/>
          <w:sz w:val="20"/>
        </w:rPr>
        <w:t>u</w:t>
      </w:r>
      <w:r>
        <w:rPr>
          <w:rFonts w:ascii="Calibri" w:hAnsi="Calibri"/>
          <w:color w:val="1E293B"/>
          <w:sz w:val="20"/>
          <w:vertAlign w:val="subscript"/>
        </w:rPr>
        <w:t>WHO</w:t>
      </w:r>
      <w:r>
        <w:rPr>
          <w:rFonts w:ascii="Calibri" w:hAnsi="Calibri"/>
          <w:color w:val="1E293B"/>
          <w:sz w:val="20"/>
        </w:rPr>
        <w:t xml:space="preserve"> = 0.4401 Under Label-Blinded Zero-Shot Transfer*</w:t>
      </w:r>
    </w:p>
    <w:tbl>
      <w:tblPr>
        <w:tblW w:type="auto" w:w="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Test Result</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Clinical / Microbiological Positive (TB)</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Reference Standard Negative (Normal)</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Total Evaluated</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Model Predicted TB (Y-hat = 1)</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55</w:t>
            </w:r>
            <w:r>
              <w:rPr>
                <w:rFonts w:ascii="Calibri" w:hAnsi="Calibri"/>
                <w:color w:val="1E293B"/>
                <w:sz w:val="17"/>
              </w:rPr>
              <w:t xml:space="preserve"> (True Positive, TP)</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10</w:t>
            </w:r>
            <w:r>
              <w:rPr>
                <w:rFonts w:ascii="Calibri" w:hAnsi="Calibri"/>
                <w:color w:val="1E293B"/>
                <w:sz w:val="17"/>
              </w:rPr>
              <w:t xml:space="preserve"> (False Positive, FP)</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65</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b/>
                <w:color w:val="1E293B"/>
                <w:sz w:val="17"/>
              </w:rPr>
              <w:t>Model Predicted Normal (Y-hat = 0)</w:t>
            </w:r>
          </w:p>
        </w:tc>
        <w:tc>
          <w:tcPr>
            <w:tcW w:type="dxa" w:w="2340"/>
            <w:shd w:fill="F8FAFC"/>
            <w:tcMar>
              <w:top w:w="80" w:type="dxa"/>
              <w:bottom w:w="80" w:type="dxa"/>
              <w:left w:w="120" w:type="dxa"/>
              <w:right w:w="120" w:type="dxa"/>
            </w:tcMar>
          </w:tcPr>
          <w:p>
            <w:pPr>
              <w:spacing w:before="40" w:after="40"/>
              <w:jc w:val="center"/>
            </w:pPr>
            <w:r>
              <w:rPr>
                <w:rFonts w:ascii="Calibri" w:hAnsi="Calibri"/>
                <w:b/>
                <w:color w:val="1E293B"/>
                <w:sz w:val="17"/>
              </w:rPr>
              <w:t>23</w:t>
            </w:r>
            <w:r>
              <w:rPr>
                <w:rFonts w:ascii="Calibri" w:hAnsi="Calibri"/>
                <w:color w:val="1E293B"/>
                <w:sz w:val="17"/>
              </w:rPr>
              <w:t xml:space="preserve"> (False Negative, FN)</w:t>
            </w:r>
          </w:p>
        </w:tc>
        <w:tc>
          <w:tcPr>
            <w:tcW w:type="dxa" w:w="2340"/>
            <w:shd w:fill="F8FAFC"/>
            <w:tcMar>
              <w:top w:w="80" w:type="dxa"/>
              <w:bottom w:w="80" w:type="dxa"/>
              <w:left w:w="120" w:type="dxa"/>
              <w:right w:w="120" w:type="dxa"/>
            </w:tcMar>
          </w:tcPr>
          <w:p>
            <w:pPr>
              <w:spacing w:before="40" w:after="40"/>
              <w:jc w:val="center"/>
            </w:pPr>
            <w:r>
              <w:rPr>
                <w:rFonts w:ascii="Calibri" w:hAnsi="Calibri"/>
                <w:b/>
                <w:color w:val="1E293B"/>
                <w:sz w:val="17"/>
              </w:rPr>
              <w:t>67</w:t>
            </w:r>
            <w:r>
              <w:rPr>
                <w:rFonts w:ascii="Calibri" w:hAnsi="Calibri"/>
                <w:color w:val="1E293B"/>
                <w:sz w:val="17"/>
              </w:rPr>
              <w:t xml:space="preserve"> (True Negative, TN)</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90</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Total Cohort</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78</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77</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155</w:t>
            </w:r>
          </w:p>
        </w:tc>
      </w:tr>
    </w:tbl>
    <w:p>
      <w:pPr>
        <w:spacing w:before="80" w:after="120"/>
      </w:pP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Sensitivity:</w:t>
      </w:r>
      <w:r>
        <w:rPr>
          <w:rFonts w:ascii="Calibri" w:hAnsi="Calibri"/>
          <w:color w:val="1E293B"/>
          <w:sz w:val="20"/>
        </w:rPr>
        <w:t xml:space="preserve"> 70.51% (95% CI: 59.10% - 80.31%; 55 / 78) : *Fails WHO CAD TPP ≥ 90% Screening Benchmark*</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Specificity:</w:t>
      </w:r>
      <w:r>
        <w:rPr>
          <w:rFonts w:ascii="Calibri" w:hAnsi="Calibri"/>
          <w:color w:val="1E293B"/>
          <w:sz w:val="20"/>
        </w:rPr>
        <w:t xml:space="preserve"> 87.01% (95% CI: 77.41% - 93.59%; 67 / 77) : *Exceeds WHO CAD TPP ≥ 70% Screening Benchmark*</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Balanced Accuracy:</w:t>
      </w:r>
      <w:r>
        <w:rPr>
          <w:rFonts w:ascii="Calibri" w:hAnsi="Calibri"/>
          <w:color w:val="1E293B"/>
          <w:sz w:val="20"/>
        </w:rPr>
        <w:t xml:space="preserve"> 78.76% (95% CI: 70.82% - 85.12%)</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Positive Predictive Value (PPV):</w:t>
      </w:r>
      <w:r>
        <w:rPr>
          <w:rFonts w:ascii="Calibri" w:hAnsi="Calibri"/>
          <w:color w:val="1E293B"/>
          <w:sz w:val="20"/>
        </w:rPr>
        <w:t xml:space="preserve"> 84.62% (95% CI: 73.52% - 92.37%; 55 / 65)</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Negative Predictive Value (NPV):</w:t>
      </w:r>
      <w:r>
        <w:rPr>
          <w:rFonts w:ascii="Calibri" w:hAnsi="Calibri"/>
          <w:color w:val="1E293B"/>
          <w:sz w:val="20"/>
        </w:rPr>
        <w:t xml:space="preserve"> 74.44% (95% CI: 64.03% - 83.19%; 67 / 90)</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Positive Likelihood Ratio (LR^+):</w:t>
      </w:r>
      <w:r>
        <w:rPr>
          <w:rFonts w:ascii="Calibri" w:hAnsi="Calibri"/>
          <w:color w:val="1E293B"/>
          <w:sz w:val="20"/>
        </w:rPr>
        <w:t xml:space="preserve"> 5.43 (95% CI: 2.99 - 9.85)</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Negative Likelihood Ratio (LR^-):</w:t>
      </w:r>
      <w:r>
        <w:rPr>
          <w:rFonts w:ascii="Calibri" w:hAnsi="Calibri"/>
          <w:color w:val="1E293B"/>
          <w:sz w:val="20"/>
        </w:rPr>
        <w:t xml:space="preserve"> 0.34 (95% CI: 0.24 - 0.48)</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Diagnostic Odds Ratio (DOR):</w:t>
      </w:r>
      <w:r>
        <w:rPr>
          <w:rFonts w:ascii="Calibri" w:hAnsi="Calibri"/>
          <w:color w:val="1E293B"/>
          <w:sz w:val="20"/>
        </w:rPr>
        <w:t xml:space="preserve"> 16.02 (95% CI: 6.94 - 37.07)</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Youden Index (J):</w:t>
      </w:r>
      <w:r>
        <w:rPr>
          <w:rFonts w:ascii="Calibri" w:hAnsi="Calibri"/>
          <w:color w:val="1E293B"/>
          <w:sz w:val="20"/>
        </w:rPr>
        <w:t xml:space="preserve"> 0.5752</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F1-Score:</w:t>
      </w:r>
      <w:r>
        <w:rPr>
          <w:rFonts w:ascii="Calibri" w:hAnsi="Calibri"/>
          <w:color w:val="1E293B"/>
          <w:sz w:val="20"/>
        </w:rPr>
        <w:t xml:space="preserve"> 0.7692 | </w:t>
      </w:r>
      <w:r>
        <w:rPr>
          <w:rFonts w:ascii="Calibri" w:hAnsi="Calibri"/>
          <w:b/>
          <w:color w:val="1E293B"/>
          <w:sz w:val="20"/>
        </w:rPr>
        <w:t>Matthews Correlation Coefficient (MCC):</w:t>
      </w:r>
      <w:r>
        <w:rPr>
          <w:rFonts w:ascii="Calibri" w:hAnsi="Calibri"/>
          <w:color w:val="1E293B"/>
          <w:sz w:val="20"/>
        </w:rPr>
        <w:t xml:space="preserve"> 0.5829</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Mondrian Conformal Coverage:</w:t>
      </w:r>
      <w:r>
        <w:rPr>
          <w:rFonts w:ascii="Calibri" w:hAnsi="Calibri"/>
          <w:color w:val="1E293B"/>
          <w:sz w:val="20"/>
        </w:rPr>
        <w:t xml:space="preserve"> 79.35% (95% CI: 72.10% - 85.40%; 123 / 155)</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Autonomous Workload Reduction Rate (AWRR):</w:t>
      </w:r>
      <w:r>
        <w:rPr>
          <w:rFonts w:ascii="Calibri" w:hAnsi="Calibri"/>
          <w:color w:val="1E293B"/>
          <w:sz w:val="20"/>
        </w:rPr>
        <w:t xml:space="preserve"> 85.16% (132 / 155)</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Uncalibrated Baseline False-Negative Releases:</w:t>
      </w:r>
      <w:r>
        <w:rPr>
          <w:rFonts w:ascii="Calibri" w:hAnsi="Calibri"/>
          <w:color w:val="1E293B"/>
          <w:sz w:val="20"/>
        </w:rPr>
        <w:t xml:space="preserve"> 9 / 78 (11.54%)</w:t>
      </w:r>
    </w:p>
    <w:p>
      <w:pPr>
        <w:pStyle w:val="Heading3"/>
        <w:spacing w:before="200" w:after="80"/>
      </w:pPr>
      <w:r>
        <w:rPr>
          <w:rFonts w:ascii="Calibri" w:hAnsi="Calibri"/>
          <w:b/>
          <w:color w:val="1B365D"/>
          <w:sz w:val="22"/>
        </w:rPr>
        <w:t>Table S2B: 2x2 Diagnostic Contingency Table on NITRD New Delhi Cohort (n = 278)</w:t>
      </w:r>
    </w:p>
    <w:p>
      <w:pPr>
        <w:spacing w:before="0" w:after="80" w:line="276" w:lineRule="auto"/>
      </w:pPr>
      <w:r>
        <w:rPr>
          <w:rFonts w:ascii="Calibri" w:hAnsi="Calibri"/>
          <w:color w:val="1E293B"/>
          <w:sz w:val="20"/>
        </w:rPr>
        <w:t>*Evaluated at Frozen Threshold ta</w:t>
      </w:r>
      <w:r>
        <w:rPr>
          <w:rFonts w:ascii="Calibri" w:hAnsi="Calibri"/>
          <w:color w:val="1E293B"/>
          <w:sz w:val="20"/>
        </w:rPr>
        <w:t>u</w:t>
      </w:r>
      <w:r>
        <w:rPr>
          <w:rFonts w:ascii="Calibri" w:hAnsi="Calibri"/>
          <w:color w:val="1E293B"/>
          <w:sz w:val="20"/>
          <w:vertAlign w:val="subscript"/>
        </w:rPr>
        <w:t>WHO</w:t>
      </w:r>
      <w:r>
        <w:rPr>
          <w:rFonts w:ascii="Calibri" w:hAnsi="Calibri"/>
          <w:color w:val="1E293B"/>
          <w:sz w:val="20"/>
        </w:rPr>
        <w:t xml:space="preserve"> = 0.4401 Under Label-Blinded Zero-Shot Transfer*</w:t>
      </w:r>
    </w:p>
    <w:tbl>
      <w:tblPr>
        <w:tblW w:type="auto" w:w="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Test Result</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Clinical / Microbiological Positive (TB)</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Reference Standard Negative (Normal)</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Total Evaluated</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Model Predicted TB (Y-hat = 1)</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98</w:t>
            </w:r>
            <w:r>
              <w:rPr>
                <w:rFonts w:ascii="Calibri" w:hAnsi="Calibri"/>
                <w:color w:val="1E293B"/>
                <w:sz w:val="17"/>
              </w:rPr>
              <w:t xml:space="preserve"> (True Positive, TP)</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30</w:t>
            </w:r>
            <w:r>
              <w:rPr>
                <w:rFonts w:ascii="Calibri" w:hAnsi="Calibri"/>
                <w:color w:val="1E293B"/>
                <w:sz w:val="17"/>
              </w:rPr>
              <w:t xml:space="preserve"> (False Positive, FP)</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128</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b/>
                <w:color w:val="1E293B"/>
                <w:sz w:val="17"/>
              </w:rPr>
              <w:t>Model Predicted Normal (Y-hat = 0)</w:t>
            </w:r>
          </w:p>
        </w:tc>
        <w:tc>
          <w:tcPr>
            <w:tcW w:type="dxa" w:w="2340"/>
            <w:shd w:fill="F8FAFC"/>
            <w:tcMar>
              <w:top w:w="80" w:type="dxa"/>
              <w:bottom w:w="80" w:type="dxa"/>
              <w:left w:w="120" w:type="dxa"/>
              <w:right w:w="120" w:type="dxa"/>
            </w:tcMar>
          </w:tcPr>
          <w:p>
            <w:pPr>
              <w:spacing w:before="40" w:after="40"/>
              <w:jc w:val="center"/>
            </w:pPr>
            <w:r>
              <w:rPr>
                <w:rFonts w:ascii="Calibri" w:hAnsi="Calibri"/>
                <w:b/>
                <w:color w:val="1E293B"/>
                <w:sz w:val="17"/>
              </w:rPr>
              <w:t>27</w:t>
            </w:r>
            <w:r>
              <w:rPr>
                <w:rFonts w:ascii="Calibri" w:hAnsi="Calibri"/>
                <w:color w:val="1E293B"/>
                <w:sz w:val="17"/>
              </w:rPr>
              <w:t xml:space="preserve"> (False Negative, FN)</w:t>
            </w:r>
          </w:p>
        </w:tc>
        <w:tc>
          <w:tcPr>
            <w:tcW w:type="dxa" w:w="2340"/>
            <w:shd w:fill="F8FAFC"/>
            <w:tcMar>
              <w:top w:w="80" w:type="dxa"/>
              <w:bottom w:w="80" w:type="dxa"/>
              <w:left w:w="120" w:type="dxa"/>
              <w:right w:w="120" w:type="dxa"/>
            </w:tcMar>
          </w:tcPr>
          <w:p>
            <w:pPr>
              <w:spacing w:before="40" w:after="40"/>
              <w:jc w:val="center"/>
            </w:pPr>
            <w:r>
              <w:rPr>
                <w:rFonts w:ascii="Calibri" w:hAnsi="Calibri"/>
                <w:b/>
                <w:color w:val="1E293B"/>
                <w:sz w:val="17"/>
              </w:rPr>
              <w:t>123</w:t>
            </w:r>
            <w:r>
              <w:rPr>
                <w:rFonts w:ascii="Calibri" w:hAnsi="Calibri"/>
                <w:color w:val="1E293B"/>
                <w:sz w:val="17"/>
              </w:rPr>
              <w:t xml:space="preserve"> (True Negative, TN)</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150</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Total Cohort</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125</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153</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278</w:t>
            </w:r>
          </w:p>
        </w:tc>
      </w:tr>
    </w:tbl>
    <w:p>
      <w:pPr>
        <w:spacing w:before="80" w:after="120"/>
      </w:pP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Sensitivity:</w:t>
      </w:r>
      <w:r>
        <w:rPr>
          <w:rFonts w:ascii="Calibri" w:hAnsi="Calibri"/>
          <w:color w:val="1E293B"/>
          <w:sz w:val="20"/>
        </w:rPr>
        <w:t xml:space="preserve"> 78.40% (95% CI: 70.40% - 84.71%; 98 / 125) : *Fails WHO CAD TPP ≥ 90% Screening Benchmark*</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Specificity:</w:t>
      </w:r>
      <w:r>
        <w:rPr>
          <w:rFonts w:ascii="Calibri" w:hAnsi="Calibri"/>
          <w:color w:val="1E293B"/>
          <w:sz w:val="20"/>
        </w:rPr>
        <w:t xml:space="preserve"> 80.39% (95% CI: 73.39% - 85.91%; 123 / 153) : *Exceeds WHO CAD TPP ≥ 70% Screening Benchmark*</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Balanced Accuracy:</w:t>
      </w:r>
      <w:r>
        <w:rPr>
          <w:rFonts w:ascii="Calibri" w:hAnsi="Calibri"/>
          <w:color w:val="1E293B"/>
          <w:sz w:val="20"/>
        </w:rPr>
        <w:t xml:space="preserve"> 79.40% (95% CI: 74.20% - 84.10%)</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Positive Predictive Value (PPV):</w:t>
      </w:r>
      <w:r>
        <w:rPr>
          <w:rFonts w:ascii="Calibri" w:hAnsi="Calibri"/>
          <w:color w:val="1E293B"/>
          <w:sz w:val="20"/>
        </w:rPr>
        <w:t xml:space="preserve"> 76.56% (95% CI: 68.52% - 83.06%; 98 / 128)</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Negative Predictive Value (NPV):</w:t>
      </w:r>
      <w:r>
        <w:rPr>
          <w:rFonts w:ascii="Calibri" w:hAnsi="Calibri"/>
          <w:color w:val="1E293B"/>
          <w:sz w:val="20"/>
        </w:rPr>
        <w:t xml:space="preserve"> 82.00% (95% CI: 75.08% - 87.32%; 123 / 150)</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Positive Likelihood Ratio (LR^+):</w:t>
      </w:r>
      <w:r>
        <w:rPr>
          <w:rFonts w:ascii="Calibri" w:hAnsi="Calibri"/>
          <w:color w:val="1E293B"/>
          <w:sz w:val="20"/>
        </w:rPr>
        <w:t xml:space="preserve"> 4.00 (95% CI: 2.87 - 5.57)</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Negative Likelihood Ratio (LR^-):</w:t>
      </w:r>
      <w:r>
        <w:rPr>
          <w:rFonts w:ascii="Calibri" w:hAnsi="Calibri"/>
          <w:color w:val="1E293B"/>
          <w:sz w:val="20"/>
        </w:rPr>
        <w:t xml:space="preserve"> 0.27 (95% CI: 0.19 - 0.38)</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Diagnostic Odds Ratio (DOR):</w:t>
      </w:r>
      <w:r>
        <w:rPr>
          <w:rFonts w:ascii="Calibri" w:hAnsi="Calibri"/>
          <w:color w:val="1E293B"/>
          <w:sz w:val="20"/>
        </w:rPr>
        <w:t xml:space="preserve"> 14.88 (95% CI: 8.44 - 26.24)</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Youden Index (J):</w:t>
      </w:r>
      <w:r>
        <w:rPr>
          <w:rFonts w:ascii="Calibri" w:hAnsi="Calibri"/>
          <w:color w:val="1E293B"/>
          <w:sz w:val="20"/>
        </w:rPr>
        <w:t xml:space="preserve"> 0.5879</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F1-Score:</w:t>
      </w:r>
      <w:r>
        <w:rPr>
          <w:rFonts w:ascii="Calibri" w:hAnsi="Calibri"/>
          <w:color w:val="1E293B"/>
          <w:sz w:val="20"/>
        </w:rPr>
        <w:t xml:space="preserve"> 0.7747 | </w:t>
      </w:r>
      <w:r>
        <w:rPr>
          <w:rFonts w:ascii="Calibri" w:hAnsi="Calibri"/>
          <w:b/>
          <w:color w:val="1E293B"/>
          <w:sz w:val="20"/>
        </w:rPr>
        <w:t>Matthews Correlation Coefficient (MCC):</w:t>
      </w:r>
      <w:r>
        <w:rPr>
          <w:rFonts w:ascii="Calibri" w:hAnsi="Calibri"/>
          <w:color w:val="1E293B"/>
          <w:sz w:val="20"/>
        </w:rPr>
        <w:t xml:space="preserve"> 0.5868</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Mondrian Conformal Coverage:</w:t>
      </w:r>
      <w:r>
        <w:rPr>
          <w:rFonts w:ascii="Calibri" w:hAnsi="Calibri"/>
          <w:color w:val="1E293B"/>
          <w:sz w:val="20"/>
        </w:rPr>
        <w:t xml:space="preserve"> 77.70% (95% CI: 72.45% - 82.19%; 216 / 278)</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Autonomous Workload Reduction Rate (AWRR):</w:t>
      </w:r>
      <w:r>
        <w:rPr>
          <w:rFonts w:ascii="Calibri" w:hAnsi="Calibri"/>
          <w:color w:val="1E293B"/>
          <w:sz w:val="20"/>
        </w:rPr>
        <w:t xml:space="preserve"> 82.73% (230 / 278)</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Uncalibrated Baseline False-Negative Releases:</w:t>
      </w:r>
      <w:r>
        <w:rPr>
          <w:rFonts w:ascii="Calibri" w:hAnsi="Calibri"/>
          <w:color w:val="1E293B"/>
          <w:sz w:val="20"/>
        </w:rPr>
        <w:t xml:space="preserve"> 9 / 125 (7.20%)</w:t>
      </w:r>
    </w:p>
    <w:p>
      <w:pPr>
        <w:pStyle w:val="Heading3"/>
        <w:spacing w:before="200" w:after="80"/>
      </w:pPr>
      <w:r>
        <w:rPr>
          <w:rFonts w:ascii="Calibri" w:hAnsi="Calibri"/>
          <w:b/>
          <w:color w:val="1B365D"/>
          <w:sz w:val="22"/>
        </w:rPr>
        <w:t>Table S2C: 2x2 Diagnostic Contingency Table on Combined Indian Clinical CXRs (n = 433)</w:t>
      </w:r>
    </w:p>
    <w:p>
      <w:pPr>
        <w:spacing w:before="0" w:after="80" w:line="276" w:lineRule="auto"/>
      </w:pPr>
      <w:r>
        <w:rPr>
          <w:rFonts w:ascii="Calibri" w:hAnsi="Calibri"/>
          <w:color w:val="1E293B"/>
          <w:sz w:val="20"/>
        </w:rPr>
        <w:t>*Evaluated at Frozen Threshold ta</w:t>
      </w:r>
      <w:r>
        <w:rPr>
          <w:rFonts w:ascii="Calibri" w:hAnsi="Calibri"/>
          <w:color w:val="1E293B"/>
          <w:sz w:val="20"/>
        </w:rPr>
        <w:t>u</w:t>
      </w:r>
      <w:r>
        <w:rPr>
          <w:rFonts w:ascii="Calibri" w:hAnsi="Calibri"/>
          <w:color w:val="1E293B"/>
          <w:sz w:val="20"/>
          <w:vertAlign w:val="subscript"/>
        </w:rPr>
        <w:t>WHO</w:t>
      </w:r>
      <w:r>
        <w:rPr>
          <w:rFonts w:ascii="Calibri" w:hAnsi="Calibri"/>
          <w:color w:val="1E293B"/>
          <w:sz w:val="20"/>
        </w:rPr>
        <w:t xml:space="preserve"> = 0.4401 Under Label-Blinded Zero-Shot Transfer*</w:t>
      </w:r>
    </w:p>
    <w:tbl>
      <w:tblPr>
        <w:tblW w:type="auto" w:w="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Test Result</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Clinical / Microbiological Positive (TB)</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Reference Standard Negative (Normal)</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Total Evaluated</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Model Predicted TB (Y-hat = 1)</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153</w:t>
            </w:r>
            <w:r>
              <w:rPr>
                <w:rFonts w:ascii="Calibri" w:hAnsi="Calibri"/>
                <w:color w:val="1E293B"/>
                <w:sz w:val="17"/>
              </w:rPr>
              <w:t xml:space="preserve"> (True Positive, TP)</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40</w:t>
            </w:r>
            <w:r>
              <w:rPr>
                <w:rFonts w:ascii="Calibri" w:hAnsi="Calibri"/>
                <w:color w:val="1E293B"/>
                <w:sz w:val="17"/>
              </w:rPr>
              <w:t xml:space="preserve"> (False Positive, FP)</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193</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b/>
                <w:color w:val="1E293B"/>
                <w:sz w:val="17"/>
              </w:rPr>
              <w:t>Model Predicted Normal (Y-hat = 0)</w:t>
            </w:r>
          </w:p>
        </w:tc>
        <w:tc>
          <w:tcPr>
            <w:tcW w:type="dxa" w:w="2340"/>
            <w:shd w:fill="F8FAFC"/>
            <w:tcMar>
              <w:top w:w="80" w:type="dxa"/>
              <w:bottom w:w="80" w:type="dxa"/>
              <w:left w:w="120" w:type="dxa"/>
              <w:right w:w="120" w:type="dxa"/>
            </w:tcMar>
          </w:tcPr>
          <w:p>
            <w:pPr>
              <w:spacing w:before="40" w:after="40"/>
              <w:jc w:val="center"/>
            </w:pPr>
            <w:r>
              <w:rPr>
                <w:rFonts w:ascii="Calibri" w:hAnsi="Calibri"/>
                <w:b/>
                <w:color w:val="1E293B"/>
                <w:sz w:val="17"/>
              </w:rPr>
              <w:t>50</w:t>
            </w:r>
            <w:r>
              <w:rPr>
                <w:rFonts w:ascii="Calibri" w:hAnsi="Calibri"/>
                <w:color w:val="1E293B"/>
                <w:sz w:val="17"/>
              </w:rPr>
              <w:t xml:space="preserve"> (False Negative, FN)</w:t>
            </w:r>
          </w:p>
        </w:tc>
        <w:tc>
          <w:tcPr>
            <w:tcW w:type="dxa" w:w="2340"/>
            <w:shd w:fill="F8FAFC"/>
            <w:tcMar>
              <w:top w:w="80" w:type="dxa"/>
              <w:bottom w:w="80" w:type="dxa"/>
              <w:left w:w="120" w:type="dxa"/>
              <w:right w:w="120" w:type="dxa"/>
            </w:tcMar>
          </w:tcPr>
          <w:p>
            <w:pPr>
              <w:spacing w:before="40" w:after="40"/>
              <w:jc w:val="center"/>
            </w:pPr>
            <w:r>
              <w:rPr>
                <w:rFonts w:ascii="Calibri" w:hAnsi="Calibri"/>
                <w:b/>
                <w:color w:val="1E293B"/>
                <w:sz w:val="17"/>
              </w:rPr>
              <w:t>190</w:t>
            </w:r>
            <w:r>
              <w:rPr>
                <w:rFonts w:ascii="Calibri" w:hAnsi="Calibri"/>
                <w:color w:val="1E293B"/>
                <w:sz w:val="17"/>
              </w:rPr>
              <w:t xml:space="preserve"> (True Negative, TN)</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240</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Total Cohort</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203</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230</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433</w:t>
            </w:r>
          </w:p>
        </w:tc>
      </w:tr>
    </w:tbl>
    <w:p>
      <w:pPr>
        <w:spacing w:before="80" w:after="120"/>
      </w:pP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Sensitivity:</w:t>
      </w:r>
      <w:r>
        <w:rPr>
          <w:rFonts w:ascii="Calibri" w:hAnsi="Calibri"/>
          <w:color w:val="1E293B"/>
          <w:sz w:val="20"/>
        </w:rPr>
        <w:t xml:space="preserve"> 75.37% (95% CI: 69.01% - 80.79%; 153 / 203) : *Fails WHO CAD TPP ≥ 90% Screening Benchmark*</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Specificity:</w:t>
      </w:r>
      <w:r>
        <w:rPr>
          <w:rFonts w:ascii="Calibri" w:hAnsi="Calibri"/>
          <w:color w:val="1E293B"/>
          <w:sz w:val="20"/>
        </w:rPr>
        <w:t xml:space="preserve"> 82.61% (95% CI: 77.19% - 86.96%; 190 / 230) : *Exceeds WHO CAD TPP ≥ 70% Screening Benchmark*</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Balanced Accuracy:</w:t>
      </w:r>
      <w:r>
        <w:rPr>
          <w:rFonts w:ascii="Calibri" w:hAnsi="Calibri"/>
          <w:color w:val="1E293B"/>
          <w:sz w:val="20"/>
        </w:rPr>
        <w:t xml:space="preserve"> 78.99% (95% CI: 74.80% - 82.70%)</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Positive Predictive Value (PPV):</w:t>
      </w:r>
      <w:r>
        <w:rPr>
          <w:rFonts w:ascii="Calibri" w:hAnsi="Calibri"/>
          <w:color w:val="1E293B"/>
          <w:sz w:val="20"/>
        </w:rPr>
        <w:t xml:space="preserve"> 79.27% (95% CI: 73.01% - 84.39%; 153 / 193)</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Negative Predictive Value (NPV):</w:t>
      </w:r>
      <w:r>
        <w:rPr>
          <w:rFonts w:ascii="Calibri" w:hAnsi="Calibri"/>
          <w:color w:val="1E293B"/>
          <w:sz w:val="20"/>
        </w:rPr>
        <w:t xml:space="preserve"> 79.17% (95% CI: 73.59% - 83.83%; 190 / 240)</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Positive Likelihood Ratio (LR^+):</w:t>
      </w:r>
      <w:r>
        <w:rPr>
          <w:rFonts w:ascii="Calibri" w:hAnsi="Calibri"/>
          <w:color w:val="1E293B"/>
          <w:sz w:val="20"/>
        </w:rPr>
        <w:t xml:space="preserve"> 4.33 (95% CI: 3.23 - 5.82)</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Negative Likelihood Ratio (LR^-):</w:t>
      </w:r>
      <w:r>
        <w:rPr>
          <w:rFonts w:ascii="Calibri" w:hAnsi="Calibri"/>
          <w:color w:val="1E293B"/>
          <w:sz w:val="20"/>
        </w:rPr>
        <w:t xml:space="preserve"> 0.30 (95% CI: 0.23 - 0.39)</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Diagnostic Odds Ratio (DOR):</w:t>
      </w:r>
      <w:r>
        <w:rPr>
          <w:rFonts w:ascii="Calibri" w:hAnsi="Calibri"/>
          <w:color w:val="1E293B"/>
          <w:sz w:val="20"/>
        </w:rPr>
        <w:t xml:space="preserve"> 14.54 (95% CI: 9.30 - 22.71)</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Youden Index (J):</w:t>
      </w:r>
      <w:r>
        <w:rPr>
          <w:rFonts w:ascii="Calibri" w:hAnsi="Calibri"/>
          <w:color w:val="1E293B"/>
          <w:sz w:val="20"/>
        </w:rPr>
        <w:t xml:space="preserve"> 0.5798</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F1-Score:</w:t>
      </w:r>
      <w:r>
        <w:rPr>
          <w:rFonts w:ascii="Calibri" w:hAnsi="Calibri"/>
          <w:color w:val="1E293B"/>
          <w:sz w:val="20"/>
        </w:rPr>
        <w:t xml:space="preserve"> 0.7727 | </w:t>
      </w:r>
      <w:r>
        <w:rPr>
          <w:rFonts w:ascii="Calibri" w:hAnsi="Calibri"/>
          <w:b/>
          <w:color w:val="1E293B"/>
          <w:sz w:val="20"/>
        </w:rPr>
        <w:t>Matthews Correlation Coefficient (MCC):</w:t>
      </w:r>
      <w:r>
        <w:rPr>
          <w:rFonts w:ascii="Calibri" w:hAnsi="Calibri"/>
          <w:color w:val="1E293B"/>
          <w:sz w:val="20"/>
        </w:rPr>
        <w:t xml:space="preserve"> 0.5821</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Mondrian Conformal Coverage:</w:t>
      </w:r>
      <w:r>
        <w:rPr>
          <w:rFonts w:ascii="Calibri" w:hAnsi="Calibri"/>
          <w:color w:val="1E293B"/>
          <w:sz w:val="20"/>
        </w:rPr>
        <w:t xml:space="preserve"> 78.29% (95% CI: 74.17% - 81.92%; 339 / 433)</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Autonomous Workload Reduction Rate (AWRR):</w:t>
      </w:r>
      <w:r>
        <w:rPr>
          <w:rFonts w:ascii="Calibri" w:hAnsi="Calibri"/>
          <w:color w:val="1E293B"/>
          <w:sz w:val="20"/>
        </w:rPr>
        <w:t xml:space="preserve"> 83.60% (362 / 433)</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Uncalibrated Baseline False-Negative Releases:</w:t>
      </w:r>
      <w:r>
        <w:rPr>
          <w:rFonts w:ascii="Calibri" w:hAnsi="Calibri"/>
          <w:color w:val="1E293B"/>
          <w:sz w:val="20"/>
        </w:rPr>
        <w:t xml:space="preserve"> 18 / 203 (8.87%)</w:t>
      </w:r>
    </w:p>
    <w:p>
      <w:pPr>
        <w:pStyle w:val="Heading3"/>
        <w:spacing w:before="200" w:after="80"/>
      </w:pPr>
      <w:r>
        <w:rPr>
          <w:rFonts w:ascii="Calibri" w:hAnsi="Calibri"/>
          <w:b/>
          <w:color w:val="1B365D"/>
          <w:sz w:val="22"/>
        </w:rPr>
        <w:t>Table S2D: 2x2 Diagnostic Contingency Table on Pakistan Hospital Adversarial Cohort (n = 3,008)</w:t>
      </w:r>
    </w:p>
    <w:p>
      <w:pPr>
        <w:spacing w:before="0" w:after="80" w:line="276" w:lineRule="auto"/>
      </w:pPr>
      <w:r>
        <w:rPr>
          <w:rFonts w:ascii="Calibri" w:hAnsi="Calibri"/>
          <w:color w:val="1E293B"/>
          <w:sz w:val="20"/>
        </w:rPr>
        <w:t>*Evaluated at Frozen Threshold ta</w:t>
      </w:r>
      <w:r>
        <w:rPr>
          <w:rFonts w:ascii="Calibri" w:hAnsi="Calibri"/>
          <w:color w:val="1E293B"/>
          <w:sz w:val="20"/>
        </w:rPr>
        <w:t>u</w:t>
      </w:r>
      <w:r>
        <w:rPr>
          <w:rFonts w:ascii="Calibri" w:hAnsi="Calibri"/>
          <w:color w:val="1E293B"/>
          <w:sz w:val="20"/>
          <w:vertAlign w:val="subscript"/>
        </w:rPr>
        <w:t>WHO</w:t>
      </w:r>
      <w:r>
        <w:rPr>
          <w:rFonts w:ascii="Calibri" w:hAnsi="Calibri"/>
          <w:color w:val="1E293B"/>
          <w:sz w:val="20"/>
        </w:rPr>
        <w:t xml:space="preserve"> = 0.4401 Under Label-Blinded Zero-Shot Transfer*</w:t>
      </w:r>
    </w:p>
    <w:tbl>
      <w:tblPr>
        <w:tblW w:type="auto" w:w="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Test Result</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Clinical / Microbiological Positive (TB)</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Reference Standard Negative (Normal)</w:t>
            </w:r>
          </w:p>
        </w:tc>
        <w:tc>
          <w:tcPr>
            <w:tcW w:type="dxa" w:w="2340"/>
            <w:shd w:fill="F1F5F9"/>
            <w:tcMar>
              <w:top w:w="90" w:type="dxa"/>
              <w:bottom w:w="90" w:type="dxa"/>
              <w:left w:w="120" w:type="dxa"/>
              <w:right w:w="120" w:type="dxa"/>
            </w:tcMar>
          </w:tcPr>
          <w:p>
            <w:pPr>
              <w:spacing w:before="60" w:after="60"/>
              <w:jc w:val="center"/>
            </w:pPr>
            <w:r>
              <w:rPr>
                <w:rFonts w:ascii="Calibri" w:hAnsi="Calibri"/>
                <w:b/>
                <w:color w:val="1B365D"/>
                <w:sz w:val="18"/>
              </w:rPr>
              <w:t>Total Evaluated</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Model Predicted TB (Y-hat = 1)</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2,494</w:t>
            </w:r>
            <w:r>
              <w:rPr>
                <w:rFonts w:ascii="Calibri" w:hAnsi="Calibri"/>
                <w:color w:val="1E293B"/>
                <w:sz w:val="17"/>
              </w:rPr>
              <w:t xml:space="preserve"> (True Positive, TP)</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514</w:t>
            </w:r>
            <w:r>
              <w:rPr>
                <w:rFonts w:ascii="Calibri" w:hAnsi="Calibri"/>
                <w:color w:val="1E293B"/>
                <w:sz w:val="17"/>
              </w:rPr>
              <w:t xml:space="preserve"> (False Positive, FP)</w:t>
            </w:r>
          </w:p>
        </w:tc>
        <w:tc>
          <w:tcPr>
            <w:tcW w:type="dxa" w:w="2340"/>
            <w:tcMar>
              <w:top w:w="80" w:type="dxa"/>
              <w:bottom w:w="80" w:type="dxa"/>
              <w:left w:w="120" w:type="dxa"/>
              <w:right w:w="120" w:type="dxa"/>
            </w:tcMar>
          </w:tcPr>
          <w:p>
            <w:pPr>
              <w:spacing w:before="40" w:after="40"/>
              <w:jc w:val="center"/>
            </w:pPr>
            <w:r>
              <w:rPr>
                <w:rFonts w:ascii="Calibri" w:hAnsi="Calibri"/>
                <w:color w:val="1E293B"/>
                <w:sz w:val="17"/>
              </w:rPr>
              <w:t>3,008</w:t>
            </w:r>
          </w:p>
        </w:tc>
      </w:tr>
      <w:tr>
        <w:trPr>
          <w:cantSplit/>
        </w:trPr>
        <w:tc>
          <w:tcPr>
            <w:tcW w:type="dxa" w:w="2340"/>
            <w:shd w:fill="F8FAFC"/>
            <w:tcMar>
              <w:top w:w="80" w:type="dxa"/>
              <w:bottom w:w="80" w:type="dxa"/>
              <w:left w:w="120" w:type="dxa"/>
              <w:right w:w="120" w:type="dxa"/>
            </w:tcMar>
          </w:tcPr>
          <w:p>
            <w:pPr>
              <w:spacing w:before="40" w:after="40"/>
              <w:jc w:val="left"/>
            </w:pPr>
            <w:r>
              <w:rPr>
                <w:rFonts w:ascii="Calibri" w:hAnsi="Calibri"/>
                <w:b/>
                <w:color w:val="1E293B"/>
                <w:sz w:val="17"/>
              </w:rPr>
              <w:t>Model Predicted Normal (Y-hat = 0)</w:t>
            </w:r>
          </w:p>
        </w:tc>
        <w:tc>
          <w:tcPr>
            <w:tcW w:type="dxa" w:w="2340"/>
            <w:shd w:fill="F8FAFC"/>
            <w:tcMar>
              <w:top w:w="80" w:type="dxa"/>
              <w:bottom w:w="80" w:type="dxa"/>
              <w:left w:w="120" w:type="dxa"/>
              <w:right w:w="120" w:type="dxa"/>
            </w:tcMar>
          </w:tcPr>
          <w:p>
            <w:pPr>
              <w:spacing w:before="40" w:after="40"/>
              <w:jc w:val="center"/>
            </w:pPr>
            <w:r>
              <w:rPr>
                <w:rFonts w:ascii="Calibri" w:hAnsi="Calibri"/>
                <w:b/>
                <w:color w:val="1E293B"/>
                <w:sz w:val="17"/>
              </w:rPr>
              <w:t>0</w:t>
            </w:r>
            <w:r>
              <w:rPr>
                <w:rFonts w:ascii="Calibri" w:hAnsi="Calibri"/>
                <w:color w:val="1E293B"/>
                <w:sz w:val="17"/>
              </w:rPr>
              <w:t xml:space="preserve"> (False Negative, FN)</w:t>
            </w:r>
          </w:p>
        </w:tc>
        <w:tc>
          <w:tcPr>
            <w:tcW w:type="dxa" w:w="2340"/>
            <w:shd w:fill="F8FAFC"/>
            <w:tcMar>
              <w:top w:w="80" w:type="dxa"/>
              <w:bottom w:w="80" w:type="dxa"/>
              <w:left w:w="120" w:type="dxa"/>
              <w:right w:w="120" w:type="dxa"/>
            </w:tcMar>
          </w:tcPr>
          <w:p>
            <w:pPr>
              <w:spacing w:before="40" w:after="40"/>
              <w:jc w:val="center"/>
            </w:pPr>
            <w:r>
              <w:rPr>
                <w:rFonts w:ascii="Calibri" w:hAnsi="Calibri"/>
                <w:b/>
                <w:color w:val="1E293B"/>
                <w:sz w:val="17"/>
              </w:rPr>
              <w:t>0</w:t>
            </w:r>
            <w:r>
              <w:rPr>
                <w:rFonts w:ascii="Calibri" w:hAnsi="Calibri"/>
                <w:color w:val="1E293B"/>
                <w:sz w:val="17"/>
              </w:rPr>
              <w:t xml:space="preserve"> (True Negative, TN)</w:t>
            </w:r>
          </w:p>
        </w:tc>
        <w:tc>
          <w:tcPr>
            <w:tcW w:type="dxa" w:w="2340"/>
            <w:shd w:fill="F8FAFC"/>
            <w:tcMar>
              <w:top w:w="80" w:type="dxa"/>
              <w:bottom w:w="80" w:type="dxa"/>
              <w:left w:w="120" w:type="dxa"/>
              <w:right w:w="120" w:type="dxa"/>
            </w:tcMar>
          </w:tcPr>
          <w:p>
            <w:pPr>
              <w:spacing w:before="40" w:after="40"/>
              <w:jc w:val="center"/>
            </w:pPr>
            <w:r>
              <w:rPr>
                <w:rFonts w:ascii="Calibri" w:hAnsi="Calibri"/>
                <w:color w:val="1E293B"/>
                <w:sz w:val="17"/>
              </w:rPr>
              <w:t>0</w:t>
            </w:r>
          </w:p>
        </w:tc>
      </w:tr>
      <w:tr>
        <w:trPr>
          <w:cantSplit/>
        </w:trPr>
        <w:tc>
          <w:tcPr>
            <w:tcW w:type="dxa" w:w="2340"/>
            <w:tcMar>
              <w:top w:w="80" w:type="dxa"/>
              <w:bottom w:w="80" w:type="dxa"/>
              <w:left w:w="120" w:type="dxa"/>
              <w:right w:w="120" w:type="dxa"/>
            </w:tcMar>
          </w:tcPr>
          <w:p>
            <w:pPr>
              <w:spacing w:before="40" w:after="40"/>
              <w:jc w:val="left"/>
            </w:pPr>
            <w:r>
              <w:rPr>
                <w:rFonts w:ascii="Calibri" w:hAnsi="Calibri"/>
                <w:b/>
                <w:color w:val="1E293B"/>
                <w:sz w:val="17"/>
              </w:rPr>
              <w:t>Total Cohort</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2,494</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514</w:t>
            </w:r>
          </w:p>
        </w:tc>
        <w:tc>
          <w:tcPr>
            <w:tcW w:type="dxa" w:w="2340"/>
            <w:tcMar>
              <w:top w:w="80" w:type="dxa"/>
              <w:bottom w:w="80" w:type="dxa"/>
              <w:left w:w="120" w:type="dxa"/>
              <w:right w:w="120" w:type="dxa"/>
            </w:tcMar>
          </w:tcPr>
          <w:p>
            <w:pPr>
              <w:spacing w:before="40" w:after="40"/>
              <w:jc w:val="center"/>
            </w:pPr>
            <w:r>
              <w:rPr>
                <w:rFonts w:ascii="Calibri" w:hAnsi="Calibri"/>
                <w:b/>
                <w:color w:val="1E293B"/>
                <w:sz w:val="17"/>
              </w:rPr>
              <w:t>3,008</w:t>
            </w:r>
          </w:p>
        </w:tc>
      </w:tr>
    </w:tbl>
    <w:p>
      <w:pPr>
        <w:spacing w:before="80" w:after="120"/>
      </w:pP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Sensitivity:</w:t>
      </w:r>
      <w:r>
        <w:rPr>
          <w:rFonts w:ascii="Calibri" w:hAnsi="Calibri"/>
          <w:color w:val="1E293B"/>
          <w:sz w:val="20"/>
        </w:rPr>
        <w:t xml:space="preserve"> 100.00% (95% CI: 99.85% - 100.00%; 2,494 / 2,494) : *Exceeds WHO CAD TPP ≥ 90% Sensitivity Threshold*</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Specificity:</w:t>
      </w:r>
      <w:r>
        <w:rPr>
          <w:rFonts w:ascii="Calibri" w:hAnsi="Calibri"/>
          <w:color w:val="1E293B"/>
          <w:sz w:val="20"/>
        </w:rPr>
        <w:t xml:space="preserve"> 0.00% (95% CI: 0.00% - 0.74%; 0 / 514) : *Complete Specificity Collapse on Adversarial Compressed Artifacts*</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Balanced Accuracy:</w:t>
      </w:r>
      <w:r>
        <w:rPr>
          <w:rFonts w:ascii="Calibri" w:hAnsi="Calibri"/>
          <w:color w:val="1E293B"/>
          <w:sz w:val="20"/>
        </w:rPr>
        <w:t xml:space="preserve"> 50.00% (95% CI: 48.20% - 51.80%)</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Baseline AUROC:</w:t>
      </w:r>
      <w:r>
        <w:rPr>
          <w:rFonts w:ascii="Calibri" w:hAnsi="Calibri"/>
          <w:color w:val="1E293B"/>
          <w:sz w:val="20"/>
        </w:rPr>
        <w:t xml:space="preserve"> 0.4982 (95% CI: 0.4708 - 0.5256)</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Positive Predictive Value (PPV):</w:t>
      </w:r>
      <w:r>
        <w:rPr>
          <w:rFonts w:ascii="Calibri" w:hAnsi="Calibri"/>
          <w:color w:val="1E293B"/>
          <w:sz w:val="20"/>
        </w:rPr>
        <w:t xml:space="preserve"> 82.91% (95% CI: 81.53% - 84.22%; 2,494 / 3,008)</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Negative Predictive Value (NPV):</w:t>
      </w:r>
      <w:r>
        <w:rPr>
          <w:rFonts w:ascii="Calibri" w:hAnsi="Calibri"/>
          <w:color w:val="1E293B"/>
          <w:sz w:val="20"/>
        </w:rPr>
        <w:t xml:space="preserve"> Undefined (Zero Negative Predictions: 0 / 0)</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Positive Likelihood Ratio (LR^+):</w:t>
      </w:r>
      <w:r>
        <w:rPr>
          <w:rFonts w:ascii="Calibri" w:hAnsi="Calibri"/>
          <w:color w:val="1E293B"/>
          <w:sz w:val="20"/>
        </w:rPr>
        <w:t xml:space="preserve"> 1.00 (95% CI: 0.99 - 1.01)</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Negative Likelihood Ratio (LR^-):</w:t>
      </w:r>
      <w:r>
        <w:rPr>
          <w:rFonts w:ascii="Calibri" w:hAnsi="Calibri"/>
          <w:color w:val="1E293B"/>
          <w:sz w:val="20"/>
        </w:rPr>
        <w:t xml:space="preserve"> Undefined (Zero Specificity)</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Diagnostic Odds Ratio (DOR):</w:t>
      </w:r>
      <w:r>
        <w:rPr>
          <w:rFonts w:ascii="Calibri" w:hAnsi="Calibri"/>
          <w:color w:val="1E293B"/>
          <w:sz w:val="20"/>
        </w:rPr>
        <w:t xml:space="preserve"> Undefined</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Youden Index (J):</w:t>
      </w:r>
      <w:r>
        <w:rPr>
          <w:rFonts w:ascii="Calibri" w:hAnsi="Calibri"/>
          <w:color w:val="1E293B"/>
          <w:sz w:val="20"/>
        </w:rPr>
        <w:t xml:space="preserve"> 0.0000</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F1-Score:</w:t>
      </w:r>
      <w:r>
        <w:rPr>
          <w:rFonts w:ascii="Calibri" w:hAnsi="Calibri"/>
          <w:color w:val="1E293B"/>
          <w:sz w:val="20"/>
        </w:rPr>
        <w:t xml:space="preserve"> 0.9066 | </w:t>
      </w:r>
      <w:r>
        <w:rPr>
          <w:rFonts w:ascii="Calibri" w:hAnsi="Calibri"/>
          <w:b/>
          <w:color w:val="1E293B"/>
          <w:sz w:val="20"/>
        </w:rPr>
        <w:t>Matthews Correlation Coefficient (MCC):</w:t>
      </w:r>
      <w:r>
        <w:rPr>
          <w:rFonts w:ascii="Calibri" w:hAnsi="Calibri"/>
          <w:color w:val="1E293B"/>
          <w:sz w:val="20"/>
        </w:rPr>
        <w:t xml:space="preserve"> 0.0000</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Mondrian Conformal Coverage:</w:t>
      </w:r>
      <w:r>
        <w:rPr>
          <w:rFonts w:ascii="Calibri" w:hAnsi="Calibri"/>
          <w:color w:val="1E293B"/>
          <w:sz w:val="20"/>
        </w:rPr>
        <w:t xml:space="preserve"> 82.91% (95% CI: 81.53% - 84.22%; 2,494 / 3,008)</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Autonomous Workload Reduction Rate (AWRR):</w:t>
      </w:r>
      <w:r>
        <w:rPr>
          <w:rFonts w:ascii="Calibri" w:hAnsi="Calibri"/>
          <w:color w:val="1E293B"/>
          <w:sz w:val="20"/>
        </w:rPr>
        <w:t xml:space="preserve"> 100.00% (3,008 / 3,008 Flagged for Clinical Overread)</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Uncalibrated Baseline False-Negative Releases:</w:t>
      </w:r>
      <w:r>
        <w:rPr>
          <w:rFonts w:ascii="Calibri" w:hAnsi="Calibri"/>
          <w:color w:val="1E293B"/>
          <w:sz w:val="20"/>
        </w:rPr>
        <w:t xml:space="preserve"> 0 / 2,494 (0.00%)</w:t>
      </w:r>
    </w:p>
    <w:p>
      <w:pPr>
        <w:pStyle w:val="Heading2"/>
        <w:spacing w:before="280" w:after="120"/>
      </w:pPr>
      <w:r>
        <w:rPr>
          <w:rFonts w:ascii="Calibri" w:hAnsi="Calibri"/>
          <w:b/>
          <w:color w:val="1B365D"/>
          <w:sz w:val="26"/>
        </w:rPr>
        <w:t>SECTION 4: COMPUTATIONAL HARDWARE &amp; REPRODUCIBILITY TELEMETRY</w:t>
      </w:r>
    </w:p>
    <w:p>
      <w:pPr>
        <w:pStyle w:val="Heading3"/>
        <w:spacing w:before="200" w:after="80"/>
      </w:pPr>
      <w:r>
        <w:rPr>
          <w:rFonts w:ascii="Calibri" w:hAnsi="Calibri"/>
          <w:b/>
          <w:color w:val="1B365D"/>
          <w:sz w:val="22"/>
        </w:rPr>
        <w:t>Table S3: Hardware Specifications and Runtime Profiling Audit</w:t>
      </w:r>
    </w:p>
    <w:tbl>
      <w:tblPr>
        <w:tblW w:type="auto" w:w="0"/>
        <w:jc w:val="center"/>
        <w:tblLayout w:type="fixed"/>
        <w:tblLook w:firstColumn="1" w:firstRow="1" w:lastColumn="0" w:lastRow="0" w:noHBand="0" w:noVBand="1" w:val="04A0"/>
      </w:tblPr>
      <w:tblGrid>
        <w:gridCol w:w="3120"/>
        <w:gridCol w:w="3120"/>
        <w:gridCol w:w="3120"/>
      </w:tblGrid>
      <w:tr>
        <w:trPr>
          <w:cantSplit/>
          <w:tblHeader/>
        </w:trPr>
        <w:tc>
          <w:tcPr>
            <w:tcW w:type="dxa" w:w="3120"/>
            <w:shd w:fill="F1F5F9"/>
            <w:tcMar>
              <w:top w:w="90" w:type="dxa"/>
              <w:bottom w:w="90" w:type="dxa"/>
              <w:left w:w="120" w:type="dxa"/>
              <w:right w:w="120" w:type="dxa"/>
            </w:tcMar>
          </w:tcPr>
          <w:p>
            <w:pPr>
              <w:spacing w:before="60" w:after="60"/>
              <w:jc w:val="center"/>
            </w:pPr>
            <w:r>
              <w:rPr>
                <w:rFonts w:ascii="Calibri" w:hAnsi="Calibri"/>
                <w:b/>
                <w:color w:val="1B365D"/>
                <w:sz w:val="18"/>
              </w:rPr>
              <w:t>Parameter</w:t>
            </w:r>
          </w:p>
        </w:tc>
        <w:tc>
          <w:tcPr>
            <w:tcW w:type="dxa" w:w="3120"/>
            <w:shd w:fill="F1F5F9"/>
            <w:tcMar>
              <w:top w:w="90" w:type="dxa"/>
              <w:bottom w:w="90" w:type="dxa"/>
              <w:left w:w="120" w:type="dxa"/>
              <w:right w:w="120" w:type="dxa"/>
            </w:tcMar>
          </w:tcPr>
          <w:p>
            <w:pPr>
              <w:spacing w:before="60" w:after="60"/>
              <w:jc w:val="center"/>
            </w:pPr>
            <w:r>
              <w:rPr>
                <w:rFonts w:ascii="Calibri" w:hAnsi="Calibri"/>
                <w:b/>
                <w:color w:val="1B365D"/>
                <w:sz w:val="18"/>
              </w:rPr>
              <w:t>Specification / Telemetry Value</w:t>
            </w:r>
          </w:p>
        </w:tc>
        <w:tc>
          <w:tcPr>
            <w:tcW w:type="dxa" w:w="3120"/>
            <w:shd w:fill="F1F5F9"/>
            <w:tcMar>
              <w:top w:w="90" w:type="dxa"/>
              <w:bottom w:w="90" w:type="dxa"/>
              <w:left w:w="120" w:type="dxa"/>
              <w:right w:w="120" w:type="dxa"/>
            </w:tcMar>
          </w:tcPr>
          <w:p>
            <w:pPr>
              <w:spacing w:before="60" w:after="60"/>
              <w:jc w:val="center"/>
            </w:pPr>
            <w:r>
              <w:rPr>
                <w:rFonts w:ascii="Calibri" w:hAnsi="Calibri"/>
                <w:b/>
                <w:color w:val="1B365D"/>
                <w:sz w:val="18"/>
              </w:rPr>
              <w:t>Verification Source</w:t>
            </w:r>
          </w:p>
        </w:tc>
      </w:tr>
      <w:tr>
        <w:trPr>
          <w:cantSplit/>
        </w:trPr>
        <w:tc>
          <w:tcPr>
            <w:tcW w:type="dxa" w:w="3120"/>
            <w:tcMar>
              <w:top w:w="80" w:type="dxa"/>
              <w:bottom w:w="80" w:type="dxa"/>
              <w:left w:w="120" w:type="dxa"/>
              <w:right w:w="120" w:type="dxa"/>
            </w:tcMar>
          </w:tcPr>
          <w:p>
            <w:pPr>
              <w:spacing w:before="40" w:after="40"/>
              <w:jc w:val="left"/>
            </w:pPr>
            <w:r>
              <w:rPr>
                <w:rFonts w:ascii="Calibri" w:hAnsi="Calibri"/>
                <w:b/>
                <w:color w:val="1E293B"/>
                <w:sz w:val="17"/>
              </w:rPr>
              <w:t>Compute Infrastructure</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Kaggle Cloud Dual Tesla T4 GPUs (</w:t>
            </w:r>
            <w:r>
              <w:rPr>
                <w:rFonts w:ascii="Courier New" w:hAnsi="Courier New"/>
                <w:color w:val="1E293B"/>
                <w:sz w:val="16"/>
              </w:rPr>
              <w:t>NvidiaTeslaT4</w:t>
            </w:r>
            <w:r>
              <w:rPr>
                <w:rFonts w:ascii="Calibri" w:hAnsi="Calibri"/>
                <w:color w:val="1E293B"/>
                <w:sz w:val="17"/>
              </w:rPr>
              <w:t>)</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Kaggle Cloud Session Metadata</w:t>
            </w:r>
          </w:p>
        </w:tc>
      </w:tr>
      <w:tr>
        <w:trPr>
          <w:cantSplit/>
        </w:trPr>
        <w:tc>
          <w:tcPr>
            <w:tcW w:type="dxa" w:w="3120"/>
            <w:shd w:fill="F8FAFC"/>
            <w:tcMar>
              <w:top w:w="80" w:type="dxa"/>
              <w:bottom w:w="80" w:type="dxa"/>
              <w:left w:w="120" w:type="dxa"/>
              <w:right w:w="120" w:type="dxa"/>
            </w:tcMar>
          </w:tcPr>
          <w:p>
            <w:pPr>
              <w:spacing w:before="40" w:after="40"/>
              <w:jc w:val="left"/>
            </w:pPr>
            <w:r>
              <w:rPr>
                <w:rFonts w:ascii="Calibri" w:hAnsi="Calibri"/>
                <w:b/>
                <w:color w:val="1E293B"/>
                <w:sz w:val="17"/>
              </w:rPr>
              <w:t>GPU Architecture</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Dual Turing TU104 (</w:t>
            </w:r>
            <w:r>
              <w:rPr>
                <w:rFonts w:ascii="Courier New" w:hAnsi="Courier New"/>
                <w:color w:val="1E293B"/>
                <w:sz w:val="16"/>
              </w:rPr>
              <w:t>sm_75</w:t>
            </w:r>
            <w:r>
              <w:rPr>
                <w:rFonts w:ascii="Calibri" w:hAnsi="Calibri"/>
                <w:color w:val="1E293B"/>
                <w:sz w:val="17"/>
              </w:rPr>
              <w:t>, Compute Capability 7.5)</w:t>
            </w:r>
          </w:p>
        </w:tc>
        <w:tc>
          <w:tcPr>
            <w:tcW w:type="dxa" w:w="3120"/>
            <w:shd w:fill="F8FAFC"/>
            <w:tcMar>
              <w:top w:w="80" w:type="dxa"/>
              <w:bottom w:w="80" w:type="dxa"/>
              <w:left w:w="120" w:type="dxa"/>
              <w:right w:w="120" w:type="dxa"/>
            </w:tcMar>
          </w:tcPr>
          <w:p>
            <w:pPr>
              <w:spacing w:before="40" w:after="40"/>
              <w:jc w:val="center"/>
            </w:pPr>
            <w:r>
              <w:rPr>
                <w:rFonts w:ascii="Courier New" w:hAnsi="Courier New"/>
                <w:color w:val="1E293B"/>
                <w:sz w:val="16"/>
              </w:rPr>
              <w:t>torch.cuda.get_device_capability()</w:t>
            </w:r>
          </w:p>
        </w:tc>
      </w:tr>
      <w:tr>
        <w:trPr>
          <w:cantSplit/>
        </w:trPr>
        <w:tc>
          <w:tcPr>
            <w:tcW w:type="dxa" w:w="3120"/>
            <w:tcMar>
              <w:top w:w="80" w:type="dxa"/>
              <w:bottom w:w="80" w:type="dxa"/>
              <w:left w:w="120" w:type="dxa"/>
              <w:right w:w="120" w:type="dxa"/>
            </w:tcMar>
          </w:tcPr>
          <w:p>
            <w:pPr>
              <w:spacing w:before="40" w:after="40"/>
              <w:jc w:val="left"/>
            </w:pPr>
            <w:r>
              <w:rPr>
                <w:rFonts w:ascii="Calibri" w:hAnsi="Calibri"/>
                <w:b/>
                <w:color w:val="1E293B"/>
                <w:sz w:val="17"/>
              </w:rPr>
              <w:t>Dedicated VRAM</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15,109 MiB (14.75 GiB) per GPU; 30,218 MiB Total</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PyTorch CUDA Runtime Telemetry</w:t>
            </w:r>
          </w:p>
        </w:tc>
      </w:tr>
      <w:tr>
        <w:trPr>
          <w:cantSplit/>
        </w:trPr>
        <w:tc>
          <w:tcPr>
            <w:tcW w:type="dxa" w:w="3120"/>
            <w:shd w:fill="F8FAFC"/>
            <w:tcMar>
              <w:top w:w="80" w:type="dxa"/>
              <w:bottom w:w="80" w:type="dxa"/>
              <w:left w:w="120" w:type="dxa"/>
              <w:right w:w="120" w:type="dxa"/>
            </w:tcMar>
          </w:tcPr>
          <w:p>
            <w:pPr>
              <w:spacing w:before="40" w:after="40"/>
              <w:jc w:val="left"/>
            </w:pPr>
            <w:r>
              <w:rPr>
                <w:rFonts w:ascii="Calibri" w:hAnsi="Calibri"/>
                <w:b/>
                <w:color w:val="1E293B"/>
                <w:sz w:val="17"/>
              </w:rPr>
              <w:t>Host System Architecture</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Kaggle Cloud Virtual Environment (Ubuntu 22.04 LTS, Python 3.10.12, PyTorch 2.5.1+cu121, Dual NVIDIA Tesla T4 16GB GPUs)</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Kaggle Cloud Runtime Specification</w:t>
            </w:r>
          </w:p>
        </w:tc>
      </w:tr>
      <w:tr>
        <w:trPr>
          <w:cantSplit/>
        </w:trPr>
        <w:tc>
          <w:tcPr>
            <w:tcW w:type="dxa" w:w="3120"/>
            <w:tcMar>
              <w:top w:w="80" w:type="dxa"/>
              <w:bottom w:w="80" w:type="dxa"/>
              <w:left w:w="120" w:type="dxa"/>
              <w:right w:w="120" w:type="dxa"/>
            </w:tcMar>
          </w:tcPr>
          <w:p>
            <w:pPr>
              <w:spacing w:before="40" w:after="40"/>
              <w:jc w:val="left"/>
            </w:pPr>
            <w:r>
              <w:rPr>
                <w:rFonts w:ascii="Calibri" w:hAnsi="Calibri"/>
                <w:b/>
                <w:color w:val="1E293B"/>
                <w:sz w:val="17"/>
              </w:rPr>
              <w:t>Base Software Stack</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Python 3.10.12, PyTorch 2.5.1+cu121, Torchvision 0.20.1</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Environment Package Manifest</w:t>
            </w:r>
          </w:p>
        </w:tc>
      </w:tr>
      <w:tr>
        <w:trPr>
          <w:cantSplit/>
        </w:trPr>
        <w:tc>
          <w:tcPr>
            <w:tcW w:type="dxa" w:w="3120"/>
            <w:shd w:fill="F8FAFC"/>
            <w:tcMar>
              <w:top w:w="80" w:type="dxa"/>
              <w:bottom w:w="80" w:type="dxa"/>
              <w:left w:w="120" w:type="dxa"/>
              <w:right w:w="120" w:type="dxa"/>
            </w:tcMar>
          </w:tcPr>
          <w:p>
            <w:pPr>
              <w:spacing w:before="40" w:after="40"/>
              <w:jc w:val="left"/>
            </w:pPr>
            <w:r>
              <w:rPr>
                <w:rFonts w:ascii="Calibri" w:hAnsi="Calibri"/>
                <w:b/>
                <w:color w:val="1E293B"/>
                <w:sz w:val="17"/>
              </w:rPr>
              <w:t>DenseNet-121 File Size</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28,451,233 bytes (27.13 MiB)</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 xml:space="preserve">Physical file </w:t>
            </w:r>
            <w:r>
              <w:rPr>
                <w:rFonts w:ascii="Courier New" w:hAnsi="Courier New"/>
                <w:color w:val="1E293B"/>
                <w:sz w:val="16"/>
              </w:rPr>
              <w:t>/root/tb_results_v9/best_tb_conformal_model.pth</w:t>
            </w:r>
          </w:p>
        </w:tc>
      </w:tr>
      <w:tr>
        <w:trPr>
          <w:cantSplit/>
        </w:trPr>
        <w:tc>
          <w:tcPr>
            <w:tcW w:type="dxa" w:w="3120"/>
            <w:tcMar>
              <w:top w:w="80" w:type="dxa"/>
              <w:bottom w:w="80" w:type="dxa"/>
              <w:left w:w="120" w:type="dxa"/>
              <w:right w:w="120" w:type="dxa"/>
            </w:tcMar>
          </w:tcPr>
          <w:p>
            <w:pPr>
              <w:spacing w:before="40" w:after="40"/>
              <w:jc w:val="left"/>
            </w:pPr>
            <w:r>
              <w:rPr>
                <w:rFonts w:ascii="Calibri" w:hAnsi="Calibri"/>
                <w:b/>
                <w:color w:val="1E293B"/>
                <w:sz w:val="17"/>
              </w:rPr>
              <w:t>Model Weight Checksum</w:t>
            </w:r>
          </w:p>
        </w:tc>
        <w:tc>
          <w:tcPr>
            <w:tcW w:type="dxa" w:w="3120"/>
            <w:tcMar>
              <w:top w:w="80" w:type="dxa"/>
              <w:bottom w:w="80" w:type="dxa"/>
              <w:left w:w="120" w:type="dxa"/>
              <w:right w:w="120" w:type="dxa"/>
            </w:tcMar>
          </w:tcPr>
          <w:p>
            <w:pPr>
              <w:spacing w:before="40" w:after="40"/>
              <w:jc w:val="center"/>
            </w:pPr>
            <w:r>
              <w:rPr>
                <w:rFonts w:ascii="Courier New" w:hAnsi="Courier New"/>
                <w:color w:val="1E293B"/>
                <w:sz w:val="16"/>
              </w:rPr>
              <w:t>d461fe07975e5d602f6911dc33f084f854721aefb9a6d41736bdb3d93bfb2a0f</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SHA-256 Cryptographic Hash</w:t>
            </w:r>
          </w:p>
        </w:tc>
      </w:tr>
      <w:tr>
        <w:trPr>
          <w:cantSplit/>
        </w:trPr>
        <w:tc>
          <w:tcPr>
            <w:tcW w:type="dxa" w:w="3120"/>
            <w:shd w:fill="F8FAFC"/>
            <w:tcMar>
              <w:top w:w="80" w:type="dxa"/>
              <w:bottom w:w="80" w:type="dxa"/>
              <w:left w:w="120" w:type="dxa"/>
              <w:right w:w="120" w:type="dxa"/>
            </w:tcMar>
          </w:tcPr>
          <w:p>
            <w:pPr>
              <w:spacing w:before="40" w:after="40"/>
              <w:jc w:val="left"/>
            </w:pPr>
            <w:r>
              <w:rPr>
                <w:rFonts w:ascii="Calibri" w:hAnsi="Calibri"/>
                <w:b/>
                <w:color w:val="1E293B"/>
                <w:sz w:val="17"/>
              </w:rPr>
              <w:t>Total Registered Tensors</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7,039,675 parameters (6,955,906 trainable weights/biases; 83,769 BatchNorm buffers)</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Checkpoint stat</w:t>
            </w:r>
            <w:r>
              <w:rPr>
                <w:rFonts w:ascii="Calibri" w:hAnsi="Calibri"/>
                <w:color w:val="1E293B"/>
                <w:sz w:val="17"/>
              </w:rPr>
              <w:t>e</w:t>
            </w:r>
            <w:r>
              <w:rPr>
                <w:rFonts w:ascii="Calibri" w:hAnsi="Calibri"/>
                <w:color w:val="1E293B"/>
                <w:sz w:val="17"/>
                <w:vertAlign w:val="subscript"/>
              </w:rPr>
              <w:t>dict</w:t>
            </w:r>
            <w:r>
              <w:rPr>
                <w:rFonts w:ascii="Calibri" w:hAnsi="Calibri"/>
                <w:color w:val="1E293B"/>
                <w:sz w:val="17"/>
              </w:rPr>
              <w:t xml:space="preserve"> introspection</w:t>
            </w:r>
          </w:p>
        </w:tc>
      </w:tr>
      <w:tr>
        <w:trPr>
          <w:cantSplit/>
        </w:trPr>
        <w:tc>
          <w:tcPr>
            <w:tcW w:type="dxa" w:w="3120"/>
            <w:tcMar>
              <w:top w:w="80" w:type="dxa"/>
              <w:bottom w:w="80" w:type="dxa"/>
              <w:left w:w="120" w:type="dxa"/>
              <w:right w:w="120" w:type="dxa"/>
            </w:tcMar>
          </w:tcPr>
          <w:p>
            <w:pPr>
              <w:spacing w:before="40" w:after="40"/>
              <w:jc w:val="left"/>
            </w:pPr>
            <w:r>
              <w:rPr>
                <w:rFonts w:ascii="Calibri" w:hAnsi="Calibri"/>
                <w:b/>
                <w:color w:val="1E293B"/>
                <w:sz w:val="17"/>
              </w:rPr>
              <w:t>Theoretical FLOPs (512x512)</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5.72 GFLOPs (2.86 GMACs per single-image forward pass)</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DenseNet-121 architectural profiling</w:t>
            </w:r>
          </w:p>
        </w:tc>
      </w:tr>
      <w:tr>
        <w:trPr>
          <w:cantSplit/>
        </w:trPr>
        <w:tc>
          <w:tcPr>
            <w:tcW w:type="dxa" w:w="3120"/>
            <w:shd w:fill="F8FAFC"/>
            <w:tcMar>
              <w:top w:w="80" w:type="dxa"/>
              <w:bottom w:w="80" w:type="dxa"/>
              <w:left w:w="120" w:type="dxa"/>
              <w:right w:w="120" w:type="dxa"/>
            </w:tcMar>
          </w:tcPr>
          <w:p>
            <w:pPr>
              <w:spacing w:before="40" w:after="40"/>
              <w:jc w:val="left"/>
            </w:pPr>
            <w:r>
              <w:rPr>
                <w:rFonts w:ascii="Calibri" w:hAnsi="Calibri"/>
                <w:b/>
                <w:color w:val="1E293B"/>
                <w:sz w:val="17"/>
              </w:rPr>
              <w:t>Training Duration (v9)</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2,715.6 seconds (45.26 minutes across 3 fine-tuning epochs)</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Kaggle Cloud Training Runtime Log</w:t>
            </w:r>
          </w:p>
        </w:tc>
      </w:tr>
      <w:tr>
        <w:trPr>
          <w:cantSplit/>
        </w:trPr>
        <w:tc>
          <w:tcPr>
            <w:tcW w:type="dxa" w:w="3120"/>
            <w:tcMar>
              <w:top w:w="80" w:type="dxa"/>
              <w:bottom w:w="80" w:type="dxa"/>
              <w:left w:w="120" w:type="dxa"/>
              <w:right w:w="120" w:type="dxa"/>
            </w:tcMar>
          </w:tcPr>
          <w:p>
            <w:pPr>
              <w:spacing w:before="40" w:after="40"/>
              <w:jc w:val="left"/>
            </w:pPr>
            <w:r>
              <w:rPr>
                <w:rFonts w:ascii="Calibri" w:hAnsi="Calibri"/>
                <w:b/>
                <w:color w:val="1E293B"/>
                <w:sz w:val="17"/>
              </w:rPr>
              <w:t>India Blind Test Latency</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25.24 seconds total execution (162.8 ms per CXR on Dual T4)</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Blind Evaluation Runtime Log</w:t>
            </w:r>
          </w:p>
        </w:tc>
      </w:tr>
      <w:tr>
        <w:trPr>
          <w:cantSplit/>
        </w:trPr>
        <w:tc>
          <w:tcPr>
            <w:tcW w:type="dxa" w:w="3120"/>
            <w:shd w:fill="F8FAFC"/>
            <w:tcMar>
              <w:top w:w="80" w:type="dxa"/>
              <w:bottom w:w="80" w:type="dxa"/>
              <w:left w:w="120" w:type="dxa"/>
              <w:right w:w="120" w:type="dxa"/>
            </w:tcMar>
          </w:tcPr>
          <w:p>
            <w:pPr>
              <w:spacing w:before="40" w:after="40"/>
              <w:jc w:val="left"/>
            </w:pPr>
            <w:r>
              <w:rPr>
                <w:rFonts w:ascii="Calibri" w:hAnsi="Calibri"/>
                <w:b/>
                <w:color w:val="1E293B"/>
                <w:sz w:val="17"/>
              </w:rPr>
              <w:t>CPU-Only Inference Latency</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104.2 ms per CXR (Intel Xeon 2.20 GHz equivalent)</w:t>
            </w:r>
          </w:p>
        </w:tc>
        <w:tc>
          <w:tcPr>
            <w:tcW w:type="dxa" w:w="3120"/>
            <w:shd w:fill="F8FAFC"/>
            <w:tcMar>
              <w:top w:w="80" w:type="dxa"/>
              <w:bottom w:w="80" w:type="dxa"/>
              <w:left w:w="120" w:type="dxa"/>
              <w:right w:w="120" w:type="dxa"/>
            </w:tcMar>
          </w:tcPr>
          <w:p>
            <w:pPr>
              <w:spacing w:before="40" w:after="40"/>
              <w:jc w:val="center"/>
            </w:pPr>
            <w:r>
              <w:rPr>
                <w:rFonts w:ascii="Calibri" w:hAnsi="Calibri"/>
                <w:color w:val="1E293B"/>
                <w:sz w:val="17"/>
              </w:rPr>
              <w:t>Local Microservice Benchmark Log</w:t>
            </w:r>
          </w:p>
        </w:tc>
      </w:tr>
      <w:tr>
        <w:trPr>
          <w:cantSplit/>
        </w:trPr>
        <w:tc>
          <w:tcPr>
            <w:tcW w:type="dxa" w:w="3120"/>
            <w:tcMar>
              <w:top w:w="80" w:type="dxa"/>
              <w:bottom w:w="80" w:type="dxa"/>
              <w:left w:w="120" w:type="dxa"/>
              <w:right w:w="120" w:type="dxa"/>
            </w:tcMar>
          </w:tcPr>
          <w:p>
            <w:pPr>
              <w:spacing w:before="40" w:after="40"/>
              <w:jc w:val="left"/>
            </w:pPr>
            <w:r>
              <w:rPr>
                <w:rFonts w:ascii="Calibri" w:hAnsi="Calibri"/>
                <w:b/>
                <w:color w:val="1E293B"/>
                <w:sz w:val="17"/>
              </w:rPr>
              <w:t>RAM Footprint at Inference</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Microservice process memory footprint: 348 MiB resident set size (RSS) under containerized FastAPI runtime</w:t>
            </w:r>
          </w:p>
        </w:tc>
        <w:tc>
          <w:tcPr>
            <w:tcW w:type="dxa" w:w="3120"/>
            <w:tcMar>
              <w:top w:w="80" w:type="dxa"/>
              <w:bottom w:w="80" w:type="dxa"/>
              <w:left w:w="120" w:type="dxa"/>
              <w:right w:w="120" w:type="dxa"/>
            </w:tcMar>
          </w:tcPr>
          <w:p>
            <w:pPr>
              <w:spacing w:before="40" w:after="40"/>
              <w:jc w:val="center"/>
            </w:pPr>
            <w:r>
              <w:rPr>
                <w:rFonts w:ascii="Calibri" w:hAnsi="Calibri"/>
                <w:color w:val="1E293B"/>
                <w:sz w:val="17"/>
              </w:rPr>
              <w:t>Microservice Process Memory Audit</w:t>
            </w:r>
          </w:p>
        </w:tc>
      </w:tr>
    </w:tbl>
    <w:p>
      <w:pPr>
        <w:spacing w:before="80" w:after="120"/>
      </w:pPr>
    </w:p>
    <w:p>
      <w:pPr>
        <w:pStyle w:val="Heading3"/>
        <w:spacing w:before="200" w:after="80"/>
      </w:pPr>
      <w:r>
        <w:rPr>
          <w:rFonts w:ascii="Calibri" w:hAnsi="Calibri"/>
          <w:b/>
          <w:color w:val="1B365D"/>
          <w:sz w:val="22"/>
        </w:rPr>
        <w:t>Table S4: Institutional Site Classification Linear Probe Confusion Matrix (N=760)</w:t>
      </w:r>
    </w:p>
    <w:p>
      <w:pPr>
        <w:spacing w:before="0" w:after="80" w:line="276" w:lineRule="auto"/>
      </w:pPr>
      <w:r>
        <w:rPr>
          <w:rFonts w:ascii="Calibri" w:hAnsi="Calibri"/>
          <w:color w:val="1E293B"/>
          <w:sz w:val="20"/>
        </w:rPr>
        <w:t>*5-Fold Stratified Cross-Validation on Penultimate 1024-d Latent Representations (Overall Top-1 Accuracy: 98.95% [752/760]; Macro-AUROC: 0.9999; Random Chance Baseline: 16.67%).*</w:t>
      </w:r>
    </w:p>
    <w:tbl>
      <w:tblPr>
        <w:tblW w:type="auto" w:w="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shd w:fill="F1F5F9"/>
            <w:tcMar>
              <w:top w:w="90" w:type="dxa"/>
              <w:bottom w:w="90" w:type="dxa"/>
              <w:left w:w="120" w:type="dxa"/>
              <w:right w:w="120" w:type="dxa"/>
            </w:tcMar>
          </w:tcPr>
          <w:p>
            <w:pPr>
              <w:spacing w:before="60" w:after="60"/>
              <w:jc w:val="center"/>
            </w:pPr>
            <w:r>
              <w:rPr>
                <w:rFonts w:ascii="Calibri" w:hAnsi="Calibri"/>
                <w:b/>
                <w:color w:val="1B365D"/>
                <w:sz w:val="18"/>
              </w:rPr>
              <w:t>Ground Truth Institution</w:t>
            </w:r>
          </w:p>
        </w:tc>
        <w:tc>
          <w:tcPr>
            <w:tcW w:type="dxa" w:w="1040"/>
            <w:shd w:fill="F1F5F9"/>
            <w:tcMar>
              <w:top w:w="90" w:type="dxa"/>
              <w:bottom w:w="90" w:type="dxa"/>
              <w:left w:w="120" w:type="dxa"/>
              <w:right w:w="120" w:type="dxa"/>
            </w:tcMar>
          </w:tcPr>
          <w:p>
            <w:pPr>
              <w:spacing w:before="60" w:after="60"/>
              <w:jc w:val="center"/>
            </w:pPr>
            <w:r>
              <w:rPr>
                <w:rFonts w:ascii="Calibri" w:hAnsi="Calibri"/>
                <w:b/>
                <w:color w:val="1B365D"/>
                <w:sz w:val="18"/>
              </w:rPr>
              <w:t>Pred: TBX11K</w:t>
            </w:r>
          </w:p>
        </w:tc>
        <w:tc>
          <w:tcPr>
            <w:tcW w:type="dxa" w:w="1040"/>
            <w:shd w:fill="F1F5F9"/>
            <w:tcMar>
              <w:top w:w="90" w:type="dxa"/>
              <w:bottom w:w="90" w:type="dxa"/>
              <w:left w:w="120" w:type="dxa"/>
              <w:right w:w="120" w:type="dxa"/>
            </w:tcMar>
          </w:tcPr>
          <w:p>
            <w:pPr>
              <w:spacing w:before="60" w:after="60"/>
              <w:jc w:val="center"/>
            </w:pPr>
            <w:r>
              <w:rPr>
                <w:rFonts w:ascii="Calibri" w:hAnsi="Calibri"/>
                <w:b/>
                <w:color w:val="1B365D"/>
                <w:sz w:val="18"/>
              </w:rPr>
              <w:t>Pred: Shenzhen</w:t>
            </w:r>
          </w:p>
        </w:tc>
        <w:tc>
          <w:tcPr>
            <w:tcW w:type="dxa" w:w="1040"/>
            <w:shd w:fill="F1F5F9"/>
            <w:tcMar>
              <w:top w:w="90" w:type="dxa"/>
              <w:bottom w:w="90" w:type="dxa"/>
              <w:left w:w="120" w:type="dxa"/>
              <w:right w:w="120" w:type="dxa"/>
            </w:tcMar>
          </w:tcPr>
          <w:p>
            <w:pPr>
              <w:spacing w:before="60" w:after="60"/>
              <w:jc w:val="center"/>
            </w:pPr>
            <w:r>
              <w:rPr>
                <w:rFonts w:ascii="Calibri" w:hAnsi="Calibri"/>
                <w:b/>
                <w:color w:val="1B365D"/>
                <w:sz w:val="18"/>
              </w:rPr>
              <w:t>Pred: Montgomery</w:t>
            </w:r>
          </w:p>
        </w:tc>
        <w:tc>
          <w:tcPr>
            <w:tcW w:type="dxa" w:w="1040"/>
            <w:shd w:fill="F1F5F9"/>
            <w:tcMar>
              <w:top w:w="90" w:type="dxa"/>
              <w:bottom w:w="90" w:type="dxa"/>
              <w:left w:w="120" w:type="dxa"/>
              <w:right w:w="120" w:type="dxa"/>
            </w:tcMar>
          </w:tcPr>
          <w:p>
            <w:pPr>
              <w:spacing w:before="60" w:after="60"/>
              <w:jc w:val="center"/>
            </w:pPr>
            <w:r>
              <w:rPr>
                <w:rFonts w:ascii="Calibri" w:hAnsi="Calibri"/>
                <w:b/>
                <w:color w:val="1B365D"/>
                <w:sz w:val="18"/>
              </w:rPr>
              <w:t>Pred: Belarus</w:t>
            </w:r>
          </w:p>
        </w:tc>
        <w:tc>
          <w:tcPr>
            <w:tcW w:type="dxa" w:w="1040"/>
            <w:shd w:fill="F1F5F9"/>
            <w:tcMar>
              <w:top w:w="90" w:type="dxa"/>
              <w:bottom w:w="90" w:type="dxa"/>
              <w:left w:w="120" w:type="dxa"/>
              <w:right w:w="120" w:type="dxa"/>
            </w:tcMar>
          </w:tcPr>
          <w:p>
            <w:pPr>
              <w:spacing w:before="60" w:after="60"/>
              <w:jc w:val="center"/>
            </w:pPr>
            <w:r>
              <w:rPr>
                <w:rFonts w:ascii="Calibri" w:hAnsi="Calibri"/>
                <w:b/>
                <w:color w:val="1B365D"/>
                <w:sz w:val="18"/>
              </w:rPr>
              <w:t>Pred: RSNA</w:t>
            </w:r>
          </w:p>
        </w:tc>
        <w:tc>
          <w:tcPr>
            <w:tcW w:type="dxa" w:w="1040"/>
            <w:shd w:fill="F1F5F9"/>
            <w:tcMar>
              <w:top w:w="90" w:type="dxa"/>
              <w:bottom w:w="90" w:type="dxa"/>
              <w:left w:w="120" w:type="dxa"/>
              <w:right w:w="120" w:type="dxa"/>
            </w:tcMar>
          </w:tcPr>
          <w:p>
            <w:pPr>
              <w:spacing w:before="60" w:after="60"/>
              <w:jc w:val="center"/>
            </w:pPr>
            <w:r>
              <w:rPr>
                <w:rFonts w:ascii="Calibri" w:hAnsi="Calibri"/>
                <w:b/>
                <w:color w:val="1B365D"/>
                <w:sz w:val="18"/>
              </w:rPr>
              <w:t>Pred: India</w:t>
            </w:r>
          </w:p>
        </w:tc>
        <w:tc>
          <w:tcPr>
            <w:tcW w:type="dxa" w:w="1040"/>
            <w:shd w:fill="F1F5F9"/>
            <w:tcMar>
              <w:top w:w="90" w:type="dxa"/>
              <w:bottom w:w="90" w:type="dxa"/>
              <w:left w:w="120" w:type="dxa"/>
              <w:right w:w="120" w:type="dxa"/>
            </w:tcMar>
          </w:tcPr>
          <w:p>
            <w:pPr>
              <w:spacing w:before="60" w:after="60"/>
              <w:jc w:val="center"/>
            </w:pPr>
            <w:r>
              <w:rPr>
                <w:rFonts w:ascii="Calibri" w:hAnsi="Calibri"/>
                <w:b/>
                <w:color w:val="1B365D"/>
                <w:sz w:val="18"/>
              </w:rPr>
              <w:t>Total Audited</w:t>
            </w:r>
          </w:p>
        </w:tc>
        <w:tc>
          <w:tcPr>
            <w:tcW w:type="dxa" w:w="1040"/>
            <w:shd w:fill="F1F5F9"/>
            <w:tcMar>
              <w:top w:w="90" w:type="dxa"/>
              <w:bottom w:w="90" w:type="dxa"/>
              <w:left w:w="120" w:type="dxa"/>
              <w:right w:w="120" w:type="dxa"/>
            </w:tcMar>
          </w:tcPr>
          <w:p>
            <w:pPr>
              <w:spacing w:before="60" w:after="60"/>
              <w:jc w:val="center"/>
            </w:pPr>
            <w:r>
              <w:rPr>
                <w:rFonts w:ascii="Calibri" w:hAnsi="Calibri"/>
                <w:b/>
                <w:color w:val="1B365D"/>
                <w:sz w:val="18"/>
              </w:rPr>
              <w:t>Recall (%)</w:t>
            </w:r>
          </w:p>
        </w:tc>
      </w:tr>
      <w:tr>
        <w:trPr>
          <w:cantSplit/>
        </w:trPr>
        <w:tc>
          <w:tcPr>
            <w:tcW w:type="dxa" w:w="1040"/>
            <w:tcMar>
              <w:top w:w="80" w:type="dxa"/>
              <w:bottom w:w="80" w:type="dxa"/>
              <w:left w:w="120" w:type="dxa"/>
              <w:right w:w="120" w:type="dxa"/>
            </w:tcMar>
          </w:tcPr>
          <w:p>
            <w:pPr>
              <w:spacing w:before="40" w:after="40"/>
              <w:jc w:val="left"/>
            </w:pPr>
            <w:r>
              <w:rPr>
                <w:rFonts w:ascii="Calibri" w:hAnsi="Calibri"/>
                <w:b/>
                <w:color w:val="1E293B"/>
                <w:sz w:val="17"/>
              </w:rPr>
              <w:t>TBX11K Beijing (China)</w:t>
            </w:r>
          </w:p>
        </w:tc>
        <w:tc>
          <w:tcPr>
            <w:tcW w:type="dxa" w:w="1040"/>
            <w:tcMar>
              <w:top w:w="80" w:type="dxa"/>
              <w:bottom w:w="80" w:type="dxa"/>
              <w:left w:w="120" w:type="dxa"/>
              <w:right w:w="120" w:type="dxa"/>
            </w:tcMar>
          </w:tcPr>
          <w:p>
            <w:pPr>
              <w:spacing w:before="40" w:after="40"/>
              <w:jc w:val="center"/>
            </w:pPr>
            <w:r>
              <w:rPr>
                <w:rFonts w:ascii="Calibri" w:hAnsi="Calibri"/>
                <w:b/>
                <w:color w:val="1E293B"/>
                <w:sz w:val="17"/>
              </w:rPr>
              <w:t>73</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2</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75</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97.33%</w:t>
            </w:r>
          </w:p>
        </w:tc>
      </w:tr>
      <w:tr>
        <w:trPr>
          <w:cantSplit/>
        </w:trPr>
        <w:tc>
          <w:tcPr>
            <w:tcW w:type="dxa" w:w="1040"/>
            <w:shd w:fill="F8FAFC"/>
            <w:tcMar>
              <w:top w:w="80" w:type="dxa"/>
              <w:bottom w:w="80" w:type="dxa"/>
              <w:left w:w="120" w:type="dxa"/>
              <w:right w:w="120" w:type="dxa"/>
            </w:tcMar>
          </w:tcPr>
          <w:p>
            <w:pPr>
              <w:spacing w:before="40" w:after="40"/>
              <w:jc w:val="left"/>
            </w:pPr>
            <w:r>
              <w:rPr>
                <w:rFonts w:ascii="Calibri" w:hAnsi="Calibri"/>
                <w:b/>
                <w:color w:val="1E293B"/>
                <w:sz w:val="17"/>
              </w:rPr>
              <w:t>Shenzhen Hospital (China)</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1</w:t>
            </w:r>
          </w:p>
        </w:tc>
        <w:tc>
          <w:tcPr>
            <w:tcW w:type="dxa" w:w="1040"/>
            <w:shd w:fill="F8FAFC"/>
            <w:tcMar>
              <w:top w:w="80" w:type="dxa"/>
              <w:bottom w:w="80" w:type="dxa"/>
              <w:left w:w="120" w:type="dxa"/>
              <w:right w:w="120" w:type="dxa"/>
            </w:tcMar>
          </w:tcPr>
          <w:p>
            <w:pPr>
              <w:spacing w:before="40" w:after="40"/>
              <w:jc w:val="center"/>
            </w:pPr>
            <w:r>
              <w:rPr>
                <w:rFonts w:ascii="Calibri" w:hAnsi="Calibri"/>
                <w:b/>
                <w:color w:val="1E293B"/>
                <w:sz w:val="17"/>
              </w:rPr>
              <w:t>149</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150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99.33%</w:t>
            </w:r>
          </w:p>
        </w:tc>
      </w:tr>
      <w:tr>
        <w:trPr>
          <w:cantSplit/>
        </w:trPr>
        <w:tc>
          <w:tcPr>
            <w:tcW w:type="dxa" w:w="1040"/>
            <w:tcMar>
              <w:top w:w="80" w:type="dxa"/>
              <w:bottom w:w="80" w:type="dxa"/>
              <w:left w:w="120" w:type="dxa"/>
              <w:right w:w="120" w:type="dxa"/>
            </w:tcMar>
          </w:tcPr>
          <w:p>
            <w:pPr>
              <w:spacing w:before="40" w:after="40"/>
              <w:jc w:val="left"/>
            </w:pPr>
            <w:r>
              <w:rPr>
                <w:rFonts w:ascii="Calibri" w:hAnsi="Calibri"/>
                <w:b/>
                <w:color w:val="1E293B"/>
                <w:sz w:val="17"/>
              </w:rPr>
              <w:t>Montgomery County (USA)</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b/>
                <w:color w:val="1E293B"/>
                <w:sz w:val="17"/>
              </w:rPr>
              <w:t>80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80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100.00%</w:t>
            </w:r>
          </w:p>
        </w:tc>
      </w:tr>
      <w:tr>
        <w:trPr>
          <w:cantSplit/>
        </w:trPr>
        <w:tc>
          <w:tcPr>
            <w:tcW w:type="dxa" w:w="1040"/>
            <w:shd w:fill="F8FAFC"/>
            <w:tcMar>
              <w:top w:w="80" w:type="dxa"/>
              <w:bottom w:w="80" w:type="dxa"/>
              <w:left w:w="120" w:type="dxa"/>
              <w:right w:w="120" w:type="dxa"/>
            </w:tcMar>
          </w:tcPr>
          <w:p>
            <w:pPr>
              <w:spacing w:before="40" w:after="40"/>
              <w:jc w:val="left"/>
            </w:pPr>
            <w:r>
              <w:rPr>
                <w:rFonts w:ascii="Calibri" w:hAnsi="Calibri"/>
                <w:b/>
                <w:color w:val="1E293B"/>
                <w:sz w:val="17"/>
              </w:rPr>
              <w:t>Belarus TB Portal (Belarus)</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2</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1</w:t>
            </w:r>
          </w:p>
        </w:tc>
        <w:tc>
          <w:tcPr>
            <w:tcW w:type="dxa" w:w="1040"/>
            <w:shd w:fill="F8FAFC"/>
            <w:tcMar>
              <w:top w:w="80" w:type="dxa"/>
              <w:bottom w:w="80" w:type="dxa"/>
              <w:left w:w="120" w:type="dxa"/>
              <w:right w:w="120" w:type="dxa"/>
            </w:tcMar>
          </w:tcPr>
          <w:p>
            <w:pPr>
              <w:spacing w:before="40" w:after="40"/>
              <w:jc w:val="center"/>
            </w:pPr>
            <w:r>
              <w:rPr>
                <w:rFonts w:ascii="Calibri" w:hAnsi="Calibri"/>
                <w:b/>
                <w:color w:val="1E293B"/>
                <w:sz w:val="17"/>
              </w:rPr>
              <w:t>147</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150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98.00%</w:t>
            </w:r>
          </w:p>
        </w:tc>
      </w:tr>
      <w:tr>
        <w:trPr>
          <w:cantSplit/>
        </w:trPr>
        <w:tc>
          <w:tcPr>
            <w:tcW w:type="dxa" w:w="1040"/>
            <w:tcMar>
              <w:top w:w="80" w:type="dxa"/>
              <w:bottom w:w="80" w:type="dxa"/>
              <w:left w:w="120" w:type="dxa"/>
              <w:right w:w="120" w:type="dxa"/>
            </w:tcMar>
          </w:tcPr>
          <w:p>
            <w:pPr>
              <w:spacing w:before="40" w:after="40"/>
              <w:jc w:val="left"/>
            </w:pPr>
            <w:r>
              <w:rPr>
                <w:rFonts w:ascii="Calibri" w:hAnsi="Calibri"/>
                <w:b/>
                <w:color w:val="1E293B"/>
                <w:sz w:val="17"/>
              </w:rPr>
              <w:t>RSNA Controls (USA)</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1</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1</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b/>
                <w:color w:val="1E293B"/>
                <w:sz w:val="17"/>
              </w:rPr>
              <w:t>148</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150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98.67%</w:t>
            </w:r>
          </w:p>
        </w:tc>
      </w:tr>
      <w:tr>
        <w:trPr>
          <w:cantSplit/>
        </w:trPr>
        <w:tc>
          <w:tcPr>
            <w:tcW w:type="dxa" w:w="1040"/>
            <w:shd w:fill="F8FAFC"/>
            <w:tcMar>
              <w:top w:w="80" w:type="dxa"/>
              <w:bottom w:w="80" w:type="dxa"/>
              <w:left w:w="120" w:type="dxa"/>
              <w:right w:w="120" w:type="dxa"/>
            </w:tcMar>
          </w:tcPr>
          <w:p>
            <w:pPr>
              <w:spacing w:before="40" w:after="40"/>
              <w:jc w:val="left"/>
            </w:pPr>
            <w:r>
              <w:rPr>
                <w:rFonts w:ascii="Calibri" w:hAnsi="Calibri"/>
                <w:b/>
                <w:color w:val="1E293B"/>
                <w:sz w:val="17"/>
              </w:rPr>
              <w:t>Solan District Hospital (India)</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040"/>
            <w:shd w:fill="F8FAFC"/>
            <w:tcMar>
              <w:top w:w="80" w:type="dxa"/>
              <w:bottom w:w="80" w:type="dxa"/>
              <w:left w:w="120" w:type="dxa"/>
              <w:right w:w="120" w:type="dxa"/>
            </w:tcMar>
          </w:tcPr>
          <w:p>
            <w:pPr>
              <w:spacing w:before="40" w:after="40"/>
              <w:jc w:val="center"/>
            </w:pPr>
            <w:r>
              <w:rPr>
                <w:rFonts w:ascii="Calibri" w:hAnsi="Calibri"/>
                <w:b/>
                <w:color w:val="1E293B"/>
                <w:sz w:val="17"/>
              </w:rPr>
              <w:t>155</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155</w:t>
            </w:r>
          </w:p>
        </w:tc>
        <w:tc>
          <w:tcPr>
            <w:tcW w:type="dxa" w:w="1040"/>
            <w:shd w:fill="F8FAFC"/>
            <w:tcMar>
              <w:top w:w="80" w:type="dxa"/>
              <w:bottom w:w="80" w:type="dxa"/>
              <w:left w:w="120" w:type="dxa"/>
              <w:right w:w="120" w:type="dxa"/>
            </w:tcMar>
          </w:tcPr>
          <w:p>
            <w:pPr>
              <w:spacing w:before="40" w:after="40"/>
              <w:jc w:val="center"/>
            </w:pPr>
            <w:r>
              <w:rPr>
                <w:rFonts w:ascii="Calibri" w:hAnsi="Calibri"/>
                <w:color w:val="1E293B"/>
                <w:sz w:val="17"/>
              </w:rPr>
              <w:t>100.00%</w:t>
            </w:r>
          </w:p>
        </w:tc>
      </w:tr>
      <w:tr>
        <w:trPr>
          <w:cantSplit/>
        </w:trPr>
        <w:tc>
          <w:tcPr>
            <w:tcW w:type="dxa" w:w="1040"/>
            <w:tcMar>
              <w:top w:w="80" w:type="dxa"/>
              <w:bottom w:w="80" w:type="dxa"/>
              <w:left w:w="120" w:type="dxa"/>
              <w:right w:w="120" w:type="dxa"/>
            </w:tcMar>
          </w:tcPr>
          <w:p>
            <w:pPr>
              <w:spacing w:before="40" w:after="40"/>
              <w:jc w:val="left"/>
            </w:pPr>
            <w:r>
              <w:rPr>
                <w:rFonts w:ascii="Calibri" w:hAnsi="Calibri"/>
                <w:b/>
                <w:color w:val="1E293B"/>
                <w:sz w:val="17"/>
              </w:rPr>
              <w:t>Total Predicted</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75</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152</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81</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147</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150</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155</w:t>
            </w:r>
          </w:p>
        </w:tc>
        <w:tc>
          <w:tcPr>
            <w:tcW w:type="dxa" w:w="1040"/>
            <w:tcMar>
              <w:top w:w="80" w:type="dxa"/>
              <w:bottom w:w="80" w:type="dxa"/>
              <w:left w:w="120" w:type="dxa"/>
              <w:right w:w="120" w:type="dxa"/>
            </w:tcMar>
          </w:tcPr>
          <w:p>
            <w:pPr>
              <w:spacing w:before="40" w:after="40"/>
              <w:jc w:val="center"/>
            </w:pPr>
            <w:r>
              <w:rPr>
                <w:rFonts w:ascii="Calibri" w:hAnsi="Calibri"/>
                <w:color w:val="1E293B"/>
                <w:sz w:val="17"/>
              </w:rPr>
              <w:t>760</w:t>
            </w:r>
          </w:p>
        </w:tc>
        <w:tc>
          <w:tcPr>
            <w:tcW w:type="dxa" w:w="1040"/>
            <w:tcMar>
              <w:top w:w="80" w:type="dxa"/>
              <w:bottom w:w="80" w:type="dxa"/>
              <w:left w:w="120" w:type="dxa"/>
              <w:right w:w="120" w:type="dxa"/>
            </w:tcMar>
          </w:tcPr>
          <w:p>
            <w:pPr>
              <w:spacing w:before="40" w:after="40"/>
              <w:jc w:val="center"/>
            </w:pPr>
            <w:r>
              <w:rPr>
                <w:rFonts w:ascii="Calibri" w:hAnsi="Calibri"/>
                <w:b/>
                <w:color w:val="1E293B"/>
                <w:sz w:val="17"/>
              </w:rPr>
              <w:t>98.95%</w:t>
            </w:r>
          </w:p>
        </w:tc>
      </w:tr>
    </w:tbl>
    <w:p>
      <w:pPr>
        <w:spacing w:before="80" w:after="120"/>
      </w:pPr>
    </w:p>
    <w:p>
      <w:pPr>
        <w:spacing w:before="0" w:after="80" w:line="276" w:lineRule="auto"/>
      </w:pPr>
      <w:r>
        <w:rPr>
          <w:rFonts w:ascii="Calibri" w:hAnsi="Calibri"/>
          <w:color w:val="1E293B"/>
          <w:sz w:val="20"/>
        </w:rPr>
        <w:t>*Belarus site probability correlation with TB logit: r = +0.7205 (positive confounding shortcut).*</w:t>
      </w:r>
    </w:p>
    <w:p>
      <w:pPr>
        <w:spacing w:before="0" w:after="80" w:line="276" w:lineRule="auto"/>
      </w:pPr>
      <w:r>
        <w:rPr>
          <w:rFonts w:ascii="Calibri" w:hAnsi="Calibri"/>
          <w:color w:val="1E293B"/>
          <w:sz w:val="20"/>
        </w:rPr>
        <w:t>*RSNA site probability correlation with TB logit: r = -0.5050 (negative confounding shortcut).*</w:t>
      </w:r>
    </w:p>
    <w:p>
      <w:pPr>
        <w:pStyle w:val="Heading3"/>
        <w:spacing w:before="200" w:after="80"/>
      </w:pPr>
      <w:r>
        <w:rPr>
          <w:rFonts w:ascii="Calibri" w:hAnsi="Calibri"/>
          <w:b/>
          <w:color w:val="1B365D"/>
          <w:sz w:val="22"/>
        </w:rPr>
        <w:t>Table S5: Cross-Cohort Perceptual Hash Collision and Data Leakage Audit (N=760)</w:t>
      </w:r>
    </w:p>
    <w:p>
      <w:pPr>
        <w:spacing w:before="0" w:after="80" w:line="276" w:lineRule="auto"/>
      </w:pPr>
      <w:r>
        <w:rPr>
          <w:rFonts w:ascii="Calibri" w:hAnsi="Calibri"/>
          <w:color w:val="1E293B"/>
          <w:sz w:val="20"/>
        </w:rPr>
        <w:t>*Exhaustive all-against-all pairwise distance evaluation across 288,420 cross-center radiograph comparisons.*</w:t>
      </w:r>
    </w:p>
    <w:tbl>
      <w:tblPr>
        <w:tblW w:type="auto" w:w="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shd w:fill="F1F5F9"/>
            <w:tcMar>
              <w:top w:w="90" w:type="dxa"/>
              <w:bottom w:w="90" w:type="dxa"/>
              <w:left w:w="120" w:type="dxa"/>
              <w:right w:w="120" w:type="dxa"/>
            </w:tcMar>
          </w:tcPr>
          <w:p>
            <w:pPr>
              <w:spacing w:before="60" w:after="60"/>
              <w:jc w:val="center"/>
            </w:pPr>
            <w:r>
              <w:rPr>
                <w:rFonts w:ascii="Calibri" w:hAnsi="Calibri"/>
                <w:b/>
                <w:color w:val="1B365D"/>
                <w:sz w:val="18"/>
              </w:rPr>
              <w:t>Audited Repository Pair</w:t>
            </w:r>
          </w:p>
        </w:tc>
        <w:tc>
          <w:tcPr>
            <w:tcW w:type="dxa" w:w="1872"/>
            <w:shd w:fill="F1F5F9"/>
            <w:tcMar>
              <w:top w:w="90" w:type="dxa"/>
              <w:bottom w:w="90" w:type="dxa"/>
              <w:left w:w="120" w:type="dxa"/>
              <w:right w:w="120" w:type="dxa"/>
            </w:tcMar>
          </w:tcPr>
          <w:p>
            <w:pPr>
              <w:spacing w:before="60" w:after="60"/>
              <w:jc w:val="center"/>
            </w:pPr>
            <w:r>
              <w:rPr>
                <w:rFonts w:ascii="Calibri" w:hAnsi="Calibri"/>
                <w:b/>
                <w:color w:val="1B365D"/>
                <w:sz w:val="18"/>
              </w:rPr>
              <w:t>Evaluated Radiograph Pairs</w:t>
            </w:r>
          </w:p>
        </w:tc>
        <w:tc>
          <w:tcPr>
            <w:tcW w:type="dxa" w:w="1872"/>
            <w:shd w:fill="F1F5F9"/>
            <w:tcMar>
              <w:top w:w="90" w:type="dxa"/>
              <w:bottom w:w="90" w:type="dxa"/>
              <w:left w:w="120" w:type="dxa"/>
              <w:right w:w="120" w:type="dxa"/>
            </w:tcMar>
          </w:tcPr>
          <w:p>
            <w:pPr>
              <w:spacing w:before="60" w:after="60"/>
              <w:jc w:val="center"/>
            </w:pPr>
            <w:r>
              <w:rPr>
                <w:rFonts w:ascii="Calibri" w:hAnsi="Calibri"/>
                <w:b/>
                <w:color w:val="1B365D"/>
                <w:sz w:val="18"/>
              </w:rPr>
              <w:t>Permissive Candidates (dHash or pHash ≤ 4)</w:t>
            </w:r>
          </w:p>
        </w:tc>
        <w:tc>
          <w:tcPr>
            <w:tcW w:type="dxa" w:w="1872"/>
            <w:shd w:fill="F1F5F9"/>
            <w:tcMar>
              <w:top w:w="90" w:type="dxa"/>
              <w:bottom w:w="90" w:type="dxa"/>
              <w:left w:w="120" w:type="dxa"/>
              <w:right w:w="120" w:type="dxa"/>
            </w:tcMar>
          </w:tcPr>
          <w:p>
            <w:pPr>
              <w:spacing w:before="60" w:after="60"/>
              <w:jc w:val="center"/>
            </w:pPr>
            <w:r>
              <w:rPr>
                <w:rFonts w:ascii="Calibri" w:hAnsi="Calibri"/>
                <w:b/>
                <w:color w:val="1B365D"/>
                <w:sz w:val="18"/>
              </w:rPr>
              <w:t>Dual Strict Collisions (dHash ≤ 4 AND pHash ≤ 4)</w:t>
            </w:r>
          </w:p>
        </w:tc>
        <w:tc>
          <w:tcPr>
            <w:tcW w:type="dxa" w:w="1872"/>
            <w:shd w:fill="F1F5F9"/>
            <w:tcMar>
              <w:top w:w="90" w:type="dxa"/>
              <w:bottom w:w="90" w:type="dxa"/>
              <w:left w:w="120" w:type="dxa"/>
              <w:right w:w="120" w:type="dxa"/>
            </w:tcMar>
          </w:tcPr>
          <w:p>
            <w:pPr>
              <w:spacing w:before="60" w:after="60"/>
              <w:jc w:val="center"/>
            </w:pPr>
            <w:r>
              <w:rPr>
                <w:rFonts w:ascii="Calibri" w:hAnsi="Calibri"/>
                <w:b/>
                <w:color w:val="1B365D"/>
                <w:sz w:val="18"/>
              </w:rPr>
              <w:t>Empirical Data Leakage Rate</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India vs Shenzhen</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23,250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486</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shd w:fill="F8FAFC"/>
            <w:tcMar>
              <w:top w:w="80" w:type="dxa"/>
              <w:bottom w:w="80" w:type="dxa"/>
              <w:left w:w="120" w:type="dxa"/>
              <w:right w:w="120" w:type="dxa"/>
            </w:tcMar>
          </w:tcPr>
          <w:p>
            <w:pPr>
              <w:spacing w:before="40" w:after="40"/>
              <w:jc w:val="left"/>
            </w:pPr>
            <w:r>
              <w:rPr>
                <w:rFonts w:ascii="Calibri" w:hAnsi="Calibri"/>
                <w:b/>
                <w:color w:val="1E293B"/>
                <w:sz w:val="17"/>
              </w:rPr>
              <w:t>India vs TBX11K</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11,625</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241</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India vs Montgomery</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12,400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258</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shd w:fill="F8FAFC"/>
            <w:tcMar>
              <w:top w:w="80" w:type="dxa"/>
              <w:bottom w:w="80" w:type="dxa"/>
              <w:left w:w="120" w:type="dxa"/>
              <w:right w:w="120" w:type="dxa"/>
            </w:tcMar>
          </w:tcPr>
          <w:p>
            <w:pPr>
              <w:spacing w:before="40" w:after="40"/>
              <w:jc w:val="left"/>
            </w:pPr>
            <w:r>
              <w:rPr>
                <w:rFonts w:ascii="Calibri" w:hAnsi="Calibri"/>
                <w:b/>
                <w:color w:val="1E293B"/>
                <w:sz w:val="17"/>
              </w:rPr>
              <w:t>India vs Belarus</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23,250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479</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India vs RSNA</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23,250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490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shd w:fill="F8FAFC"/>
            <w:tcMar>
              <w:top w:w="80" w:type="dxa"/>
              <w:bottom w:w="80" w:type="dxa"/>
              <w:left w:w="120" w:type="dxa"/>
              <w:right w:w="120" w:type="dxa"/>
            </w:tcMar>
          </w:tcPr>
          <w:p>
            <w:pPr>
              <w:spacing w:before="40" w:after="40"/>
              <w:jc w:val="left"/>
            </w:pPr>
            <w:r>
              <w:rPr>
                <w:rFonts w:ascii="Calibri" w:hAnsi="Calibri"/>
                <w:b/>
                <w:color w:val="1E293B"/>
                <w:sz w:val="17"/>
              </w:rPr>
              <w:t>Shenzhen vs TBX11K</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11,250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112</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Shenzhen vs Montgomery</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12,000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124</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shd w:fill="F8FAFC"/>
            <w:tcMar>
              <w:top w:w="80" w:type="dxa"/>
              <w:bottom w:w="80" w:type="dxa"/>
              <w:left w:w="120" w:type="dxa"/>
              <w:right w:w="120" w:type="dxa"/>
            </w:tcMar>
          </w:tcPr>
          <w:p>
            <w:pPr>
              <w:spacing w:before="40" w:after="40"/>
              <w:jc w:val="left"/>
            </w:pPr>
            <w:r>
              <w:rPr>
                <w:rFonts w:ascii="Calibri" w:hAnsi="Calibri"/>
                <w:b/>
                <w:color w:val="1E293B"/>
                <w:sz w:val="17"/>
              </w:rPr>
              <w:t>Shenzhen vs Belarus</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22,500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118</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Shenzhen vs RSNA</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22,500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121</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shd w:fill="F8FAFC"/>
            <w:tcMar>
              <w:top w:w="80" w:type="dxa"/>
              <w:bottom w:w="80" w:type="dxa"/>
              <w:left w:w="120" w:type="dxa"/>
              <w:right w:w="120" w:type="dxa"/>
            </w:tcMar>
          </w:tcPr>
          <w:p>
            <w:pPr>
              <w:spacing w:before="40" w:after="40"/>
              <w:jc w:val="left"/>
            </w:pPr>
            <w:r>
              <w:rPr>
                <w:rFonts w:ascii="Calibri" w:hAnsi="Calibri"/>
                <w:b/>
                <w:color w:val="1E293B"/>
                <w:sz w:val="17"/>
              </w:rPr>
              <w:t>Montgomery vs TBX11K</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6,000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38</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Montgomery vs Belarus</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12,000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32</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shd w:fill="F8FAFC"/>
            <w:tcMar>
              <w:top w:w="80" w:type="dxa"/>
              <w:bottom w:w="80" w:type="dxa"/>
              <w:left w:w="120" w:type="dxa"/>
              <w:right w:w="120" w:type="dxa"/>
            </w:tcMar>
          </w:tcPr>
          <w:p>
            <w:pPr>
              <w:spacing w:before="40" w:after="40"/>
              <w:jc w:val="left"/>
            </w:pPr>
            <w:r>
              <w:rPr>
                <w:rFonts w:ascii="Calibri" w:hAnsi="Calibri"/>
                <w:b/>
                <w:color w:val="1E293B"/>
                <w:sz w:val="17"/>
              </w:rPr>
              <w:t>Montgomery vs RSNA</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12,000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33</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Belarus vs RSNA</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22,500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shd w:fill="F8FAFC"/>
            <w:tcMar>
              <w:top w:w="80" w:type="dxa"/>
              <w:bottom w:w="80" w:type="dxa"/>
              <w:left w:w="120" w:type="dxa"/>
              <w:right w:w="120" w:type="dxa"/>
            </w:tcMar>
          </w:tcPr>
          <w:p>
            <w:pPr>
              <w:spacing w:before="40" w:after="40"/>
              <w:jc w:val="left"/>
            </w:pPr>
            <w:r>
              <w:rPr>
                <w:rFonts w:ascii="Calibri" w:hAnsi="Calibri"/>
                <w:b/>
                <w:color w:val="1E293B"/>
                <w:sz w:val="17"/>
              </w:rPr>
              <w:t>Belarus vs TBX11K</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11,250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shd w:fill="F8FAFC"/>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tcMar>
              <w:top w:w="80" w:type="dxa"/>
              <w:bottom w:w="80" w:type="dxa"/>
              <w:left w:w="120" w:type="dxa"/>
              <w:right w:w="120" w:type="dxa"/>
            </w:tcMar>
          </w:tcPr>
          <w:p>
            <w:pPr>
              <w:spacing w:before="40" w:after="40"/>
              <w:jc w:val="left"/>
            </w:pPr>
            <w:r>
              <w:rPr>
                <w:rFonts w:ascii="Calibri" w:hAnsi="Calibri"/>
                <w:b/>
                <w:color w:val="1E293B"/>
                <w:sz w:val="17"/>
              </w:rPr>
              <w:t>RSNA vs TBX11K</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11,250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w:t>
            </w:r>
          </w:p>
        </w:tc>
        <w:tc>
          <w:tcPr>
            <w:tcW w:type="dxa" w:w="1872"/>
            <w:tcMar>
              <w:top w:w="80" w:type="dxa"/>
              <w:bottom w:w="80" w:type="dxa"/>
              <w:left w:w="120" w:type="dxa"/>
              <w:right w:w="120" w:type="dxa"/>
            </w:tcMar>
          </w:tcPr>
          <w:p>
            <w:pPr>
              <w:spacing w:before="40" w:after="40"/>
              <w:jc w:val="center"/>
            </w:pPr>
            <w:r>
              <w:rPr>
                <w:rFonts w:ascii="Calibri" w:hAnsi="Calibri"/>
                <w:color w:val="1E293B"/>
                <w:sz w:val="17"/>
              </w:rPr>
              <w:t>0.00%</w:t>
            </w:r>
          </w:p>
        </w:tc>
      </w:tr>
      <w:tr>
        <w:trPr>
          <w:cantSplit/>
        </w:trPr>
        <w:tc>
          <w:tcPr>
            <w:tcW w:type="dxa" w:w="1872"/>
            <w:shd w:fill="F8FAFC"/>
            <w:tcMar>
              <w:top w:w="80" w:type="dxa"/>
              <w:bottom w:w="80" w:type="dxa"/>
              <w:left w:w="120" w:type="dxa"/>
              <w:right w:w="120" w:type="dxa"/>
            </w:tcMar>
          </w:tcPr>
          <w:p>
            <w:pPr>
              <w:spacing w:before="40" w:after="40"/>
              <w:jc w:val="left"/>
            </w:pPr>
            <w:r>
              <w:rPr>
                <w:rFonts w:ascii="Calibri" w:hAnsi="Calibri"/>
                <w:b/>
                <w:color w:val="1E293B"/>
                <w:sz w:val="17"/>
              </w:rPr>
              <w:t>Total Cross-Center Comparisons</w:t>
            </w:r>
          </w:p>
        </w:tc>
        <w:tc>
          <w:tcPr>
            <w:tcW w:type="dxa" w:w="1872"/>
            <w:shd w:fill="F8FAFC"/>
            <w:tcMar>
              <w:top w:w="80" w:type="dxa"/>
              <w:bottom w:w="80" w:type="dxa"/>
              <w:left w:w="120" w:type="dxa"/>
              <w:right w:w="120" w:type="dxa"/>
            </w:tcMar>
          </w:tcPr>
          <w:p>
            <w:pPr>
              <w:spacing w:before="40" w:after="40"/>
              <w:jc w:val="center"/>
            </w:pPr>
            <w:r>
              <w:rPr>
                <w:rFonts w:ascii="Calibri" w:hAnsi="Calibri"/>
                <w:b/>
                <w:color w:val="1E293B"/>
                <w:sz w:val="17"/>
              </w:rPr>
              <w:t>288,420</w:t>
            </w:r>
          </w:p>
        </w:tc>
        <w:tc>
          <w:tcPr>
            <w:tcW w:type="dxa" w:w="1872"/>
            <w:shd w:fill="F8FAFC"/>
            <w:tcMar>
              <w:top w:w="80" w:type="dxa"/>
              <w:bottom w:w="80" w:type="dxa"/>
              <w:left w:w="120" w:type="dxa"/>
              <w:right w:w="120" w:type="dxa"/>
            </w:tcMar>
          </w:tcPr>
          <w:p>
            <w:pPr>
              <w:spacing w:before="40" w:after="40"/>
              <w:jc w:val="center"/>
            </w:pPr>
            <w:r>
              <w:rPr>
                <w:rFonts w:ascii="Calibri" w:hAnsi="Calibri"/>
                <w:b/>
                <w:color w:val="1E293B"/>
                <w:sz w:val="17"/>
              </w:rPr>
              <w:t>2,532</w:t>
            </w:r>
          </w:p>
        </w:tc>
        <w:tc>
          <w:tcPr>
            <w:tcW w:type="dxa" w:w="1872"/>
            <w:shd w:fill="F8FAFC"/>
            <w:tcMar>
              <w:top w:w="80" w:type="dxa"/>
              <w:bottom w:w="80" w:type="dxa"/>
              <w:left w:w="120" w:type="dxa"/>
              <w:right w:w="120" w:type="dxa"/>
            </w:tcMar>
          </w:tcPr>
          <w:p>
            <w:pPr>
              <w:spacing w:before="40" w:after="40"/>
              <w:jc w:val="center"/>
            </w:pPr>
            <w:r>
              <w:rPr>
                <w:rFonts w:ascii="Calibri" w:hAnsi="Calibri"/>
                <w:b/>
                <w:color w:val="1E293B"/>
                <w:sz w:val="17"/>
              </w:rPr>
              <w:t>0</w:t>
            </w:r>
          </w:p>
        </w:tc>
        <w:tc>
          <w:tcPr>
            <w:tcW w:type="dxa" w:w="1872"/>
            <w:shd w:fill="F8FAFC"/>
            <w:tcMar>
              <w:top w:w="80" w:type="dxa"/>
              <w:bottom w:w="80" w:type="dxa"/>
              <w:left w:w="120" w:type="dxa"/>
              <w:right w:w="120" w:type="dxa"/>
            </w:tcMar>
          </w:tcPr>
          <w:p>
            <w:pPr>
              <w:spacing w:before="40" w:after="40"/>
              <w:jc w:val="center"/>
            </w:pPr>
            <w:r>
              <w:rPr>
                <w:rFonts w:ascii="Calibri" w:hAnsi="Calibri"/>
                <w:b/>
                <w:color w:val="1E293B"/>
                <w:sz w:val="17"/>
              </w:rPr>
              <w:t>0.00% (Zero Leakage)</w:t>
            </w:r>
          </w:p>
        </w:tc>
      </w:tr>
    </w:tbl>
    <w:p>
      <w:pPr>
        <w:spacing w:before="80" w:after="120"/>
      </w:pPr>
    </w:p>
    <w:p>
      <w:pPr>
        <w:pStyle w:val="Heading2"/>
        <w:spacing w:before="280" w:after="120"/>
      </w:pPr>
      <w:r>
        <w:rPr>
          <w:rFonts w:ascii="Calibri" w:hAnsi="Calibri"/>
          <w:b/>
          <w:color w:val="1B365D"/>
          <w:sz w:val="26"/>
        </w:rPr>
        <w:t>SECTION 5: ARCHITECTURAL SELECTION RATIONALE &amp; COMPARATIVE BENCHMARK PROTOCOL</w:t>
      </w:r>
    </w:p>
    <w:p>
      <w:pPr>
        <w:pStyle w:val="Heading3"/>
        <w:spacing w:before="200" w:after="80"/>
      </w:pPr>
      <w:r>
        <w:rPr>
          <w:rFonts w:ascii="Calibri" w:hAnsi="Calibri"/>
          <w:b/>
          <w:color w:val="1B365D"/>
          <w:sz w:val="22"/>
        </w:rPr>
        <w:t>S5.1 First-Principles Architectural Evaluation Matrix</w:t>
      </w:r>
    </w:p>
    <w:p>
      <w:pPr>
        <w:spacing w:before="0" w:after="80" w:line="276" w:lineRule="auto"/>
      </w:pPr>
      <w:r>
        <w:rPr>
          <w:rFonts w:ascii="Calibri" w:hAnsi="Calibri"/>
          <w:color w:val="1E293B"/>
          <w:sz w:val="20"/>
        </w:rPr>
        <w:t>To provide an evidence-based comparison between DenseNet-121 and alternative modern vision backbones, we evaluated five representative architectures across computational efficiency, explainability fidelity, and out-of-distribution geometric stability:</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DenseNet-121 (Reference Architecture):</w:t>
      </w:r>
      <w:r>
        <w:rPr>
          <w:rFonts w:ascii="Calibri" w:hAnsi="Calibri"/>
          <w:color w:val="1E293B"/>
          <w:sz w:val="20"/>
        </w:rPr>
        <w:t xml:space="preserve"> 7.04M parameters (28.45 MB FP32 checkpoint). Fully contained within CPU Level 3 cache (16-32 MB); execution latency ~180 ms/CXR on standard x86/ARM CPU without discrete GPU. Penultimate feature space dimension d=1024 requires 524,800 covariance parameters, satisfying N &gt; d on our N=1,261 calibration cohort and ensuring a full-rank, well-conditioned covariance matrix (kappa approx 1</w:t>
      </w:r>
      <w:r>
        <w:rPr>
          <w:rFonts w:ascii="Calibri" w:hAnsi="Calibri"/>
          <w:color w:val="1E293B"/>
          <w:sz w:val="20"/>
        </w:rPr>
        <w:t>0</w:t>
      </w:r>
      <w:r>
        <w:rPr>
          <w:rFonts w:ascii="Calibri" w:hAnsi="Calibri"/>
          <w:color w:val="1E293B"/>
          <w:sz w:val="20"/>
          <w:vertAlign w:val="superscript"/>
        </w:rPr>
        <w:t>2</w:t>
      </w:r>
      <w:r>
        <w:rPr>
          <w:rFonts w:ascii="Calibri" w:hAnsi="Calibri"/>
          <w:color w:val="1E293B"/>
          <w:sz w:val="20"/>
        </w:rPr>
        <w:t xml:space="preserve"> - 1</w:t>
      </w:r>
      <w:r>
        <w:rPr>
          <w:rFonts w:ascii="Calibri" w:hAnsi="Calibri"/>
          <w:color w:val="1E293B"/>
          <w:sz w:val="20"/>
        </w:rPr>
        <w:t>0</w:t>
      </w:r>
      <w:r>
        <w:rPr>
          <w:rFonts w:ascii="Calibri" w:hAnsi="Calibri"/>
          <w:color w:val="1E293B"/>
          <w:sz w:val="20"/>
          <w:vertAlign w:val="superscript"/>
        </w:rPr>
        <w:t>3</w:t>
      </w:r>
      <w:r>
        <w:rPr>
          <w:rFonts w:ascii="Calibri" w:hAnsi="Calibri"/>
          <w:color w:val="1E293B"/>
          <w:sz w:val="20"/>
        </w:rPr>
        <w:t>). Dense concatenation (</w:t>
      </w:r>
      <w:r>
        <w:rPr>
          <w:rFonts w:ascii="Calibri" w:hAnsi="Calibri"/>
          <w:color w:val="1E293B"/>
          <w:sz w:val="20"/>
        </w:rPr>
        <w:t>x</w:t>
      </w:r>
      <w:r>
        <w:rPr>
          <w:rFonts w:ascii="Calibri" w:hAnsi="Calibri"/>
          <w:color w:val="1E293B"/>
          <w:sz w:val="20"/>
          <w:vertAlign w:val="subscript"/>
        </w:rPr>
        <w:t>l</w:t>
      </w:r>
      <w:r>
        <w:rPr>
          <w:rFonts w:ascii="Calibri" w:hAnsi="Calibri"/>
          <w:color w:val="1E293B"/>
          <w:sz w:val="20"/>
        </w:rPr>
        <w:t xml:space="preserve"> = </w:t>
      </w:r>
      <w:r>
        <w:rPr>
          <w:rFonts w:ascii="Calibri" w:hAnsi="Calibri"/>
          <w:color w:val="1E293B"/>
          <w:sz w:val="20"/>
        </w:rPr>
        <w:t>H</w:t>
      </w:r>
      <w:r>
        <w:rPr>
          <w:rFonts w:ascii="Calibri" w:hAnsi="Calibri"/>
          <w:color w:val="1E293B"/>
          <w:sz w:val="20"/>
          <w:vertAlign w:val="subscript"/>
        </w:rPr>
        <w:t>l</w:t>
      </w:r>
      <w:r>
        <w:rPr>
          <w:rFonts w:ascii="Calibri" w:hAnsi="Calibri"/>
          <w:color w:val="1E293B"/>
          <w:sz w:val="20"/>
        </w:rPr>
        <w:t>([</w:t>
      </w:r>
      <w:r>
        <w:rPr>
          <w:rFonts w:ascii="Calibri" w:hAnsi="Calibri"/>
          <w:color w:val="1E293B"/>
          <w:sz w:val="20"/>
        </w:rPr>
        <w:t>x</w:t>
      </w:r>
      <w:r>
        <w:rPr>
          <w:rFonts w:ascii="Calibri" w:hAnsi="Calibri"/>
          <w:color w:val="1E293B"/>
          <w:sz w:val="20"/>
          <w:vertAlign w:val="subscript"/>
        </w:rPr>
        <w:t>0</w:t>
      </w:r>
      <w:r>
        <w:rPr>
          <w:rFonts w:ascii="Calibri" w:hAnsi="Calibri"/>
          <w:color w:val="1E293B"/>
          <w:sz w:val="20"/>
        </w:rPr>
        <w:t xml:space="preserve">, ..., </w:t>
      </w:r>
      <w:r>
        <w:rPr>
          <w:rFonts w:ascii="Calibri" w:hAnsi="Calibri"/>
          <w:color w:val="1E293B"/>
          <w:sz w:val="20"/>
        </w:rPr>
        <w:t>x</w:t>
      </w:r>
      <w:r>
        <w:rPr>
          <w:rFonts w:ascii="Calibri" w:hAnsi="Calibri"/>
          <w:color w:val="1E293B"/>
          <w:sz w:val="20"/>
          <w:vertAlign w:val="subscript"/>
        </w:rPr>
        <w:t>l-1</w:t>
      </w:r>
      <w:r>
        <w:rPr>
          <w:rFonts w:ascii="Calibri" w:hAnsi="Calibri"/>
          <w:color w:val="1E293B"/>
          <w:sz w:val="20"/>
        </w:rPr>
        <w:t>])) preserves high-frequency spatial gradients (1-3 mm thin cavitary walls and subtle apical infiltrates) directly into the classifier. Element-wise HiResCAM attribution satisfies exact linear conservation (sum L^c = y^c - b^c), yielding an 88.0% pointing game hit rate on radiologist ground-truth bounding boxes.</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ResNet-50 (Residual Baseline):</w:t>
      </w:r>
      <w:r>
        <w:rPr>
          <w:rFonts w:ascii="Calibri" w:hAnsi="Calibri"/>
          <w:color w:val="1E293B"/>
          <w:sz w:val="20"/>
        </w:rPr>
        <w:t xml:space="preserve"> 25.56M parameters (97.8 MB FP32 checkpoint). Exceeds typical L3 cache; CPU latency ~380 ms/CXR. Penultimate dimension d=2048 requires 2,098,176 covariance parameters. With only </w:t>
      </w:r>
      <w:r>
        <w:rPr>
          <w:rFonts w:ascii="Calibri" w:hAnsi="Calibri"/>
          <w:color w:val="1E293B"/>
          <w:sz w:val="20"/>
        </w:rPr>
        <w:t>N</w:t>
      </w:r>
      <w:r>
        <w:rPr>
          <w:rFonts w:ascii="Calibri" w:hAnsi="Calibri"/>
          <w:color w:val="1E293B"/>
          <w:sz w:val="20"/>
          <w:vertAlign w:val="subscript"/>
        </w:rPr>
        <w:t>TB</w:t>
      </w:r>
      <w:r>
        <w:rPr>
          <w:rFonts w:ascii="Calibri" w:hAnsi="Calibri"/>
          <w:color w:val="1E293B"/>
          <w:sz w:val="20"/>
        </w:rPr>
        <w:t xml:space="preserve">=152 positive calibration cases, </w:t>
      </w:r>
      <w:r>
        <w:rPr>
          <w:rFonts w:ascii="Calibri" w:hAnsi="Calibri"/>
          <w:color w:val="1E293B"/>
          <w:sz w:val="20"/>
        </w:rPr>
        <w:t>N</w:t>
      </w:r>
      <w:r>
        <w:rPr>
          <w:rFonts w:ascii="Calibri" w:hAnsi="Calibri"/>
          <w:color w:val="1E293B"/>
          <w:sz w:val="20"/>
          <w:vertAlign w:val="subscript"/>
        </w:rPr>
        <w:t>TB</w:t>
      </w:r>
      <w:r>
        <w:rPr>
          <w:rFonts w:ascii="Calibri" w:hAnsi="Calibri"/>
          <w:color w:val="1E293B"/>
          <w:sz w:val="20"/>
        </w:rPr>
        <w:t xml:space="preserve"> &lt;&lt; d, causing strict mathematical rank-deficiency (1,897 zero eigenvalues) and severe covariance ill-conditioning (kappa &gt; 1</w:t>
      </w:r>
      <w:r>
        <w:rPr>
          <w:rFonts w:ascii="Calibri" w:hAnsi="Calibri"/>
          <w:color w:val="1E293B"/>
          <w:sz w:val="20"/>
        </w:rPr>
        <w:t>0</w:t>
      </w:r>
      <w:r>
        <w:rPr>
          <w:rFonts w:ascii="Calibri" w:hAnsi="Calibri"/>
          <w:color w:val="1E293B"/>
          <w:sz w:val="20"/>
          <w:vertAlign w:val="superscript"/>
        </w:rPr>
        <w:t>6</w:t>
      </w:r>
      <w:r>
        <w:rPr>
          <w:rFonts w:ascii="Calibri" w:hAnsi="Calibri"/>
          <w:color w:val="1E293B"/>
          <w:sz w:val="20"/>
        </w:rPr>
        <w:t>), destabilizing Mahalanobis distance calculation. Feature addition attenuates fine spatial gradients across 50 layers.</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ConvNeXt-Base (Modern Pure-ConvNet):</w:t>
      </w:r>
      <w:r>
        <w:rPr>
          <w:rFonts w:ascii="Calibri" w:hAnsi="Calibri"/>
          <w:color w:val="1E293B"/>
          <w:sz w:val="20"/>
        </w:rPr>
        <w:t xml:space="preserve"> 88.59M parameters (349.5 MB FP32 checkpoint). Cannot fit in CPU cache; memory bandwidth saturation on commodity CPUs elevates inference latency to ~1,150 ms/CXR. Large 7x7 depthwise kernels act as implicit spatial low-pass filters that smooth faint 1-2 mm micronodular patterns unless processing at high matrix resolutions (&gt;1024x1024).</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Vision Transformers (ViT-B/16 &amp; Swin-Base):</w:t>
      </w:r>
      <w:r>
        <w:rPr>
          <w:rFonts w:ascii="Calibri" w:hAnsi="Calibri"/>
          <w:color w:val="1E293B"/>
          <w:sz w:val="20"/>
        </w:rPr>
        <w:t xml:space="preserve"> 86.57M parameters (330.3 MB FP32 checkpoint) and 87.77M parameters (346.2 MB FP32 checkpoint). CPU latency exceeds 1,600-1,850 ms/CXR, causing severe thermal throttling in off-grid solar-powered clinics. Token patchification (16x16) flattens sub-centimeter apical cavitary morphology into 1D embeddings and lacks built-in translation equivariance. Penultimate representations exhibit extreme anisotropy ("the cone effect"), violating class-conditional Gaussianity. Self-attention maps suffer from "attention sink" artifacts (Darcet et al., ICLR 2024), where uninformative background tokens accumulate disproportionate attention mass.</w:t>
      </w:r>
    </w:p>
    <w:p>
      <w:pPr>
        <w:pStyle w:val="Heading3"/>
        <w:spacing w:before="200" w:after="80"/>
      </w:pPr>
      <w:r>
        <w:rPr>
          <w:rFonts w:ascii="Calibri" w:hAnsi="Calibri"/>
          <w:b/>
          <w:color w:val="1B365D"/>
          <w:sz w:val="22"/>
        </w:rPr>
        <w:t>S5.2 Domain-Specific Pretraining Analysis &amp; Licensing Invariants</w:t>
      </w:r>
    </w:p>
    <w:p>
      <w:pPr>
        <w:spacing w:before="0" w:after="80" w:line="276" w:lineRule="auto"/>
      </w:pPr>
      <w:r>
        <w:rPr>
          <w:rFonts w:ascii="Calibri" w:hAnsi="Calibri"/>
          <w:color w:val="1E293B"/>
          <w:sz w:val="20"/>
        </w:rPr>
        <w:t xml:space="preserve">1. </w:t>
      </w:r>
      <w:r>
        <w:rPr>
          <w:rFonts w:ascii="Calibri" w:hAnsi="Calibri"/>
          <w:b/>
          <w:color w:val="1E293B"/>
          <w:sz w:val="20"/>
        </w:rPr>
        <w:t>RadImageNet Composition Reality:</w:t>
      </w:r>
      <w:r>
        <w:rPr>
          <w:rFonts w:ascii="Calibri" w:hAnsi="Calibri"/>
          <w:color w:val="1E293B"/>
          <w:sz w:val="20"/>
        </w:rPr>
        <w:t xml:space="preserve"> RadImageNet (Mei et al., Radiology 2022) comprises 1.35 million medical images, of which over 70% represent cross-sectional tomograms (CT, MRI) and acoustic sonograms (ultrasound). Plain 2D chest radiographs represent only a minor fraction (~8.9%). Cross-sectional attenuation physics and acoustic speckle patterns introduce negative transfer for 2D transmission projection radiography. Furthermore, RadImageNet is governed by an institutional non-commercial Data Use Agreement (DUA) that strictly prohibits permissive open-source redistribution, conflicting with global public health deployment mandates.</w:t>
      </w:r>
    </w:p>
    <w:p>
      <w:pPr>
        <w:spacing w:before="0" w:after="80" w:line="276" w:lineRule="auto"/>
      </w:pPr>
      <w:r>
        <w:rPr>
          <w:rFonts w:ascii="Calibri" w:hAnsi="Calibri"/>
          <w:color w:val="1E293B"/>
          <w:sz w:val="20"/>
        </w:rPr>
        <w:t xml:space="preserve">2. </w:t>
      </w:r>
      <w:r>
        <w:rPr>
          <w:rFonts w:ascii="Calibri" w:hAnsi="Calibri"/>
          <w:b/>
          <w:color w:val="1E293B"/>
          <w:sz w:val="20"/>
        </w:rPr>
        <w:t>The "Transfusion" Phenomenon:</w:t>
      </w:r>
      <w:r>
        <w:rPr>
          <w:rFonts w:ascii="Calibri" w:hAnsi="Calibri"/>
          <w:color w:val="1E293B"/>
          <w:sz w:val="20"/>
        </w:rPr>
        <w:t xml:space="preserve"> Extensive audits by Raghu et al. (NeurIPS 2019) and Matsoukas et al. (MedIA 2022) prove that transfer learning from natural image corpora (ImageNet-1K) is confined to low-level Gabor-like edge and texture filters in early layers. On downstream cohorts exceeding 5,000-10,000 radiographs (our repository contains N=12,599), deep representations are shaped by downstream fine-tuning and domain-balanced sampling. Asymptotic diagnostic discrimination between ImageNet and domain pretraining is statistically indistinguishable (Delta AUROC &lt; 0.005).</w:t>
      </w:r>
    </w:p>
    <w:p>
      <w:pPr>
        <w:pStyle w:val="Heading3"/>
        <w:spacing w:before="200" w:after="80"/>
      </w:pPr>
      <w:r>
        <w:rPr>
          <w:rFonts w:ascii="Calibri" w:hAnsi="Calibri"/>
          <w:b/>
          <w:color w:val="1B365D"/>
          <w:sz w:val="22"/>
        </w:rPr>
        <w:t>S5.3 Standardized Four-Arm Comparative Benchmark Protocol</w:t>
      </w:r>
    </w:p>
    <w:p>
      <w:pPr>
        <w:spacing w:before="0" w:after="80" w:line="276" w:lineRule="auto"/>
      </w:pPr>
      <w:r>
        <w:rPr>
          <w:rFonts w:ascii="Calibri" w:hAnsi="Calibri"/>
          <w:color w:val="1E293B"/>
          <w:sz w:val="20"/>
        </w:rPr>
        <w:t>To ensure rigorous methodological reproducibility and comparability, we specify a controlled experimental protocol comparing four distinct modeling arms under identical conditions:</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Arm 1 (Study Reference):</w:t>
      </w:r>
      <w:r>
        <w:rPr>
          <w:rFonts w:ascii="Calibri" w:hAnsi="Calibri"/>
          <w:color w:val="1E293B"/>
          <w:sz w:val="20"/>
        </w:rPr>
        <w:t xml:space="preserve"> DenseNet-121 initialized with ImageNet-1K weights.</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Arm 2 (Medical In-Domain Baseline):</w:t>
      </w:r>
      <w:r>
        <w:rPr>
          <w:rFonts w:ascii="Calibri" w:hAnsi="Calibri"/>
          <w:color w:val="1E293B"/>
          <w:sz w:val="20"/>
        </w:rPr>
        <w:t xml:space="preserve"> DenseNet-121 initialized with RadImageNet weights.</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Arm 3 (Residual CNN Baseline):</w:t>
      </w:r>
      <w:r>
        <w:rPr>
          <w:rFonts w:ascii="Calibri" w:hAnsi="Calibri"/>
          <w:color w:val="1E293B"/>
          <w:sz w:val="20"/>
        </w:rPr>
        <w:t xml:space="preserve"> ResNet-50 initialized with ImageNet-1K weights.</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Arm 4 (Modern Vision Transformer):</w:t>
      </w:r>
      <w:r>
        <w:rPr>
          <w:rFonts w:ascii="Calibri" w:hAnsi="Calibri"/>
          <w:color w:val="1E293B"/>
          <w:sz w:val="20"/>
        </w:rPr>
        <w:t xml:space="preserve"> Swin-T or ViT-B/16 initialized with ImageNet-1K weights.</w:t>
      </w:r>
    </w:p>
    <w:p>
      <w:pPr>
        <w:spacing w:before="40" w:after="60" w:line="276" w:lineRule="auto"/>
        <w:ind w:left="504" w:hanging="288"/>
      </w:pPr>
      <w:r>
        <w:rPr>
          <w:rFonts w:ascii="Calibri" w:hAnsi="Calibri"/>
          <w:color w:val="1B365D"/>
          <w:sz w:val="20"/>
        </w:rPr>
        <w:t xml:space="preserve">•  </w:t>
      </w:r>
      <w:r>
        <w:rPr>
          <w:rFonts w:ascii="Calibri" w:hAnsi="Calibri"/>
          <w:b/>
          <w:color w:val="1E293B"/>
          <w:sz w:val="20"/>
        </w:rPr>
        <w:t>Controlled Conditions:</w:t>
      </w:r>
      <w:r>
        <w:rPr>
          <w:rFonts w:ascii="Calibri" w:hAnsi="Calibri"/>
          <w:color w:val="1E293B"/>
          <w:sz w:val="20"/>
        </w:rPr>
        <w:t xml:space="preserve"> All arms are evaluated under the identical 70/10/10/10 patient-stratified multi-center split (N=12,599), all three label-blinded external validation cohorts across South Asia (N=3,441 total radiographs: Solan District Hospital [n=155], NITRD New Delhi [n=278], and Pakistan Hospital [n=3,008]), identical pre-analytic central-thorax percentile normalization (</w:t>
      </w:r>
      <w:r>
        <w:rPr>
          <w:rFonts w:ascii="Calibri" w:hAnsi="Calibri"/>
          <w:color w:val="1E293B"/>
          <w:sz w:val="20"/>
        </w:rPr>
        <w:t>P</w:t>
      </w:r>
      <w:r>
        <w:rPr>
          <w:rFonts w:ascii="Calibri" w:hAnsi="Calibri"/>
          <w:color w:val="1E293B"/>
          <w:sz w:val="20"/>
          <w:vertAlign w:val="subscript"/>
        </w:rPr>
        <w:t>1</w:t>
      </w:r>
      <w:r>
        <w:rPr>
          <w:rFonts w:ascii="Calibri" w:hAnsi="Calibri"/>
          <w:color w:val="1E293B"/>
          <w:sz w:val="20"/>
        </w:rPr>
        <w:t xml:space="preserve"> - </w:t>
      </w:r>
      <w:r>
        <w:rPr>
          <w:rFonts w:ascii="Calibri" w:hAnsi="Calibri"/>
          <w:color w:val="1E293B"/>
          <w:sz w:val="20"/>
        </w:rPr>
        <w:t>P</w:t>
      </w:r>
      <w:r>
        <w:rPr>
          <w:rFonts w:ascii="Calibri" w:hAnsi="Calibri"/>
          <w:color w:val="1E293B"/>
          <w:sz w:val="20"/>
          <w:vertAlign w:val="subscript"/>
        </w:rPr>
        <w:t>99</w:t>
      </w:r>
      <w:r>
        <w:rPr>
          <w:rFonts w:ascii="Calibri" w:hAnsi="Calibri"/>
          <w:color w:val="1E293B"/>
          <w:sz w:val="20"/>
        </w:rPr>
        <w:t>), and identical 8-cell domain- and class-balanced batch sampling (12.5% uniform gradient mass per cell). Evaluation tracks five multi-dimensional criteria: (1) AUROC discrimination with DeLong 95% CIs, (2) Expected Calibration Error and conformal singleton set efficiency, (3) Mahalanobis covariance condition number kappa(Sigma), (4) HiResCAM Pointing Game Hit Rate on ground-truth cavitary bounding boxes, and (5) single-image CPU inference latency on commodity x86 hardware.</w:t>
      </w:r>
    </w:p>
    <w:p>
      <w:pPr>
        <w:pStyle w:val="Heading2"/>
        <w:spacing w:before="280" w:after="120"/>
      </w:pPr>
      <w:r>
        <w:rPr>
          <w:rFonts w:ascii="Calibri" w:hAnsi="Calibri"/>
          <w:b/>
          <w:color w:val="1B365D"/>
          <w:sz w:val="26"/>
        </w:rPr>
        <w:t>SECTION 6: INDEPENDENT EXTERNAL BENCHMARKING &amp; ROBUST RETRAINING AUDITS</w:t>
      </w:r>
    </w:p>
    <w:p>
      <w:pPr>
        <w:pStyle w:val="Heading3"/>
        <w:spacing w:before="200" w:after="80"/>
      </w:pPr>
      <w:r>
        <w:rPr>
          <w:rFonts w:ascii="Calibri" w:hAnsi="Calibri"/>
          <w:b/>
          <w:color w:val="1B365D"/>
          <w:sz w:val="22"/>
        </w:rPr>
        <w:t>Table S6: Multi-Cohort Independent External Benchmark Performance Across Three South Asian Cohorts (N = 3,441)</w:t>
      </w:r>
    </w:p>
    <w:p>
      <w:pPr>
        <w:spacing w:before="0" w:after="80" w:line="276" w:lineRule="auto"/>
      </w:pPr>
      <w:r>
        <w:rPr>
          <w:rFonts w:ascii="Calibri" w:hAnsi="Calibri"/>
          <w:color w:val="1E293B"/>
          <w:sz w:val="20"/>
        </w:rPr>
        <w:t>*Evaluation of frozen baseline model (v9 checkpoint) across 3,441 unseen external radiographs. Primary confirmatory metrics are evaluated strictly at the frozen development operating point (</w:t>
      </w:r>
      <w:r>
        <w:rPr>
          <w:rFonts w:ascii="Calibri" w:hAnsi="Calibri"/>
          <w:color w:val="1E293B"/>
          <w:sz w:val="20"/>
        </w:rPr>
        <w:t>τ</w:t>
      </w:r>
      <w:r>
        <w:rPr>
          <w:rFonts w:ascii="Calibri" w:hAnsi="Calibri"/>
          <w:color w:val="1E293B"/>
          <w:sz w:val="20"/>
          <w:vertAlign w:val="subscript"/>
        </w:rPr>
        <w:t>WHO</w:t>
      </w:r>
      <w:r>
        <w:rPr>
          <w:rFonts w:ascii="Calibri" w:hAnsi="Calibri"/>
          <w:color w:val="1E293B"/>
          <w:sz w:val="20"/>
        </w:rPr>
        <w:t xml:space="preserve"> = 0.4401; Target sensitivity ≥ 95.0% on development calibration). Secondary exploratory frontier operating points (τ*) evaluate representational capacity to achieve WHO CAD Target Product Profile (TPP) screening benchmarks (sensitivity ≥ 90.0%). Conformal coverage is evaluated at significance level α = 0.05 (target coverage ≥ 95.0%).*</w:t>
      </w:r>
    </w:p>
    <w:tbl>
      <w:tblPr>
        <w:tblW w:type="auto" w:w="0"/>
        <w:jc w:val="center"/>
        <w:tblLayout w:type="fixed"/>
        <w:tblLook w:firstColumn="1" w:firstRow="1" w:lastColumn="0" w:lastRow="0" w:noHBand="0" w:noVBand="1" w:val="04A0"/>
      </w:tblPr>
      <w:tblGrid>
        <w:gridCol w:w="669"/>
        <w:gridCol w:w="669"/>
        <w:gridCol w:w="669"/>
        <w:gridCol w:w="669"/>
        <w:gridCol w:w="669"/>
        <w:gridCol w:w="669"/>
        <w:gridCol w:w="669"/>
        <w:gridCol w:w="669"/>
        <w:gridCol w:w="669"/>
        <w:gridCol w:w="669"/>
        <w:gridCol w:w="669"/>
        <w:gridCol w:w="669"/>
        <w:gridCol w:w="669"/>
        <w:gridCol w:w="669"/>
      </w:tblGrid>
      <w:tr>
        <w:trPr>
          <w:cantSplit/>
          <w:tblHeader/>
        </w:trPr>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External Benchmark Cohort</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Sample Size (N, TB/Norm)</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Hardware / Modality</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AUROC [95% CI]</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Sens @ Frozen τ (%) [n/N]</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Spec @ Frozen τ (%) [n/N]</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Bal Acc (%)</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F1-Score</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MCC</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Exploratory Frontier: Sens / Spec @ τ*</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Marginal Conformal Coverage (%)</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Empty Sets: C(X) = {} (%)</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FN Releases (n, %)</w:t>
            </w:r>
          </w:p>
        </w:tc>
        <w:tc>
          <w:tcPr>
            <w:tcW w:type="dxa" w:w="669"/>
            <w:shd w:fill="F1F5F9"/>
            <w:tcMar>
              <w:top w:w="90" w:type="dxa"/>
              <w:bottom w:w="90" w:type="dxa"/>
              <w:left w:w="120" w:type="dxa"/>
              <w:right w:w="120" w:type="dxa"/>
            </w:tcMar>
          </w:tcPr>
          <w:p>
            <w:pPr>
              <w:spacing w:before="60" w:after="60"/>
              <w:jc w:val="center"/>
            </w:pPr>
            <w:r>
              <w:rPr>
                <w:rFonts w:ascii="Calibri" w:hAnsi="Calibri"/>
                <w:b/>
                <w:color w:val="1B365D"/>
                <w:sz w:val="18"/>
              </w:rPr>
              <w:t>Workload Reduction (AWRR, %)</w:t>
            </w:r>
          </w:p>
        </w:tc>
      </w:tr>
      <w:tr>
        <w:trPr>
          <w:cantSplit/>
        </w:trPr>
        <w:tc>
          <w:tcPr>
            <w:tcW w:type="dxa" w:w="669"/>
            <w:tcMar>
              <w:top w:w="80" w:type="dxa"/>
              <w:bottom w:w="80" w:type="dxa"/>
              <w:left w:w="120" w:type="dxa"/>
              <w:right w:w="120" w:type="dxa"/>
            </w:tcMar>
          </w:tcPr>
          <w:p>
            <w:pPr>
              <w:spacing w:before="40" w:after="40"/>
              <w:jc w:val="left"/>
            </w:pPr>
            <w:r>
              <w:rPr>
                <w:rFonts w:ascii="Calibri" w:hAnsi="Calibri"/>
                <w:b/>
                <w:color w:val="1E293B"/>
                <w:sz w:val="17"/>
              </w:rPr>
              <w:t>India Solan District Hospital</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155 (78 / 77)</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District Hospital CR</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0.8613 [0.8023-0.9203]</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70.51% [55/78]</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87.01% [67/77]</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78.76%</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0.7692</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0.5829</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91.03% / 55.84% (τ = 0.0198)</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79.35% [123/155]</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0.65% [1/155]</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9 (11.54%)*</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85.16%</w:t>
            </w:r>
          </w:p>
        </w:tc>
      </w:tr>
      <w:tr>
        <w:trPr>
          <w:cantSplit/>
        </w:trPr>
        <w:tc>
          <w:tcPr>
            <w:tcW w:type="dxa" w:w="669"/>
            <w:shd w:fill="F8FAFC"/>
            <w:tcMar>
              <w:top w:w="80" w:type="dxa"/>
              <w:bottom w:w="80" w:type="dxa"/>
              <w:left w:w="120" w:type="dxa"/>
              <w:right w:w="120" w:type="dxa"/>
            </w:tcMar>
          </w:tcPr>
          <w:p>
            <w:pPr>
              <w:spacing w:before="40" w:after="40"/>
              <w:jc w:val="left"/>
            </w:pPr>
            <w:r>
              <w:rPr>
                <w:rFonts w:ascii="Calibri" w:hAnsi="Calibri"/>
                <w:b/>
                <w:color w:val="1E293B"/>
                <w:sz w:val="17"/>
              </w:rPr>
              <w:t>NITRD New Delhi Apex Institute</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278 (125 / 153)</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Apex Referral DR</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0.8721 [0.8282-0.9159]</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78.40% [98/125]</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80.39% [123/153]</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79.40%</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0.7747</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0.5868</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90.40% / 54.25% (τ = 0.0903)</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77.70% [216/278]</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1.44% [4/278]</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9 (7.20%)</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82.73%</w:t>
            </w:r>
          </w:p>
        </w:tc>
      </w:tr>
      <w:tr>
        <w:trPr>
          <w:cantSplit/>
        </w:trPr>
        <w:tc>
          <w:tcPr>
            <w:tcW w:type="dxa" w:w="669"/>
            <w:tcMar>
              <w:top w:w="80" w:type="dxa"/>
              <w:bottom w:w="80" w:type="dxa"/>
              <w:left w:w="120" w:type="dxa"/>
              <w:right w:w="120" w:type="dxa"/>
            </w:tcMar>
          </w:tcPr>
          <w:p>
            <w:pPr>
              <w:spacing w:before="40" w:after="40"/>
              <w:jc w:val="left"/>
            </w:pPr>
            <w:r>
              <w:rPr>
                <w:rFonts w:ascii="Calibri" w:hAnsi="Calibri"/>
                <w:b/>
                <w:color w:val="1E293B"/>
                <w:sz w:val="17"/>
              </w:rPr>
              <w:t>Combined Indian Clinical CXRs</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433 (203 / 230)</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Heterogeneous DR / CR</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0.8682 [0.8285-0.9079]</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75.37% [153/203]</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82.61% [190/230]</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78.99%</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0.7727</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0.5824</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90.64% / 54.78% (τ = 0.0550)</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78.29% [339/433]</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1.15% [5/433]</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18 (8.87%)</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83.60%</w:t>
            </w:r>
          </w:p>
        </w:tc>
      </w:tr>
      <w:tr>
        <w:trPr>
          <w:cantSplit/>
        </w:trPr>
        <w:tc>
          <w:tcPr>
            <w:tcW w:type="dxa" w:w="669"/>
            <w:shd w:fill="F8FAFC"/>
            <w:tcMar>
              <w:top w:w="80" w:type="dxa"/>
              <w:bottom w:w="80" w:type="dxa"/>
              <w:left w:w="120" w:type="dxa"/>
              <w:right w:w="120" w:type="dxa"/>
            </w:tcMar>
          </w:tcPr>
          <w:p>
            <w:pPr>
              <w:spacing w:before="40" w:after="40"/>
              <w:jc w:val="left"/>
            </w:pPr>
            <w:r>
              <w:rPr>
                <w:rFonts w:ascii="Calibri" w:hAnsi="Calibri"/>
                <w:b/>
                <w:color w:val="1E293B"/>
                <w:sz w:val="17"/>
              </w:rPr>
              <w:t>Pakistan Hospital Cohort</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3,008 (2,494 / 514)</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256x256 Lossy JPEG</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0.4982 [0.4708-0.5256]</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100.00% [2494/2494]</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0.00% [0/514]</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50.00%</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0.9066</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0.0000</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99.64% / 0.00% (τ = 1.0000)</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82.91% [2494/3008]</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0.00% [0/3008]</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0 (0.00%)</w:t>
            </w:r>
          </w:p>
        </w:tc>
        <w:tc>
          <w:tcPr>
            <w:tcW w:type="dxa" w:w="669"/>
            <w:shd w:fill="F8FAFC"/>
            <w:tcMar>
              <w:top w:w="80" w:type="dxa"/>
              <w:bottom w:w="80" w:type="dxa"/>
              <w:left w:w="120" w:type="dxa"/>
              <w:right w:w="120" w:type="dxa"/>
            </w:tcMar>
          </w:tcPr>
          <w:p>
            <w:pPr>
              <w:spacing w:before="40" w:after="40"/>
              <w:jc w:val="center"/>
            </w:pPr>
            <w:r>
              <w:rPr>
                <w:rFonts w:ascii="Calibri" w:hAnsi="Calibri"/>
                <w:color w:val="1E293B"/>
                <w:sz w:val="17"/>
              </w:rPr>
              <w:t>100.00%</w:t>
            </w:r>
          </w:p>
        </w:tc>
      </w:tr>
      <w:tr>
        <w:trPr>
          <w:cantSplit/>
        </w:trPr>
        <w:tc>
          <w:tcPr>
            <w:tcW w:type="dxa" w:w="669"/>
            <w:tcMar>
              <w:top w:w="80" w:type="dxa"/>
              <w:bottom w:w="80" w:type="dxa"/>
              <w:left w:w="120" w:type="dxa"/>
              <w:right w:w="120" w:type="dxa"/>
            </w:tcMar>
          </w:tcPr>
          <w:p>
            <w:pPr>
              <w:spacing w:before="40" w:after="40"/>
              <w:jc w:val="left"/>
            </w:pPr>
            <w:r>
              <w:rPr>
                <w:rFonts w:ascii="Calibri" w:hAnsi="Calibri"/>
                <w:b/>
                <w:color w:val="1E293B"/>
                <w:sz w:val="17"/>
              </w:rPr>
              <w:t>Pooled South Asia External Total</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3,441 (2,697 / 744)</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Multi-Center External</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0.6267 [0.6053-0.6481]</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98.15% [2647/2697]</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25.54% [190/744]</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61.84%</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0.8976</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0.3828</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93.18% / 30.65% (τ = 1.0000)</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82.33% [2833/3441]</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0.15% [5/3441]</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18 (0.67%)</w:t>
            </w:r>
          </w:p>
        </w:tc>
        <w:tc>
          <w:tcPr>
            <w:tcW w:type="dxa" w:w="669"/>
            <w:tcMar>
              <w:top w:w="80" w:type="dxa"/>
              <w:bottom w:w="80" w:type="dxa"/>
              <w:left w:w="120" w:type="dxa"/>
              <w:right w:w="120" w:type="dxa"/>
            </w:tcMar>
          </w:tcPr>
          <w:p>
            <w:pPr>
              <w:spacing w:before="40" w:after="40"/>
              <w:jc w:val="center"/>
            </w:pPr>
            <w:r>
              <w:rPr>
                <w:rFonts w:ascii="Calibri" w:hAnsi="Calibri"/>
                <w:color w:val="1E293B"/>
                <w:sz w:val="17"/>
              </w:rPr>
              <w:t>97.94%</w:t>
            </w:r>
          </w:p>
        </w:tc>
      </w:tr>
    </w:tbl>
    <w:p>
      <w:pPr>
        <w:spacing w:before="80" w:after="120"/>
      </w:pPr>
    </w:p>
    <w:p>
      <w:pPr>
        <w:spacing w:before="0" w:after="80" w:line="276" w:lineRule="auto"/>
      </w:pPr>
      <w:r>
        <w:rPr>
          <w:rFonts w:ascii="Calibri" w:hAnsi="Calibri"/>
          <w:color w:val="1E293B"/>
          <w:sz w:val="20"/>
        </w:rPr>
        <w:t>*Abbreviations: CR, Computed Radiography; DR, Digital Radiography; Bal Acc, Balanced Accuracy; MCC, Matthews Correlation Coefficient; Sens, Sensitivity; Spec, Specificity; FN, False Negative; AWRR, Autonomous Workload Reduction Rate.*</w:t>
      </w:r>
    </w:p>
    <w:p>
      <w:pPr>
        <w:spacing w:before="0" w:after="80" w:line="276" w:lineRule="auto"/>
      </w:pPr>
      <w:r>
        <w:rPr>
          <w:rFonts w:ascii="Calibri" w:hAnsi="Calibri"/>
          <w:color w:val="1E293B"/>
          <w:sz w:val="20"/>
        </w:rPr>
        <w:t>*Provenance citations: India Solan cohort sourced from Chauhan et al. (PLoS ONE 2014; Kaggle raddar/chest-xrays-tuberculosis-from-india); NITRD New Delhi cohort sourced from National Institute of Tuberculosis and Respiratory Diseases (New Delhi, India; DA and DB series); Pakistan Hospital cohort sourced from Kiran &amp; Jabeen (Mendeley Data 2024, doi:10.17632/8j2g3csprk.2).*</w:t>
      </w:r>
    </w:p>
    <w:p>
      <w:pPr>
        <w:spacing w:before="0" w:after="80" w:line="276" w:lineRule="auto"/>
      </w:pPr>
      <w:r>
        <w:rPr>
          <w:rFonts w:ascii="Calibri" w:hAnsi="Calibri"/>
          <w:color w:val="1E293B"/>
          <w:sz w:val="20"/>
        </w:rPr>
        <w:t>*Note on False Negatives: In the India Solan cohort, 9 false negatives occurred under the uncalibrated baseline without IQA; enforcing the Tier 1 Pre-Analytic IQA DCT blockiness guard (B &gt; 1.70) reduced false negatives to 7 (8.97%), while the Assistive Failsafe / Mahalanobis OOD interlock eliminated autonomous false negatives entirely (0/78, 0.00% FN release rate).*</w:t>
      </w:r>
    </w:p>
    <w:p>
      <w:pPr>
        <w:spacing w:before="0" w:after="80" w:line="276" w:lineRule="auto"/>
      </w:pPr>
      <w:r>
        <w:rPr>
          <w:rFonts w:ascii="Calibri" w:hAnsi="Calibri"/>
          <w:color w:val="1E293B"/>
          <w:sz w:val="20"/>
        </w:rPr>
        <w:t>*Methodological Note on Circular Thresholding: Confirmatory evaluation is strictly defined by the frozen development threshold (τ = 0.4401). Exploratory thresholds (τ = 0.0198 for Solan; τ = 0.0903 for NITRD) represent post-hoc sensitivity frontier analyses demonstrating representational headroom for local site calibration, not claimed zero-shot achievements.*</w:t>
      </w:r>
    </w:p>
    <w:p>
      <w:pPr>
        <w:pStyle w:val="Heading3"/>
        <w:spacing w:before="200" w:after="80"/>
      </w:pPr>
      <w:r>
        <w:rPr>
          <w:rFonts w:ascii="Calibri" w:hAnsi="Calibri"/>
          <w:b/>
          <w:color w:val="1B365D"/>
          <w:sz w:val="22"/>
        </w:rPr>
        <w:t>Table S7: Multi-Scale Robust Retraining and the Empirical Accuracy-Robustness Trade-Off Across External Cohorts (N = 3,441)</w:t>
      </w:r>
    </w:p>
    <w:p>
      <w:pPr>
        <w:spacing w:before="0" w:after="80" w:line="276" w:lineRule="auto"/>
      </w:pPr>
      <w:r>
        <w:rPr>
          <w:rFonts w:ascii="Calibri" w:hAnsi="Calibri"/>
          <w:color w:val="1E293B"/>
          <w:sz w:val="20"/>
        </w:rPr>
        <w:t>*Empirical evaluation of the multi-scale robust fine-tuning intervention (v10) versus the baseline clinical model (v9) across all 3,441 external radiographs. Retraining protocol: Kaggle Cloud Dual Tesla T4 GPUs (s</w:t>
      </w:r>
      <w:r>
        <w:rPr>
          <w:rFonts w:ascii="Calibri" w:hAnsi="Calibri"/>
          <w:color w:val="1E293B"/>
          <w:sz w:val="20"/>
        </w:rPr>
        <w:t>m</w:t>
      </w:r>
      <w:r>
        <w:rPr>
          <w:rFonts w:ascii="Calibri" w:hAnsi="Calibri"/>
          <w:color w:val="1E293B"/>
          <w:sz w:val="20"/>
          <w:vertAlign w:val="subscript"/>
        </w:rPr>
        <w:t>75</w:t>
      </w:r>
      <w:r>
        <w:rPr>
          <w:rFonts w:ascii="Calibri" w:hAnsi="Calibri"/>
          <w:color w:val="1E293B"/>
          <w:sz w:val="20"/>
        </w:rPr>
        <w:t>, 32 GB VRAM) executing synthetic multi-scale degradation (random resizing between 256x256 and 512x512, simulated JPEG compression with quality factors Q between 25 and 80, Gaussian blur radius r between 0.5 and 1.8, and class-weighted Focal Loss γ=2.0, α=0.75). Zero external data was introduced into training; all three external cohorts remained completely independent, untouched hold-out test sets.*</w:t>
      </w:r>
    </w:p>
    <w:tbl>
      <w:tblPr>
        <w:tblW w:type="auto" w:w="0"/>
        <w:jc w:val="center"/>
        <w:tblLayout w:type="fixed"/>
        <w:tblLook w:firstColumn="1" w:firstRow="1" w:lastColumn="0" w:lastRow="0" w:noHBand="0" w:noVBand="1" w:val="04A0"/>
      </w:tblPr>
      <w:tblGrid>
        <w:gridCol w:w="624"/>
        <w:gridCol w:w="624"/>
        <w:gridCol w:w="624"/>
        <w:gridCol w:w="624"/>
        <w:gridCol w:w="624"/>
        <w:gridCol w:w="624"/>
        <w:gridCol w:w="624"/>
        <w:gridCol w:w="624"/>
        <w:gridCol w:w="624"/>
        <w:gridCol w:w="624"/>
        <w:gridCol w:w="624"/>
        <w:gridCol w:w="624"/>
        <w:gridCol w:w="624"/>
        <w:gridCol w:w="624"/>
        <w:gridCol w:w="624"/>
      </w:tblGrid>
      <w:tr>
        <w:trPr>
          <w:cantSplit/>
          <w:tblHeader/>
        </w:trPr>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External Benchmark Cohort</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Total Sample (N, TB/Norm)</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Baseline v9 AUROC</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Robust v10 AUROC</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Delta AUROC</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Baseline v9 Bal Acc (%)</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Robust v10 Bal Acc (%)</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Delta Bal Acc (%)</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Robust v10 Sens @ Frozen τ (%)</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Robust v10 Spec @ Frozen τ (%)</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Robust v10 F1-Score</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Robust v10 MCC</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Robust v10 Conformal Coverage (%)</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Robust v10 FN Releases (n, %)</w:t>
            </w:r>
          </w:p>
        </w:tc>
        <w:tc>
          <w:tcPr>
            <w:tcW w:type="dxa" w:w="624"/>
            <w:shd w:fill="F1F5F9"/>
            <w:tcMar>
              <w:top w:w="90" w:type="dxa"/>
              <w:bottom w:w="90" w:type="dxa"/>
              <w:left w:w="120" w:type="dxa"/>
              <w:right w:w="120" w:type="dxa"/>
            </w:tcMar>
          </w:tcPr>
          <w:p>
            <w:pPr>
              <w:spacing w:before="60" w:after="60"/>
              <w:jc w:val="center"/>
            </w:pPr>
            <w:r>
              <w:rPr>
                <w:rFonts w:ascii="Calibri" w:hAnsi="Calibri"/>
                <w:b/>
                <w:color w:val="1B365D"/>
                <w:sz w:val="18"/>
              </w:rPr>
              <w:t>Robust v10 AWRR (%)</w:t>
            </w:r>
          </w:p>
        </w:tc>
      </w:tr>
      <w:tr>
        <w:trPr>
          <w:cantSplit/>
        </w:trPr>
        <w:tc>
          <w:tcPr>
            <w:tcW w:type="dxa" w:w="624"/>
            <w:tcMar>
              <w:top w:w="80" w:type="dxa"/>
              <w:bottom w:w="80" w:type="dxa"/>
              <w:left w:w="120" w:type="dxa"/>
              <w:right w:w="120" w:type="dxa"/>
            </w:tcMar>
          </w:tcPr>
          <w:p>
            <w:pPr>
              <w:spacing w:before="40" w:after="40"/>
              <w:jc w:val="left"/>
            </w:pPr>
            <w:r>
              <w:rPr>
                <w:rFonts w:ascii="Calibri" w:hAnsi="Calibri"/>
                <w:b/>
                <w:color w:val="1E293B"/>
                <w:sz w:val="17"/>
              </w:rPr>
              <w:t>India Solan District Hospital</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155 (78 / 77)</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0.8613</w:t>
            </w:r>
          </w:p>
        </w:tc>
        <w:tc>
          <w:tcPr>
            <w:tcW w:type="dxa" w:w="624"/>
            <w:tcMar>
              <w:top w:w="80" w:type="dxa"/>
              <w:bottom w:w="80" w:type="dxa"/>
              <w:left w:w="120" w:type="dxa"/>
              <w:right w:w="120" w:type="dxa"/>
            </w:tcMar>
          </w:tcPr>
          <w:p>
            <w:pPr>
              <w:spacing w:before="40" w:after="40"/>
              <w:jc w:val="center"/>
            </w:pPr>
            <w:r>
              <w:rPr>
                <w:rFonts w:ascii="Calibri" w:hAnsi="Calibri"/>
                <w:b/>
                <w:color w:val="1E293B"/>
                <w:sz w:val="17"/>
              </w:rPr>
              <w:t>0.6633</w:t>
            </w:r>
          </w:p>
        </w:tc>
        <w:tc>
          <w:tcPr>
            <w:tcW w:type="dxa" w:w="624"/>
            <w:tcMar>
              <w:top w:w="80" w:type="dxa"/>
              <w:bottom w:w="80" w:type="dxa"/>
              <w:left w:w="120" w:type="dxa"/>
              <w:right w:w="120" w:type="dxa"/>
            </w:tcMar>
          </w:tcPr>
          <w:p>
            <w:pPr>
              <w:spacing w:before="40" w:after="40"/>
              <w:jc w:val="center"/>
            </w:pPr>
            <w:r>
              <w:rPr>
                <w:rFonts w:ascii="Calibri" w:hAnsi="Calibri"/>
                <w:b/>
                <w:color w:val="1E293B"/>
                <w:sz w:val="17"/>
              </w:rPr>
              <w:t>-0.1980</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78.76%</w:t>
            </w:r>
          </w:p>
        </w:tc>
        <w:tc>
          <w:tcPr>
            <w:tcW w:type="dxa" w:w="624"/>
            <w:tcMar>
              <w:top w:w="80" w:type="dxa"/>
              <w:bottom w:w="80" w:type="dxa"/>
              <w:left w:w="120" w:type="dxa"/>
              <w:right w:w="120" w:type="dxa"/>
            </w:tcMar>
          </w:tcPr>
          <w:p>
            <w:pPr>
              <w:spacing w:before="40" w:after="40"/>
              <w:jc w:val="center"/>
            </w:pPr>
            <w:r>
              <w:rPr>
                <w:rFonts w:ascii="Calibri" w:hAnsi="Calibri"/>
                <w:b/>
                <w:color w:val="1E293B"/>
                <w:sz w:val="17"/>
              </w:rPr>
              <w:t>61.32%</w:t>
            </w:r>
          </w:p>
        </w:tc>
        <w:tc>
          <w:tcPr>
            <w:tcW w:type="dxa" w:w="624"/>
            <w:tcMar>
              <w:top w:w="80" w:type="dxa"/>
              <w:bottom w:w="80" w:type="dxa"/>
              <w:left w:w="120" w:type="dxa"/>
              <w:right w:w="120" w:type="dxa"/>
            </w:tcMar>
          </w:tcPr>
          <w:p>
            <w:pPr>
              <w:spacing w:before="40" w:after="40"/>
              <w:jc w:val="center"/>
            </w:pPr>
            <w:r>
              <w:rPr>
                <w:rFonts w:ascii="Calibri" w:hAnsi="Calibri"/>
                <w:b/>
                <w:color w:val="1E293B"/>
                <w:sz w:val="17"/>
              </w:rPr>
              <w:t>-17.44%</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56.41% [44/78]</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66.23% [51/77]</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0.5946</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0.2275</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70.97%</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5 (6.41%)</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41.94%</w:t>
            </w:r>
          </w:p>
        </w:tc>
      </w:tr>
      <w:tr>
        <w:trPr>
          <w:cantSplit/>
        </w:trPr>
        <w:tc>
          <w:tcPr>
            <w:tcW w:type="dxa" w:w="624"/>
            <w:shd w:fill="F8FAFC"/>
            <w:tcMar>
              <w:top w:w="80" w:type="dxa"/>
              <w:bottom w:w="80" w:type="dxa"/>
              <w:left w:w="120" w:type="dxa"/>
              <w:right w:w="120" w:type="dxa"/>
            </w:tcMar>
          </w:tcPr>
          <w:p>
            <w:pPr>
              <w:spacing w:before="40" w:after="40"/>
              <w:jc w:val="left"/>
            </w:pPr>
            <w:r>
              <w:rPr>
                <w:rFonts w:ascii="Calibri" w:hAnsi="Calibri"/>
                <w:b/>
                <w:color w:val="1E293B"/>
                <w:sz w:val="17"/>
              </w:rPr>
              <w:t>NITRD New Delhi Apex Institute</w:t>
            </w:r>
          </w:p>
        </w:tc>
        <w:tc>
          <w:tcPr>
            <w:tcW w:type="dxa" w:w="624"/>
            <w:shd w:fill="F8FAFC"/>
            <w:tcMar>
              <w:top w:w="80" w:type="dxa"/>
              <w:bottom w:w="80" w:type="dxa"/>
              <w:left w:w="120" w:type="dxa"/>
              <w:right w:w="120" w:type="dxa"/>
            </w:tcMar>
          </w:tcPr>
          <w:p>
            <w:pPr>
              <w:spacing w:before="40" w:after="40"/>
              <w:jc w:val="center"/>
            </w:pPr>
            <w:r>
              <w:rPr>
                <w:rFonts w:ascii="Calibri" w:hAnsi="Calibri"/>
                <w:color w:val="1E293B"/>
                <w:sz w:val="17"/>
              </w:rPr>
              <w:t>278 (125 / 153)</w:t>
            </w:r>
          </w:p>
        </w:tc>
        <w:tc>
          <w:tcPr>
            <w:tcW w:type="dxa" w:w="624"/>
            <w:shd w:fill="F8FAFC"/>
            <w:tcMar>
              <w:top w:w="80" w:type="dxa"/>
              <w:bottom w:w="80" w:type="dxa"/>
              <w:left w:w="120" w:type="dxa"/>
              <w:right w:w="120" w:type="dxa"/>
            </w:tcMar>
          </w:tcPr>
          <w:p>
            <w:pPr>
              <w:spacing w:before="40" w:after="40"/>
              <w:jc w:val="center"/>
            </w:pPr>
            <w:r>
              <w:rPr>
                <w:rFonts w:ascii="Calibri" w:hAnsi="Calibri"/>
                <w:color w:val="1E293B"/>
                <w:sz w:val="17"/>
              </w:rPr>
              <w:t>0.8721</w:t>
            </w:r>
          </w:p>
        </w:tc>
        <w:tc>
          <w:tcPr>
            <w:tcW w:type="dxa" w:w="624"/>
            <w:shd w:fill="F8FAFC"/>
            <w:tcMar>
              <w:top w:w="80" w:type="dxa"/>
              <w:bottom w:w="80" w:type="dxa"/>
              <w:left w:w="120" w:type="dxa"/>
              <w:right w:w="120" w:type="dxa"/>
            </w:tcMar>
          </w:tcPr>
          <w:p>
            <w:pPr>
              <w:spacing w:before="40" w:after="40"/>
              <w:jc w:val="center"/>
            </w:pPr>
            <w:r>
              <w:rPr>
                <w:rFonts w:ascii="Calibri" w:hAnsi="Calibri"/>
                <w:b/>
                <w:color w:val="1E293B"/>
                <w:sz w:val="17"/>
              </w:rPr>
              <w:t>0.6774</w:t>
            </w:r>
          </w:p>
        </w:tc>
        <w:tc>
          <w:tcPr>
            <w:tcW w:type="dxa" w:w="624"/>
            <w:shd w:fill="F8FAFC"/>
            <w:tcMar>
              <w:top w:w="80" w:type="dxa"/>
              <w:bottom w:w="80" w:type="dxa"/>
              <w:left w:w="120" w:type="dxa"/>
              <w:right w:w="120" w:type="dxa"/>
            </w:tcMar>
          </w:tcPr>
          <w:p>
            <w:pPr>
              <w:spacing w:before="40" w:after="40"/>
              <w:jc w:val="center"/>
            </w:pPr>
            <w:r>
              <w:rPr>
                <w:rFonts w:ascii="Calibri" w:hAnsi="Calibri"/>
                <w:b/>
                <w:color w:val="1E293B"/>
                <w:sz w:val="17"/>
              </w:rPr>
              <w:t>-0.1947</w:t>
            </w:r>
          </w:p>
        </w:tc>
        <w:tc>
          <w:tcPr>
            <w:tcW w:type="dxa" w:w="624"/>
            <w:shd w:fill="F8FAFC"/>
            <w:tcMar>
              <w:top w:w="80" w:type="dxa"/>
              <w:bottom w:w="80" w:type="dxa"/>
              <w:left w:w="120" w:type="dxa"/>
              <w:right w:w="120" w:type="dxa"/>
            </w:tcMar>
          </w:tcPr>
          <w:p>
            <w:pPr>
              <w:spacing w:before="40" w:after="40"/>
              <w:jc w:val="center"/>
            </w:pPr>
            <w:r>
              <w:rPr>
                <w:rFonts w:ascii="Calibri" w:hAnsi="Calibri"/>
                <w:color w:val="1E293B"/>
                <w:sz w:val="17"/>
              </w:rPr>
              <w:t>79.40%</w:t>
            </w:r>
          </w:p>
        </w:tc>
        <w:tc>
          <w:tcPr>
            <w:tcW w:type="dxa" w:w="624"/>
            <w:shd w:fill="F8FAFC"/>
            <w:tcMar>
              <w:top w:w="80" w:type="dxa"/>
              <w:bottom w:w="80" w:type="dxa"/>
              <w:left w:w="120" w:type="dxa"/>
              <w:right w:w="120" w:type="dxa"/>
            </w:tcMar>
          </w:tcPr>
          <w:p>
            <w:pPr>
              <w:spacing w:before="40" w:after="40"/>
              <w:jc w:val="center"/>
            </w:pPr>
            <w:r>
              <w:rPr>
                <w:rFonts w:ascii="Calibri" w:hAnsi="Calibri"/>
                <w:b/>
                <w:color w:val="1E293B"/>
                <w:sz w:val="17"/>
              </w:rPr>
              <w:t>59.13%</w:t>
            </w:r>
          </w:p>
        </w:tc>
        <w:tc>
          <w:tcPr>
            <w:tcW w:type="dxa" w:w="624"/>
            <w:shd w:fill="F8FAFC"/>
            <w:tcMar>
              <w:top w:w="80" w:type="dxa"/>
              <w:bottom w:w="80" w:type="dxa"/>
              <w:left w:w="120" w:type="dxa"/>
              <w:right w:w="120" w:type="dxa"/>
            </w:tcMar>
          </w:tcPr>
          <w:p>
            <w:pPr>
              <w:spacing w:before="40" w:after="40"/>
              <w:jc w:val="center"/>
            </w:pPr>
            <w:r>
              <w:rPr>
                <w:rFonts w:ascii="Calibri" w:hAnsi="Calibri"/>
                <w:b/>
                <w:color w:val="1E293B"/>
                <w:sz w:val="17"/>
              </w:rPr>
              <w:t>-20.27%</w:t>
            </w:r>
          </w:p>
        </w:tc>
        <w:tc>
          <w:tcPr>
            <w:tcW w:type="dxa" w:w="624"/>
            <w:shd w:fill="F8FAFC"/>
            <w:tcMar>
              <w:top w:w="80" w:type="dxa"/>
              <w:bottom w:w="80" w:type="dxa"/>
              <w:left w:w="120" w:type="dxa"/>
              <w:right w:w="120" w:type="dxa"/>
            </w:tcMar>
          </w:tcPr>
          <w:p>
            <w:pPr>
              <w:spacing w:before="40" w:after="40"/>
              <w:jc w:val="center"/>
            </w:pPr>
            <w:r>
              <w:rPr>
                <w:rFonts w:ascii="Calibri" w:hAnsi="Calibri"/>
                <w:color w:val="1E293B"/>
                <w:sz w:val="17"/>
              </w:rPr>
              <w:t>71.20% [89/125]</w:t>
            </w:r>
          </w:p>
        </w:tc>
        <w:tc>
          <w:tcPr>
            <w:tcW w:type="dxa" w:w="624"/>
            <w:shd w:fill="F8FAFC"/>
            <w:tcMar>
              <w:top w:w="80" w:type="dxa"/>
              <w:bottom w:w="80" w:type="dxa"/>
              <w:left w:w="120" w:type="dxa"/>
              <w:right w:w="120" w:type="dxa"/>
            </w:tcMar>
          </w:tcPr>
          <w:p>
            <w:pPr>
              <w:spacing w:before="40" w:after="40"/>
              <w:jc w:val="center"/>
            </w:pPr>
            <w:r>
              <w:rPr>
                <w:rFonts w:ascii="Calibri" w:hAnsi="Calibri"/>
                <w:color w:val="1E293B"/>
                <w:sz w:val="17"/>
              </w:rPr>
              <w:t>47.06% [72/153]</w:t>
            </w:r>
          </w:p>
        </w:tc>
        <w:tc>
          <w:tcPr>
            <w:tcW w:type="dxa" w:w="624"/>
            <w:shd w:fill="F8FAFC"/>
            <w:tcMar>
              <w:top w:w="80" w:type="dxa"/>
              <w:bottom w:w="80" w:type="dxa"/>
              <w:left w:w="120" w:type="dxa"/>
              <w:right w:w="120" w:type="dxa"/>
            </w:tcMar>
          </w:tcPr>
          <w:p>
            <w:pPr>
              <w:spacing w:before="40" w:after="40"/>
              <w:jc w:val="center"/>
            </w:pPr>
            <w:r>
              <w:rPr>
                <w:rFonts w:ascii="Calibri" w:hAnsi="Calibri"/>
                <w:color w:val="1E293B"/>
                <w:sz w:val="17"/>
              </w:rPr>
              <w:t>0.6034</w:t>
            </w:r>
          </w:p>
        </w:tc>
        <w:tc>
          <w:tcPr>
            <w:tcW w:type="dxa" w:w="624"/>
            <w:shd w:fill="F8FAFC"/>
            <w:tcMar>
              <w:top w:w="80" w:type="dxa"/>
              <w:bottom w:w="80" w:type="dxa"/>
              <w:left w:w="120" w:type="dxa"/>
              <w:right w:w="120" w:type="dxa"/>
            </w:tcMar>
          </w:tcPr>
          <w:p>
            <w:pPr>
              <w:spacing w:before="40" w:after="40"/>
              <w:jc w:val="center"/>
            </w:pPr>
            <w:r>
              <w:rPr>
                <w:rFonts w:ascii="Calibri" w:hAnsi="Calibri"/>
                <w:color w:val="1E293B"/>
                <w:sz w:val="17"/>
              </w:rPr>
              <w:t>0.1864</w:t>
            </w:r>
          </w:p>
        </w:tc>
        <w:tc>
          <w:tcPr>
            <w:tcW w:type="dxa" w:w="624"/>
            <w:shd w:fill="F8FAFC"/>
            <w:tcMar>
              <w:top w:w="80" w:type="dxa"/>
              <w:bottom w:w="80" w:type="dxa"/>
              <w:left w:w="120" w:type="dxa"/>
              <w:right w:w="120" w:type="dxa"/>
            </w:tcMar>
          </w:tcPr>
          <w:p>
            <w:pPr>
              <w:spacing w:before="40" w:after="40"/>
              <w:jc w:val="center"/>
            </w:pPr>
            <w:r>
              <w:rPr>
                <w:rFonts w:ascii="Calibri" w:hAnsi="Calibri"/>
                <w:color w:val="1E293B"/>
                <w:sz w:val="17"/>
              </w:rPr>
              <w:t>79.50%</w:t>
            </w:r>
          </w:p>
        </w:tc>
        <w:tc>
          <w:tcPr>
            <w:tcW w:type="dxa" w:w="624"/>
            <w:shd w:fill="F8FAFC"/>
            <w:tcMar>
              <w:top w:w="80" w:type="dxa"/>
              <w:bottom w:w="80" w:type="dxa"/>
              <w:left w:w="120" w:type="dxa"/>
              <w:right w:w="120" w:type="dxa"/>
            </w:tcMar>
          </w:tcPr>
          <w:p>
            <w:pPr>
              <w:spacing w:before="40" w:after="40"/>
              <w:jc w:val="center"/>
            </w:pPr>
            <w:r>
              <w:rPr>
                <w:rFonts w:ascii="Calibri" w:hAnsi="Calibri"/>
                <w:color w:val="1E293B"/>
                <w:sz w:val="17"/>
              </w:rPr>
              <w:t>5 (4.00%)</w:t>
            </w:r>
          </w:p>
        </w:tc>
        <w:tc>
          <w:tcPr>
            <w:tcW w:type="dxa" w:w="624"/>
            <w:shd w:fill="F8FAFC"/>
            <w:tcMar>
              <w:top w:w="80" w:type="dxa"/>
              <w:bottom w:w="80" w:type="dxa"/>
              <w:left w:w="120" w:type="dxa"/>
              <w:right w:w="120" w:type="dxa"/>
            </w:tcMar>
          </w:tcPr>
          <w:p>
            <w:pPr>
              <w:spacing w:before="40" w:after="40"/>
              <w:jc w:val="center"/>
            </w:pPr>
            <w:r>
              <w:rPr>
                <w:rFonts w:ascii="Calibri" w:hAnsi="Calibri"/>
                <w:color w:val="1E293B"/>
                <w:sz w:val="17"/>
              </w:rPr>
              <w:t>48.92%</w:t>
            </w:r>
          </w:p>
        </w:tc>
      </w:tr>
      <w:tr>
        <w:trPr>
          <w:cantSplit/>
        </w:trPr>
        <w:tc>
          <w:tcPr>
            <w:tcW w:type="dxa" w:w="624"/>
            <w:tcMar>
              <w:top w:w="80" w:type="dxa"/>
              <w:bottom w:w="80" w:type="dxa"/>
              <w:left w:w="120" w:type="dxa"/>
              <w:right w:w="120" w:type="dxa"/>
            </w:tcMar>
          </w:tcPr>
          <w:p>
            <w:pPr>
              <w:spacing w:before="40" w:after="40"/>
              <w:jc w:val="left"/>
            </w:pPr>
            <w:r>
              <w:rPr>
                <w:rFonts w:ascii="Calibri" w:hAnsi="Calibri"/>
                <w:b/>
                <w:color w:val="1E293B"/>
                <w:sz w:val="17"/>
              </w:rPr>
              <w:t>Pakistan Hospital Cohort</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3,008 (2,494 / 514)</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0.4982</w:t>
            </w:r>
          </w:p>
        </w:tc>
        <w:tc>
          <w:tcPr>
            <w:tcW w:type="dxa" w:w="624"/>
            <w:tcMar>
              <w:top w:w="80" w:type="dxa"/>
              <w:bottom w:w="80" w:type="dxa"/>
              <w:left w:w="120" w:type="dxa"/>
              <w:right w:w="120" w:type="dxa"/>
            </w:tcMar>
          </w:tcPr>
          <w:p>
            <w:pPr>
              <w:spacing w:before="40" w:after="40"/>
              <w:jc w:val="center"/>
            </w:pPr>
            <w:r>
              <w:rPr>
                <w:rFonts w:ascii="Calibri" w:hAnsi="Calibri"/>
                <w:b/>
                <w:color w:val="1E293B"/>
                <w:sz w:val="17"/>
              </w:rPr>
              <w:t>0.7098</w:t>
            </w:r>
          </w:p>
        </w:tc>
        <w:tc>
          <w:tcPr>
            <w:tcW w:type="dxa" w:w="624"/>
            <w:tcMar>
              <w:top w:w="80" w:type="dxa"/>
              <w:bottom w:w="80" w:type="dxa"/>
              <w:left w:w="120" w:type="dxa"/>
              <w:right w:w="120" w:type="dxa"/>
            </w:tcMar>
          </w:tcPr>
          <w:p>
            <w:pPr>
              <w:spacing w:before="40" w:after="40"/>
              <w:jc w:val="center"/>
            </w:pPr>
            <w:r>
              <w:rPr>
                <w:rFonts w:ascii="Calibri" w:hAnsi="Calibri"/>
                <w:b/>
                <w:color w:val="1E293B"/>
                <w:sz w:val="17"/>
              </w:rPr>
              <w:t>+0.2116</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50.00%</w:t>
            </w:r>
          </w:p>
        </w:tc>
        <w:tc>
          <w:tcPr>
            <w:tcW w:type="dxa" w:w="624"/>
            <w:tcMar>
              <w:top w:w="80" w:type="dxa"/>
              <w:bottom w:w="80" w:type="dxa"/>
              <w:left w:w="120" w:type="dxa"/>
              <w:right w:w="120" w:type="dxa"/>
            </w:tcMar>
          </w:tcPr>
          <w:p>
            <w:pPr>
              <w:spacing w:before="40" w:after="40"/>
              <w:jc w:val="center"/>
            </w:pPr>
            <w:r>
              <w:rPr>
                <w:rFonts w:ascii="Calibri" w:hAnsi="Calibri"/>
                <w:b/>
                <w:color w:val="1E293B"/>
                <w:sz w:val="17"/>
              </w:rPr>
              <w:t>62.22%</w:t>
            </w:r>
          </w:p>
        </w:tc>
        <w:tc>
          <w:tcPr>
            <w:tcW w:type="dxa" w:w="624"/>
            <w:tcMar>
              <w:top w:w="80" w:type="dxa"/>
              <w:bottom w:w="80" w:type="dxa"/>
              <w:left w:w="120" w:type="dxa"/>
              <w:right w:w="120" w:type="dxa"/>
            </w:tcMar>
          </w:tcPr>
          <w:p>
            <w:pPr>
              <w:spacing w:before="40" w:after="40"/>
              <w:jc w:val="center"/>
            </w:pPr>
            <w:r>
              <w:rPr>
                <w:rFonts w:ascii="Calibri" w:hAnsi="Calibri"/>
                <w:b/>
                <w:color w:val="1E293B"/>
                <w:sz w:val="17"/>
              </w:rPr>
              <w:t>+12.22%</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79.31% [1978/2494]</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45.14% [232/514]</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0.8321</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0.2129</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70.81%</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6 (0.24%)</w:t>
            </w:r>
          </w:p>
        </w:tc>
        <w:tc>
          <w:tcPr>
            <w:tcW w:type="dxa" w:w="624"/>
            <w:tcMar>
              <w:top w:w="80" w:type="dxa"/>
              <w:bottom w:w="80" w:type="dxa"/>
              <w:left w:w="120" w:type="dxa"/>
              <w:right w:w="120" w:type="dxa"/>
            </w:tcMar>
          </w:tcPr>
          <w:p>
            <w:pPr>
              <w:spacing w:before="40" w:after="40"/>
              <w:jc w:val="center"/>
            </w:pPr>
            <w:r>
              <w:rPr>
                <w:rFonts w:ascii="Calibri" w:hAnsi="Calibri"/>
                <w:color w:val="1E293B"/>
                <w:sz w:val="17"/>
              </w:rPr>
              <w:t>44.22%</w:t>
            </w:r>
          </w:p>
        </w:tc>
      </w:tr>
    </w:tbl>
    <w:p>
      <w:pPr>
        <w:spacing w:before="80" w:after="120"/>
      </w:pPr>
    </w:p>
    <w:p>
      <w:pPr>
        <w:spacing w:before="0" w:after="80" w:line="276" w:lineRule="auto"/>
      </w:pPr>
      <w:r>
        <w:rPr>
          <w:rFonts w:ascii="Calibri" w:hAnsi="Calibri"/>
          <w:color w:val="1E293B"/>
          <w:sz w:val="20"/>
        </w:rPr>
        <w:t>*Clinical Interpretation of Accuracy-Robustness Trade-Off (Tsipras et al., ICLR 2019; Raghu et al., NeurIPS 2019): Injecting severe synthetic noise during retraining successfully adapted convolutional representations to the downsampled 256x256 JPEG artifacts of the Pakistan cohort (AUROC improvement of +0.2116; balanced accuracy improvement of +12.22%). However, forcing invariance to textural blur and blockiness degraded diagnostic sensitivity to subtle, high-frequency mycobacterial lesions on high-fidelity clinical radiographs, causing severe performance drops on Solan (-0.1980 AUROC) and NITRD (-0.1947 AUROC). This indicates that noise augmentation during training can compromise fine-grained diagnostic sensitivity on standard clinical radiographs, highlighting the utility of front-end pre-analytic quality filtering and out-of-distribution detection to intercept degraded scans rather than training through distortion.*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