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t>Additional file 1</w:t>
      </w:r>
    </w:p>
    <w:p>
      <w:pPr>
        <w:pStyle w:val="Heading1"/>
      </w:pPr>
      <w:r>
        <w:rPr/>
        <w:t>Supplementary methods and reporting checklist</w:t>
      </w:r>
    </w:p>
    <w:p>
      <w:r>
        <w:rPr/>
        <w:t>Study: Blood pressure control transitions and subsequent reported stroke among Chinese adults with hypertension in a landmark cohort study.</w:t>
      </w:r>
    </w:p>
    <w:p>
      <w:r>
        <w:rPr/>
        <w:t>The original local plan was recorded after feasibility counts but before association modelling. It is not a preregistration. Semiparametric PH, Turnbull estimation, measurement-condition restriction, continuous pressure change, wide-event-interval censoring, and hypothetical pre-death stroke scenarios were added during revision. They are not backdated as prespecified analyses. Source scripts and aggregate exports are provided in Additional file 2.</w:t>
      </w:r>
    </w:p>
    <w:p>
      <w:pPr>
        <w:pStyle w:val="Heading1"/>
      </w:pPr>
      <w:r>
        <w:rPr/>
        <w:t>S1 Outcome questionnaire and coding crosswalk</w:t>
      </w:r>
    </w:p>
    <w:p>
      <w:r>
        <w:rPr/>
        <w:t>The following descriptions paraphrase the questionnaire content; they are not uniform verbatim questions across waves. A physician-diagnosis item is different from a preload or a correction of previous interview history.</w:t>
      </w:r>
    </w:p>
    <w:p>
      <w:pPr>
        <w:keepNext/>
      </w:pPr>
      <w:r>
        <w:rPr>
          <w:b/>
        </w:rPr>
        <w:t>Questionnaire crosswalk</w:t>
      </w:r>
    </w:p>
    <w:tbl>
      <w:tblPr>
        <w:tblW w:type="auto" w:w="0"/>
        <w:tblLayout w:type="fixed"/>
        <w:tblLook w:firstColumn="1" w:firstRow="1" w:lastColumn="0" w:lastRow="0" w:noHBand="0" w:noVBand="1" w:val="04A0"/>
      </w:tblPr>
      <w:tblGrid>
        <w:gridCol w:w="720"/>
        <w:gridCol w:w="2592"/>
        <w:gridCol w:w="3312"/>
        <w:gridCol w:w="2333"/>
      </w:tblGrid>
      <w:tr>
        <w:trPr>
          <w:cantSplit/>
          <w:tblHeader/>
        </w:trPr>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sz w:val="20"/>
              </w:rPr>
              <w:t>Wave</w:t>
            </w:r>
          </w:p>
        </w:tc>
        <w:tc>
          <w:tcPr>
            <w:tcW w:type="dxa" w:w="259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Original variables</w:t>
            </w:r>
          </w:p>
        </w:tc>
        <w:tc>
          <w:tcPr>
            <w:tcW w:type="dxa" w:w="331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Question content and role</w:t>
            </w:r>
          </w:p>
        </w:tc>
        <w:tc>
          <w:tcPr>
            <w:tcW w:type="dxa" w:w="233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Handling</w:t>
            </w:r>
          </w:p>
        </w:tc>
      </w:tr>
      <w:tr>
        <w:trPr>
          <w:cantSplit/>
        </w:trPr>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2011</w:t>
            </w:r>
          </w:p>
        </w:tc>
        <w:tc>
          <w:tcPr>
            <w:tcW w:type="dxa" w:w="259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da007_​8_​</w:t>
            </w:r>
          </w:p>
        </w:tc>
        <w:tc>
          <w:tcPr>
            <w:tcW w:type="dxa" w:w="331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Whether a doctor had diagnosed stroke</w:t>
            </w:r>
          </w:p>
        </w:tc>
        <w:tc>
          <w:tcPr>
            <w:tcW w:type="dxa" w:w="233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 yes, 2 no; explicit no required for initial eligibility</w:t>
            </w:r>
          </w:p>
        </w:tc>
      </w:tr>
      <w:tr>
        <w:trPr>
          <w:cantSplit/>
        </w:trPr>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2013</w:t>
            </w:r>
          </w:p>
        </w:tc>
        <w:tc>
          <w:tcPr>
            <w:tcW w:type="dxa" w:w="259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da007_​8_​; zda007_​8_​; da007_​w2_​1_​8_​; da007_​w2_​2_​8_​</w:t>
            </w:r>
          </w:p>
        </w:tc>
        <w:tc>
          <w:tcPr>
            <w:tcW w:type="dxa" w:w="331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Direct diagnosis, previous-history preload, agreement with prior history, and diagnosis since previous interview</w:t>
            </w:r>
          </w:p>
        </w:tc>
        <w:tc>
          <w:tcPr>
            <w:tcW w:type="dxa" w:w="233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Interpret together using questionnaire routing; disagreement with a prior negative is a history correction, not automatically an incident stroke</w:t>
            </w:r>
          </w:p>
        </w:tc>
      </w:tr>
      <w:tr>
        <w:trPr>
          <w:cantSplit/>
        </w:trPr>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2015</w:t>
            </w:r>
          </w:p>
        </w:tc>
        <w:tc>
          <w:tcPr>
            <w:tcW w:type="dxa" w:w="259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Same stroke-loop items; da009_​1_​8_​; da009_​2_​8_​</w:t>
            </w:r>
          </w:p>
        </w:tc>
        <w:tc>
          <w:tcPr>
            <w:tcW w:type="dxa" w:w="331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Diagnosis, history verification, recalled first-diagnosis year or age</w:t>
            </w:r>
          </w:p>
        </w:tc>
        <w:tc>
          <w:tcPr>
            <w:tcW w:type="dxa" w:w="233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Conservative historical exclusions; age-based onset is an interval, not an exact event date</w:t>
            </w:r>
          </w:p>
        </w:tc>
      </w:tr>
      <w:tr>
        <w:trPr>
          <w:cantSplit/>
        </w:trPr>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2018</w:t>
            </w:r>
          </w:p>
        </w:tc>
        <w:tc>
          <w:tcPr>
            <w:tcW w:type="dxa" w:w="259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da007_​8_​; zdisease8; da010_​w2_​2_​8_​; da009_​1_​8_​; da009_​2_​8_​</w:t>
            </w:r>
          </w:p>
        </w:tc>
        <w:tc>
          <w:tcPr>
            <w:tcW w:type="dxa" w:w="331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Physician diagnosis, preloaded history and change in previously reported condition, first-diagnosis timing</w:t>
            </w:r>
          </w:p>
        </w:tc>
        <w:tc>
          <w:tcPr>
            <w:tcW w:type="dxa" w:w="233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Use wave-specific logic; later recall can identify a pre-landmark history</w:t>
            </w:r>
          </w:p>
        </w:tc>
      </w:tr>
      <w:tr>
        <w:trPr>
          <w:cantSplit/>
        </w:trPr>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2020</w:t>
            </w:r>
          </w:p>
        </w:tc>
        <w:tc>
          <w:tcPr>
            <w:tcW w:type="dxa" w:w="259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da003_​8_​; zdisease8; da002_​8_​</w:t>
            </w:r>
          </w:p>
        </w:tc>
        <w:tc>
          <w:tcPr>
            <w:tcW w:type="dxa" w:w="331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Whether a doctor had ever told the respondent that they had stroke, with prior-condition follow-up</w:t>
            </w:r>
          </w:p>
        </w:tc>
        <w:tc>
          <w:tcPr>
            <w:tcW w:type="dxa" w:w="233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DA003 is the diagnosis item in this wave; do not reuse DA007 as stroke</w:t>
            </w:r>
          </w:p>
        </w:tc>
      </w:tr>
      <w:tr>
        <w:trPr>
          <w:cantSplit/>
        </w:trPr>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2020 exit</w:t>
            </w:r>
          </w:p>
        </w:tc>
        <w:tc>
          <w:tcPr>
            <w:tcW w:type="dxa" w:w="259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exda007; exda008 and related fields</w:t>
            </w:r>
          </w:p>
        </w:tc>
        <w:tc>
          <w:tcPr>
            <w:tcW w:type="dxa" w:w="331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Proxy report of stroke since last interview and timing of most recent stroke</w:t>
            </w:r>
          </w:p>
        </w:tc>
        <w:tc>
          <w:tcPr>
            <w:tcW w:type="dxa" w:w="233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Supplements only previously unrecorded events; four new events in the primary usable sample; no independent adjudication</w:t>
            </w:r>
          </w:p>
        </w:tc>
      </w:tr>
    </w:tbl>
    <w:p>
      <w:r>
        <w:rPr/>
        <w:t>Source files: local original CHARLS health and functioning files; CHARLS_Wave2_Main_Questionnaire.pdf (printed pp. 69–71); CHARLS_2015_Questionnaire.pdf; CHARLS_2018_Household_Questionnaire.pdf; CHARLS_2020_Questionnaire_Chinese.pdf, health section DA001–DA004; and 2020 Exit_Module.dta variable labels. Original record identifiers are not included here. Source documentation is available through https://charls.pku.edu.cn/en/.</w:t>
      </w:r>
    </w:p>
    <w:p>
      <w:r>
        <w:rPr/>
        <w:t>No hospital record, insurance linkage, or mortality-registry validation subset was available in the analysed files. The audit establishes consistency with questionnaire routing, not clinical sensitivity, specificity, or proxy validity. First report is not necessarily first occurrence.</w:t>
      </w:r>
    </w:p>
    <w:p>
      <w:pPr>
        <w:pStyle w:val="Heading1"/>
      </w:pPr>
      <w:r>
        <w:rPr/>
        <w:t>S2 Blood pressure measurement and treatment</w:t>
      </w:r>
    </w:p>
    <w:p>
      <w:r>
        <w:rPr/>
        <w:t>The original 2013 biomarker questionnaire specifies an Omron HEM-7200 monitor, three readings, a seated and quiet participant, arm support at heart level, and interviewer demonstration. It records actual arm (QA014), compliance (QA015), posture (QA016), and smoking/exercise/alcohol/food in the preceding 30 minutes (QA017). The protocol introduction names the left arm; the actual-arm variable permits the right arm. We did not infer a fixed rest period, cuff size, or verified interreading interval from general recommendations. Interview month is reported as a timing proxy, rather than claiming the examination took place at exactly that date. Most included interviews occurred in July or August.</w:t>
      </w:r>
    </w:p>
    <w:p>
      <w:r>
        <w:rPr/>
        <w:t>BP quality control: systolic 70–260, diastolic 40–150 mmHg, systolic greater than diastolic, and at least two valid paired readings. Primary average: last two valid pairs. Sensitivity: all valid pairs. The later-reading choice reduces dependence on the initial reading but does not prove freedom from white-coat effects. Within-visit repeatability cannot identify total between-visit error, and a formal regression-calibration or SIMEX correction was not asserted without validated error parameters.</w:t>
      </w:r>
    </w:p>
    <w:p>
      <w:r>
        <w:rPr/>
        <w:t>Follow-up treatment is described, not adjusted for as if it unambiguously preceded the two-visit exposure. Medication types, doses, and adherence were not sufficiently characterized for treatment-intensification strategies. Unknown status is retained as unknown. Western medication refers to the recorded treatment response; reported initiation does not establish dose intensification or adherence.</w:t>
      </w:r>
    </w:p>
    <w:p>
      <w:pPr>
        <w:pStyle w:val="Heading1"/>
      </w:pPr>
      <w:r>
        <w:rPr/>
        <w:t>S3 Mortality and observation</w:t>
      </w:r>
    </w:p>
    <w:p>
      <w:r>
        <w:rPr/>
        <w:t>In the history-cleaned master population, 464 participants had a known death; 444 lacked a recorded stroke. Only 21 had an exit death month explicitly identified as solar calendar. Three lunar-calendar dates were not interpreted as Gregorian months. Other upper bounds use the first survey documenting death. These dates are not exact mortality times. Death certificates are not available as validated endpoint records for this analysis, and a cause-of-death classification is not claimed.</w:t>
      </w:r>
    </w:p>
    <w:p>
      <w:r>
        <w:rPr/>
        <w:t>The stroke model censors at the last observed negative interview. It assumes sufficient conditional independence of observation for its association to be interpretable. It is neither an identified competing-risk incidence model nor a substitute for identifying stroke before death. The composite uses stroke or death as its event and is labelled separately.</w:t>
      </w:r>
    </w:p>
    <w:p>
      <w:r>
        <w:rPr/>
        <w:t>Hypothetical pre-death stroke scenarios retain the original primary population, with 71 UC and 175 UU known deaths without recorded stroke eligible for reassignment. The assumed probabilities are not estimated from validation data. The scenario quantiles describe Monte Carlo variation in assigning hypothetical events and are NOT confidence intervals; uncertainty in model parameters, death timing, and the bias mechanism remains. Equal assumed underreporting produces little change; differential assumptions materially shift the association. These scenarios do not cover excluded participants or unreported stroke among surviving nonrespondents.</w:t>
      </w:r>
    </w:p>
    <w:p>
      <w:r>
        <w:rPr/>
        <w:t>Wave observation tables distinguish prior reported death, newly reported death, observed stroke status, and no observed status without reported death. The last category includes several mechanisms and is not labelled uniformly as refusal or loss to follow-up. Current data coding does not support separating every such mechanism. Baseline comparisons include all 6326 hypertensive participants and are descriptive; selection weighting cannot recover undefined landmark exposures for pre-landmark deaths.</w:t>
      </w:r>
    </w:p>
    <w:p>
      <w:pPr>
        <w:pStyle w:val="Heading1"/>
      </w:pPr>
      <w:r>
        <w:rPr/>
        <w:t>S4 Modelling and missingness</w:t>
      </w:r>
    </w:p>
    <w:p>
      <w:r>
        <w:rPr/>
        <w:t>The semiparametric interval PH model uses icenReg 2.0.16, with 300 community-level bootstrap samples (seed 20260914). All 300 completed. The percentile interval is distinct from the clustered Wald interval used for Weibull and lognormal models. It relaxes baseline shape, but retains PH and observation assumptions. Turnbull estimates are unadjusted; step locations are an NPMLE representation and should not be read as exact event dates. Cluster sizes are reported; an ordinary binary-outcome ICC or a single survey design effect was not substituted for endpoint- and model-specific uncertainty.</w:t>
      </w:r>
    </w:p>
    <w:p>
      <w:r>
        <w:rPr/>
        <w:t>Continuous SBP and DBP changes are fitted separately in the initially uncontrolled sample with the original covariates, including baseline SBP and DBP. They remain vulnerable to measurement error, mathematical coupling, and regression to the mean. For the wide-interval analysis, an event interval longer than four years is replaced with censoring at its last observed negative time; records with no remaining positive follow-up time contribute no information and are omitted.</w:t>
      </w:r>
    </w:p>
    <w:p>
      <w:r>
        <w:rPr/>
        <w:t>The 20-dataset imputation used chained equations and predictive mean matching; the approximate event-time auxiliary and single-level conditional models are not fully compatible with interval censoring and cluster structure. The observed values were unchanged, and all 20 imputed datasets differed. This numerical integrity check is not validation of the missing-at-random assumption. Bias direction is unknown. Covariate missingness and measurement/treatment missingness are reported separately.</w:t>
      </w:r>
    </w:p>
    <w:p>
      <w:pPr>
        <w:pStyle w:val="Heading1"/>
      </w:pPr>
      <w:r>
        <w:rPr/>
        <w:t>S5 STROBE cohort checklist</w:t>
      </w:r>
    </w:p>
    <w:p>
      <w:pPr>
        <w:keepNext/>
      </w:pPr>
      <w:r>
        <w:rPr>
          <w:b/>
        </w:rPr>
        <w:t>STROBE checklist</w:t>
      </w:r>
    </w:p>
    <w:tbl>
      <w:tblPr>
        <w:tblW w:type="auto" w:w="0"/>
        <w:tblLayout w:type="fixed"/>
        <w:tblLook w:firstColumn="1" w:firstRow="1" w:lastColumn="0" w:lastRow="0" w:noHBand="0" w:noVBand="1" w:val="04A0"/>
      </w:tblPr>
      <w:tblGrid>
        <w:gridCol w:w="2304"/>
        <w:gridCol w:w="6653"/>
      </w:tblGrid>
      <w:tr>
        <w:trPr>
          <w:cantSplit/>
          <w:tblHeader/>
        </w:trPr>
        <w:tc>
          <w:tcPr>
            <w:tcW w:type="dxa" w:w="2304"/>
            <w:vAlign w:val="center"/>
            <w:tcBorders>
              <w:top w:val="single" w:sz="4" w:color="000000"/>
              <w:left w:val="single" w:sz="4" w:color="000000"/>
              <w:bottom w:val="single" w:sz="4" w:color="000000"/>
              <w:right w:val="single" w:sz="4" w:color="000000"/>
            </w:tcBorders>
          </w:tcPr>
          <w:p>
            <w:pPr>
              <w:spacing w:line="276" w:lineRule="auto" w:after="80" w:before="80"/>
              <w:jc w:val="left"/>
            </w:pPr>
            <w:r>
              <w:rPr>
                <w:b/>
                <w:sz w:val="20"/>
              </w:rPr>
              <w:t>Item</w:t>
            </w:r>
          </w:p>
        </w:tc>
        <w:tc>
          <w:tcPr>
            <w:tcW w:type="dxa" w:w="665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Location and application</w:t>
            </w:r>
          </w:p>
        </w:tc>
      </w:tr>
      <w:tr>
        <w:trPr>
          <w:cantSplit/>
        </w:trPr>
        <w:tc>
          <w:tcPr>
            <w:tcW w:type="dxa" w:w="2304"/>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1 Title and abstract</w:t>
            </w:r>
          </w:p>
        </w:tc>
        <w:tc>
          <w:tcPr>
            <w:tcW w:type="dxa" w:w="665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Title identifies a landmark cohort; abstract reports main and discrepant models</w:t>
            </w:r>
          </w:p>
        </w:tc>
      </w:tr>
      <w:tr>
        <w:trPr>
          <w:cantSplit/>
        </w:trPr>
        <w:tc>
          <w:tcPr>
            <w:tcW w:type="dxa" w:w="2304"/>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2 Background</w:t>
            </w:r>
          </w:p>
        </w:tc>
        <w:tc>
          <w:tcPr>
            <w:tcW w:type="dxa" w:w="665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Background describes clinical context and overlapping CHARLS research</w:t>
            </w:r>
          </w:p>
        </w:tc>
      </w:tr>
      <w:tr>
        <w:trPr>
          <w:cantSplit/>
        </w:trPr>
        <w:tc>
          <w:tcPr>
            <w:tcW w:type="dxa" w:w="2304"/>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3 Objectives</w:t>
            </w:r>
          </w:p>
        </w:tc>
        <w:tc>
          <w:tcPr>
            <w:tcW w:type="dxa" w:w="665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Final Background paragraph; primary and secondary contrasts in Methods</w:t>
            </w:r>
          </w:p>
        </w:tc>
      </w:tr>
      <w:tr>
        <w:trPr>
          <w:cantSplit/>
        </w:trPr>
        <w:tc>
          <w:tcPr>
            <w:tcW w:type="dxa" w:w="2304"/>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4 Study design</w:t>
            </w:r>
          </w:p>
        </w:tc>
        <w:tc>
          <w:tcPr>
            <w:tcW w:type="dxa" w:w="665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Methods, Study design and participants</w:t>
            </w:r>
          </w:p>
        </w:tc>
      </w:tr>
      <w:tr>
        <w:trPr>
          <w:cantSplit/>
        </w:trPr>
        <w:tc>
          <w:tcPr>
            <w:tcW w:type="dxa" w:w="2304"/>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5 Setting</w:t>
            </w:r>
          </w:p>
        </w:tc>
        <w:tc>
          <w:tcPr>
            <w:tcW w:type="dxa" w:w="665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Methods specify CHARLS waves and 2013 landmark; timing distribution in Supplement_​interview_​months.csv</w:t>
            </w:r>
          </w:p>
        </w:tc>
      </w:tr>
      <w:tr>
        <w:trPr>
          <w:cantSplit/>
        </w:trPr>
        <w:tc>
          <w:tcPr>
            <w:tcW w:type="dxa" w:w="2304"/>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6 Participants</w:t>
            </w:r>
          </w:p>
        </w:tc>
        <w:tc>
          <w:tcPr>
            <w:tcW w:type="dxa" w:w="665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Eligibility, historical exclusions, censoring and Figure 1; S3 observation mechanisms</w:t>
            </w:r>
          </w:p>
        </w:tc>
      </w:tr>
      <w:tr>
        <w:trPr>
          <w:cantSplit/>
        </w:trPr>
        <w:tc>
          <w:tcPr>
            <w:tcW w:type="dxa" w:w="2304"/>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7 Variables</w:t>
            </w:r>
          </w:p>
        </w:tc>
        <w:tc>
          <w:tcPr>
            <w:tcW w:type="dxa" w:w="665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Blood pressure, stroke and covariate definitions; S1 crosswalk</w:t>
            </w:r>
          </w:p>
        </w:tc>
      </w:tr>
      <w:tr>
        <w:trPr>
          <w:cantSplit/>
        </w:trPr>
        <w:tc>
          <w:tcPr>
            <w:tcW w:type="dxa" w:w="2304"/>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8 Data sources and measurement</w:t>
            </w:r>
          </w:p>
        </w:tc>
        <w:tc>
          <w:tcPr>
            <w:tcW w:type="dxa" w:w="665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Original files, S1–S2, measurement conditions export</w:t>
            </w:r>
          </w:p>
        </w:tc>
      </w:tr>
      <w:tr>
        <w:trPr>
          <w:cantSplit/>
        </w:trPr>
        <w:tc>
          <w:tcPr>
            <w:tcW w:type="dxa" w:w="2304"/>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9 Bias</w:t>
            </w:r>
          </w:p>
        </w:tc>
        <w:tc>
          <w:tcPr>
            <w:tcW w:type="dxa" w:w="665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Historical corrections, post-revision audits, scenarios and Discussion; unresolved biases stated</w:t>
            </w:r>
          </w:p>
        </w:tc>
      </w:tr>
      <w:tr>
        <w:trPr>
          <w:cantSplit/>
        </w:trPr>
        <w:tc>
          <w:tcPr>
            <w:tcW w:type="dxa" w:w="2304"/>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10 Study size</w:t>
            </w:r>
          </w:p>
        </w:tc>
        <w:tc>
          <w:tcPr>
            <w:tcW w:type="dxa" w:w="665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Available eligible cohort, not a prospective power-based sample; counts in Figure 1</w:t>
            </w:r>
          </w:p>
        </w:tc>
      </w:tr>
      <w:tr>
        <w:trPr>
          <w:cantSplit/>
        </w:trPr>
        <w:tc>
          <w:tcPr>
            <w:tcW w:type="dxa" w:w="2304"/>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11 Quantitative variables</w:t>
            </w:r>
          </w:p>
        </w:tc>
        <w:tc>
          <w:tcPr>
            <w:tcW w:type="dxa" w:w="665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BP cutoffs, averaging, units and covariate transforms in code; continuous-change sensitivity</w:t>
            </w:r>
          </w:p>
        </w:tc>
      </w:tr>
      <w:tr>
        <w:trPr>
          <w:cantSplit/>
        </w:trPr>
        <w:tc>
          <w:tcPr>
            <w:tcW w:type="dxa" w:w="2304"/>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12 Statistical methods</w:t>
            </w:r>
          </w:p>
        </w:tc>
        <w:tc>
          <w:tcPr>
            <w:tcW w:type="dxa" w:w="665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Interval models, adjustment, cluster uncertainty, missingness and observation weighting; secondary analyses exploratory</w:t>
            </w:r>
          </w:p>
        </w:tc>
      </w:tr>
      <w:tr>
        <w:trPr>
          <w:cantSplit/>
        </w:trPr>
        <w:tc>
          <w:tcPr>
            <w:tcW w:type="dxa" w:w="2304"/>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13 Participant flow</w:t>
            </w:r>
          </w:p>
        </w:tc>
        <w:tc>
          <w:tcPr>
            <w:tcW w:type="dxa" w:w="665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Figure 1 and Supplement_​wave_​observation.csv; granular refusal categories not established</w:t>
            </w:r>
          </w:p>
        </w:tc>
      </w:tr>
      <w:tr>
        <w:trPr>
          <w:cantSplit/>
        </w:trPr>
        <w:tc>
          <w:tcPr>
            <w:tcW w:type="dxa" w:w="2304"/>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14 Descriptive data</w:t>
            </w:r>
          </w:p>
        </w:tc>
        <w:tc>
          <w:tcPr>
            <w:tcW w:type="dxa" w:w="665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Expanded Table 1, selection comparison, missingness and interval distributions</w:t>
            </w:r>
          </w:p>
        </w:tc>
      </w:tr>
      <w:tr>
        <w:trPr>
          <w:cantSplit/>
        </w:trPr>
        <w:tc>
          <w:tcPr>
            <w:tcW w:type="dxa" w:w="2304"/>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15 Outcome data</w:t>
            </w:r>
          </w:p>
        </w:tc>
        <w:tc>
          <w:tcPr>
            <w:tcW w:type="dxa" w:w="665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Group event counts, source and death tables; event counts are not fixed-time cumulative incidence</w:t>
            </w:r>
          </w:p>
        </w:tc>
      </w:tr>
      <w:tr>
        <w:trPr>
          <w:cantSplit/>
        </w:trPr>
        <w:tc>
          <w:tcPr>
            <w:tcW w:type="dxa" w:w="2304"/>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16 Main results</w:t>
            </w:r>
          </w:p>
        </w:tc>
        <w:tc>
          <w:tcPr>
            <w:tcW w:type="dxa" w:w="665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Results and Table 2 with n, events, HR and CI; no causal absolute benefit claimed</w:t>
            </w:r>
          </w:p>
        </w:tc>
      </w:tr>
      <w:tr>
        <w:trPr>
          <w:cantSplit/>
        </w:trPr>
        <w:tc>
          <w:tcPr>
            <w:tcW w:type="dxa" w:w="2304"/>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17 Other analyses</w:t>
            </w:r>
          </w:p>
        </w:tc>
        <w:tc>
          <w:tcPr>
            <w:tcW w:type="dxa" w:w="665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Table 3, Figure 4, S6 tables; prespecified and post-revision analyses distinguished</w:t>
            </w:r>
          </w:p>
        </w:tc>
      </w:tr>
      <w:tr>
        <w:trPr>
          <w:cantSplit/>
        </w:trPr>
        <w:tc>
          <w:tcPr>
            <w:tcW w:type="dxa" w:w="2304"/>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18 Key results</w:t>
            </w:r>
          </w:p>
        </w:tc>
        <w:tc>
          <w:tcPr>
            <w:tcW w:type="dxa" w:w="665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Discussion opening paragraph</w:t>
            </w:r>
          </w:p>
        </w:tc>
      </w:tr>
      <w:tr>
        <w:trPr>
          <w:cantSplit/>
        </w:trPr>
        <w:tc>
          <w:tcPr>
            <w:tcW w:type="dxa" w:w="2304"/>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19 Limitations</w:t>
            </w:r>
          </w:p>
        </w:tc>
        <w:tc>
          <w:tcPr>
            <w:tcW w:type="dxa" w:w="665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Discussion and S1–S4; direction of several biases remains unidentified</w:t>
            </w:r>
          </w:p>
        </w:tc>
      </w:tr>
      <w:tr>
        <w:trPr>
          <w:cantSplit/>
        </w:trPr>
        <w:tc>
          <w:tcPr>
            <w:tcW w:type="dxa" w:w="2304"/>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20 Interpretation</w:t>
            </w:r>
          </w:p>
        </w:tc>
        <w:tc>
          <w:tcPr>
            <w:tcW w:type="dxa" w:w="665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Cautious conclusion with distributional and exposure-definition dependence</w:t>
            </w:r>
          </w:p>
        </w:tc>
      </w:tr>
      <w:tr>
        <w:trPr>
          <w:cantSplit/>
        </w:trPr>
        <w:tc>
          <w:tcPr>
            <w:tcW w:type="dxa" w:w="2304"/>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21 Generalisability</w:t>
            </w:r>
          </w:p>
        </w:tc>
        <w:tc>
          <w:tcPr>
            <w:tcW w:type="dxa" w:w="665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Selected survivors and attendees; no national longitudinal or external-validation claim</w:t>
            </w:r>
          </w:p>
        </w:tc>
      </w:tr>
      <w:tr>
        <w:trPr>
          <w:cantSplit/>
        </w:trPr>
        <w:tc>
          <w:tcPr>
            <w:tcW w:type="dxa" w:w="2304"/>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22 Funding</w:t>
            </w:r>
          </w:p>
        </w:tc>
        <w:tc>
          <w:tcPr>
            <w:tcW w:type="dxa" w:w="665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Declarations report the funding source and grant number.</w:t>
            </w:r>
          </w:p>
        </w:tc>
      </w:tr>
    </w:tbl>
    <w:p>
      <w:r>
        <w:rPr/>
        <w:t>This checklist maps reporting; it is not a score or certification of study validity.</w:t>
      </w:r>
    </w:p>
    <w:p>
      <w:pPr>
        <w:pStyle w:val="Heading1"/>
      </w:pPr>
      <w:r>
        <w:rPr/>
        <w:t>S6 Supplementary results</w:t>
      </w:r>
    </w:p>
    <w:p>
      <w:pPr>
        <w:keepNext/>
      </w:pPr>
      <w:r>
        <w:rPr>
          <w:b/>
        </w:rPr>
        <w:t>Table S1. Blood pressure changes and event interval distributions</w:t>
      </w:r>
    </w:p>
    <w:tbl>
      <w:tblPr>
        <w:tblW w:type="auto" w:w="0"/>
        <w:tblLayout w:type="fixed"/>
        <w:tblLook w:firstColumn="1" w:firstRow="1" w:lastColumn="0" w:lastRow="0" w:noHBand="0" w:noVBand="1" w:val="04A0"/>
      </w:tblPr>
      <w:tblGrid>
        <w:gridCol w:w="1008"/>
        <w:gridCol w:w="2592"/>
        <w:gridCol w:w="720"/>
        <w:gridCol w:w="2016"/>
        <w:gridCol w:w="2621"/>
      </w:tblGrid>
      <w:tr>
        <w:trPr>
          <w:cantSplit/>
          <w:tblHeader/>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sz w:val="20"/>
              </w:rPr>
              <w:t>Group</w:t>
            </w:r>
          </w:p>
        </w:tc>
        <w:tc>
          <w:tcPr>
            <w:tcW w:type="dxa" w:w="259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Measure</w:t>
            </w:r>
          </w:p>
        </w:tc>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N</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Mean (SD)</w:t>
            </w:r>
          </w:p>
        </w:tc>
        <w:tc>
          <w:tcPr>
            <w:tcW w:type="dxa" w:w="26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Median (IQR)</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CC</w:t>
            </w:r>
          </w:p>
        </w:tc>
        <w:tc>
          <w:tcPr>
            <w:tcW w:type="dxa" w:w="259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SBP change</w:t>
            </w:r>
          </w:p>
        </w:tc>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488</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0.88 (12.98)</w:t>
            </w:r>
          </w:p>
        </w:tc>
        <w:tc>
          <w:tcPr>
            <w:tcW w:type="dxa" w:w="26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1.50 (-7.50–9.00)</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CC</w:t>
            </w:r>
          </w:p>
        </w:tc>
        <w:tc>
          <w:tcPr>
            <w:tcW w:type="dxa" w:w="259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DBP change</w:t>
            </w:r>
          </w:p>
        </w:tc>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488</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-0.18 (9.55)</w:t>
            </w:r>
          </w:p>
        </w:tc>
        <w:tc>
          <w:tcPr>
            <w:tcW w:type="dxa" w:w="26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0.50 (-6.50–6.00)</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CC</w:t>
            </w:r>
          </w:p>
        </w:tc>
        <w:tc>
          <w:tcPr>
            <w:tcW w:type="dxa" w:w="259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event interval width</w:t>
            </w:r>
          </w:p>
        </w:tc>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33</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2.73 (0.63)</w:t>
            </w:r>
          </w:p>
        </w:tc>
        <w:tc>
          <w:tcPr>
            <w:tcW w:type="dxa" w:w="26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3.00 (2.00–3.00)</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CC</w:t>
            </w:r>
          </w:p>
        </w:tc>
        <w:tc>
          <w:tcPr>
            <w:tcW w:type="dxa" w:w="259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observation endpoint</w:t>
            </w:r>
          </w:p>
        </w:tc>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488</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6.42 (1.33)</w:t>
            </w:r>
          </w:p>
        </w:tc>
        <w:tc>
          <w:tcPr>
            <w:tcW w:type="dxa" w:w="26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7.00 (6.92–7.00)</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CU</w:t>
            </w:r>
          </w:p>
        </w:tc>
        <w:tc>
          <w:tcPr>
            <w:tcW w:type="dxa" w:w="259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SBP change</w:t>
            </w:r>
          </w:p>
        </w:tc>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288</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24.41 (15.50)</w:t>
            </w:r>
          </w:p>
        </w:tc>
        <w:tc>
          <w:tcPr>
            <w:tcW w:type="dxa" w:w="26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20.75 (12.88–33.00)</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CU</w:t>
            </w:r>
          </w:p>
        </w:tc>
        <w:tc>
          <w:tcPr>
            <w:tcW w:type="dxa" w:w="259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DBP change</w:t>
            </w:r>
          </w:p>
        </w:tc>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288</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10.40 (9.88)</w:t>
            </w:r>
          </w:p>
        </w:tc>
        <w:tc>
          <w:tcPr>
            <w:tcW w:type="dxa" w:w="26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10.00 (4.38–14.62)</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CU</w:t>
            </w:r>
          </w:p>
        </w:tc>
        <w:tc>
          <w:tcPr>
            <w:tcW w:type="dxa" w:w="259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event interval width</w:t>
            </w:r>
          </w:p>
        </w:tc>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33</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2.65 (0.47)</w:t>
            </w:r>
          </w:p>
        </w:tc>
        <w:tc>
          <w:tcPr>
            <w:tcW w:type="dxa" w:w="26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2.92 (2.08–3.00)</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CU</w:t>
            </w:r>
          </w:p>
        </w:tc>
        <w:tc>
          <w:tcPr>
            <w:tcW w:type="dxa" w:w="259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observation endpoint</w:t>
            </w:r>
          </w:p>
        </w:tc>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288</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6.21 (1.55)</w:t>
            </w:r>
          </w:p>
        </w:tc>
        <w:tc>
          <w:tcPr>
            <w:tcW w:type="dxa" w:w="26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7.00 (6.67–7.00)</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UC</w:t>
            </w:r>
          </w:p>
        </w:tc>
        <w:tc>
          <w:tcPr>
            <w:tcW w:type="dxa" w:w="259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SBP change</w:t>
            </w:r>
          </w:p>
        </w:tc>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823</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-24.41 (15.58)</w:t>
            </w:r>
          </w:p>
        </w:tc>
        <w:tc>
          <w:tcPr>
            <w:tcW w:type="dxa" w:w="26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-21.50 (-33.00–-13.50)</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UC</w:t>
            </w:r>
          </w:p>
        </w:tc>
        <w:tc>
          <w:tcPr>
            <w:tcW w:type="dxa" w:w="259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DBP change</w:t>
            </w:r>
          </w:p>
        </w:tc>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823</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-11.97 (10.24)</w:t>
            </w:r>
          </w:p>
        </w:tc>
        <w:tc>
          <w:tcPr>
            <w:tcW w:type="dxa" w:w="26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-11.50 (-18.00–-5.00)</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UC</w:t>
            </w:r>
          </w:p>
        </w:tc>
        <w:tc>
          <w:tcPr>
            <w:tcW w:type="dxa" w:w="259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event interval width</w:t>
            </w:r>
          </w:p>
        </w:tc>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54</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2.73 (0.66)</w:t>
            </w:r>
          </w:p>
        </w:tc>
        <w:tc>
          <w:tcPr>
            <w:tcW w:type="dxa" w:w="26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2.92 (2.08–3.06)</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UC</w:t>
            </w:r>
          </w:p>
        </w:tc>
        <w:tc>
          <w:tcPr>
            <w:tcW w:type="dxa" w:w="259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observation endpoint</w:t>
            </w:r>
          </w:p>
        </w:tc>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823</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6.35 (1.44)</w:t>
            </w:r>
          </w:p>
        </w:tc>
        <w:tc>
          <w:tcPr>
            <w:tcW w:type="dxa" w:w="26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7.00 (6.92–7.00)</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UU</w:t>
            </w:r>
          </w:p>
        </w:tc>
        <w:tc>
          <w:tcPr>
            <w:tcW w:type="dxa" w:w="259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SBP change</w:t>
            </w:r>
          </w:p>
        </w:tc>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1303</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-0.40 (18.02)</w:t>
            </w:r>
          </w:p>
        </w:tc>
        <w:tc>
          <w:tcPr>
            <w:tcW w:type="dxa" w:w="26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0.50 (-10.00–9.75)</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UU</w:t>
            </w:r>
          </w:p>
        </w:tc>
        <w:tc>
          <w:tcPr>
            <w:tcW w:type="dxa" w:w="259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DBP change</w:t>
            </w:r>
          </w:p>
        </w:tc>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1303</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-0.66 (9.98)</w:t>
            </w:r>
          </w:p>
        </w:tc>
        <w:tc>
          <w:tcPr>
            <w:tcW w:type="dxa" w:w="26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-1.00 (-6.50–5.00)</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UU</w:t>
            </w:r>
          </w:p>
        </w:tc>
        <w:tc>
          <w:tcPr>
            <w:tcW w:type="dxa" w:w="259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event interval width</w:t>
            </w:r>
          </w:p>
        </w:tc>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136</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2.70 (0.76)</w:t>
            </w:r>
          </w:p>
        </w:tc>
        <w:tc>
          <w:tcPr>
            <w:tcW w:type="dxa" w:w="26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2.92 (2.00–3.00)</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UU</w:t>
            </w:r>
          </w:p>
        </w:tc>
        <w:tc>
          <w:tcPr>
            <w:tcW w:type="dxa" w:w="259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observation endpoint</w:t>
            </w:r>
          </w:p>
        </w:tc>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1303</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6.17 (1.60)</w:t>
            </w:r>
          </w:p>
        </w:tc>
        <w:tc>
          <w:tcPr>
            <w:tcW w:type="dxa" w:w="26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7.00 (5.92–7.00)</w:t>
            </w:r>
          </w:p>
        </w:tc>
      </w:tr>
    </w:tbl>
    <w:p>
      <w:r>
        <w:rPr/>
        <w:t>BP changes are in mmHg; event interval widths and observation endpoints are in years. Full minima and maxima are in Additional file 2.</w:t>
      </w:r>
    </w:p>
    <w:p>
      <w:pPr>
        <w:keepNext/>
      </w:pPr>
      <w:r>
        <w:rPr>
          <w:b/>
        </w:rPr>
        <w:t>Table S2. Death ascertainment in the history-cleaned master sample</w:t>
      </w:r>
    </w:p>
    <w:tbl>
      <w:tblPr>
        <w:tblW w:type="auto" w:w="0"/>
        <w:tblLayout w:type="fixed"/>
        <w:tblLook w:firstColumn="1" w:firstRow="1" w:lastColumn="0" w:lastRow="0" w:noHBand="0" w:noVBand="1" w:val="04A0"/>
      </w:tblPr>
      <w:tblGrid>
        <w:gridCol w:w="1008"/>
        <w:gridCol w:w="1008"/>
        <w:gridCol w:w="1008"/>
        <w:gridCol w:w="1872"/>
        <w:gridCol w:w="1584"/>
        <w:gridCol w:w="2189"/>
      </w:tblGrid>
      <w:tr>
        <w:trPr>
          <w:cantSplit/>
          <w:tblHeader/>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sz w:val="20"/>
              </w:rPr>
              <w:t>Group</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Master N</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Deaths</w:t>
            </w:r>
          </w:p>
        </w:tc>
        <w:tc>
          <w:tcPr>
            <w:tcW w:type="dxa" w:w="187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No recorded stroke</w:t>
            </w:r>
          </w:p>
        </w:tc>
        <w:tc>
          <w:tcPr>
            <w:tcW w:type="dxa" w:w="1584"/>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Recorded stroke</w:t>
            </w:r>
          </w:p>
        </w:tc>
        <w:tc>
          <w:tcPr>
            <w:tcW w:type="dxa" w:w="2189"/>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Solar / lunar months</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CC</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517</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61</w:t>
            </w:r>
          </w:p>
        </w:tc>
        <w:tc>
          <w:tcPr>
            <w:tcW w:type="dxa" w:w="187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59</w:t>
            </w:r>
          </w:p>
        </w:tc>
        <w:tc>
          <w:tcPr>
            <w:tcW w:type="dxa" w:w="1584"/>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w:t>
            </w:r>
          </w:p>
        </w:tc>
        <w:tc>
          <w:tcPr>
            <w:tcW w:type="dxa" w:w="2189"/>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 / 0</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CU</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299</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32</w:t>
            </w:r>
          </w:p>
        </w:tc>
        <w:tc>
          <w:tcPr>
            <w:tcW w:type="dxa" w:w="187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30</w:t>
            </w:r>
          </w:p>
        </w:tc>
        <w:tc>
          <w:tcPr>
            <w:tcW w:type="dxa" w:w="1584"/>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w:t>
            </w:r>
          </w:p>
        </w:tc>
        <w:tc>
          <w:tcPr>
            <w:tcW w:type="dxa" w:w="2189"/>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3 / 0</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UC</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890</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110</w:t>
            </w:r>
          </w:p>
        </w:tc>
        <w:tc>
          <w:tcPr>
            <w:tcW w:type="dxa" w:w="187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106</w:t>
            </w:r>
          </w:p>
        </w:tc>
        <w:tc>
          <w:tcPr>
            <w:tcW w:type="dxa" w:w="1584"/>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4</w:t>
            </w:r>
          </w:p>
        </w:tc>
        <w:tc>
          <w:tcPr>
            <w:tcW w:type="dxa" w:w="2189"/>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3 / 2</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UU</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1431</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261</w:t>
            </w:r>
          </w:p>
        </w:tc>
        <w:tc>
          <w:tcPr>
            <w:tcW w:type="dxa" w:w="187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249</w:t>
            </w:r>
          </w:p>
        </w:tc>
        <w:tc>
          <w:tcPr>
            <w:tcW w:type="dxa" w:w="1584"/>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12</w:t>
            </w:r>
          </w:p>
        </w:tc>
        <w:tc>
          <w:tcPr>
            <w:tcW w:type="dxa" w:w="2189"/>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13 / 1</w:t>
            </w:r>
          </w:p>
        </w:tc>
      </w:tr>
    </w:tbl>
    <w:p>
      <w:r>
        <w:rPr/>
        <w:t>Death-month data were available for only 24 participants. Absence of recorded stroke does not establish stroke-free survival until death.</w:t>
      </w:r>
    </w:p>
    <w:p>
      <w:pPr>
        <w:keepNext/>
      </w:pPr>
      <w:r>
        <w:rPr>
          <w:b/>
        </w:rPr>
        <w:t>Table S3. Observation and reported death by survey wave</w:t>
      </w:r>
    </w:p>
    <w:tbl>
      <w:tblPr>
        <w:tblW w:type="auto" w:w="0"/>
        <w:tblLayout w:type="fixed"/>
        <w:tblLook w:firstColumn="1" w:firstRow="1" w:lastColumn="0" w:lastRow="0" w:noHBand="0" w:noVBand="1" w:val="04A0"/>
      </w:tblPr>
      <w:tblGrid>
        <w:gridCol w:w="1152"/>
        <w:gridCol w:w="864"/>
        <w:gridCol w:w="1152"/>
        <w:gridCol w:w="1152"/>
        <w:gridCol w:w="2016"/>
        <w:gridCol w:w="2333"/>
      </w:tblGrid>
      <w:tr>
        <w:trPr>
          <w:cantSplit/>
          <w:tblHeader/>
        </w:trPr>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left"/>
            </w:pPr>
            <w:r>
              <w:rPr>
                <w:b/>
                <w:sz w:val="20"/>
              </w:rPr>
              <w:t>Wave / group</w:t>
            </w:r>
          </w:p>
        </w:tc>
        <w:tc>
          <w:tcPr>
            <w:tcW w:type="dxa" w:w="864"/>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Master N</w:t>
            </w:r>
          </w:p>
        </w:tc>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Prior death</w:t>
            </w:r>
          </w:p>
        </w:tc>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New death</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Stroke status observed</w:t>
            </w:r>
          </w:p>
        </w:tc>
        <w:tc>
          <w:tcPr>
            <w:tcW w:type="dxa" w:w="233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Status absent without death report</w:t>
            </w:r>
          </w:p>
        </w:tc>
      </w:tr>
      <w:tr>
        <w:trPr>
          <w:cantSplit/>
        </w:trPr>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2015 / CC</w:t>
            </w:r>
          </w:p>
        </w:tc>
        <w:tc>
          <w:tcPr>
            <w:tcW w:type="dxa" w:w="864"/>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517</w:t>
            </w:r>
          </w:p>
        </w:tc>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w:t>
            </w:r>
          </w:p>
        </w:tc>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13</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478</w:t>
            </w:r>
          </w:p>
        </w:tc>
        <w:tc>
          <w:tcPr>
            <w:tcW w:type="dxa" w:w="233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26</w:t>
            </w:r>
          </w:p>
        </w:tc>
      </w:tr>
      <w:tr>
        <w:trPr>
          <w:cantSplit/>
        </w:trPr>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2015 / CU</w:t>
            </w:r>
          </w:p>
        </w:tc>
        <w:tc>
          <w:tcPr>
            <w:tcW w:type="dxa" w:w="864"/>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299</w:t>
            </w:r>
          </w:p>
        </w:tc>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w:t>
            </w:r>
          </w:p>
        </w:tc>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275</w:t>
            </w:r>
          </w:p>
        </w:tc>
        <w:tc>
          <w:tcPr>
            <w:tcW w:type="dxa" w:w="233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22</w:t>
            </w:r>
          </w:p>
        </w:tc>
      </w:tr>
      <w:tr>
        <w:trPr>
          <w:cantSplit/>
        </w:trPr>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2015 / UC</w:t>
            </w:r>
          </w:p>
        </w:tc>
        <w:tc>
          <w:tcPr>
            <w:tcW w:type="dxa" w:w="864"/>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890</w:t>
            </w:r>
          </w:p>
        </w:tc>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w:t>
            </w:r>
          </w:p>
        </w:tc>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25</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821</w:t>
            </w:r>
          </w:p>
        </w:tc>
        <w:tc>
          <w:tcPr>
            <w:tcW w:type="dxa" w:w="233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44</w:t>
            </w:r>
          </w:p>
        </w:tc>
      </w:tr>
      <w:tr>
        <w:trPr>
          <w:cantSplit/>
        </w:trPr>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2015 / UU</w:t>
            </w:r>
          </w:p>
        </w:tc>
        <w:tc>
          <w:tcPr>
            <w:tcW w:type="dxa" w:w="864"/>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1431</w:t>
            </w:r>
          </w:p>
        </w:tc>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w:t>
            </w:r>
          </w:p>
        </w:tc>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58</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1292</w:t>
            </w:r>
          </w:p>
        </w:tc>
        <w:tc>
          <w:tcPr>
            <w:tcW w:type="dxa" w:w="233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81</w:t>
            </w:r>
          </w:p>
        </w:tc>
      </w:tr>
      <w:tr>
        <w:trPr>
          <w:cantSplit/>
        </w:trPr>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2018 / CC</w:t>
            </w:r>
          </w:p>
        </w:tc>
        <w:tc>
          <w:tcPr>
            <w:tcW w:type="dxa" w:w="864"/>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517</w:t>
            </w:r>
          </w:p>
        </w:tc>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13</w:t>
            </w:r>
          </w:p>
        </w:tc>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21</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459</w:t>
            </w:r>
          </w:p>
        </w:tc>
        <w:tc>
          <w:tcPr>
            <w:tcW w:type="dxa" w:w="233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24</w:t>
            </w:r>
          </w:p>
        </w:tc>
      </w:tr>
      <w:tr>
        <w:trPr>
          <w:cantSplit/>
        </w:trPr>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2018 / CU</w:t>
            </w:r>
          </w:p>
        </w:tc>
        <w:tc>
          <w:tcPr>
            <w:tcW w:type="dxa" w:w="864"/>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299</w:t>
            </w:r>
          </w:p>
        </w:tc>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w:t>
            </w:r>
          </w:p>
        </w:tc>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20</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257</w:t>
            </w:r>
          </w:p>
        </w:tc>
        <w:tc>
          <w:tcPr>
            <w:tcW w:type="dxa" w:w="233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20</w:t>
            </w:r>
          </w:p>
        </w:tc>
      </w:tr>
      <w:tr>
        <w:trPr>
          <w:cantSplit/>
        </w:trPr>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2018 / UC</w:t>
            </w:r>
          </w:p>
        </w:tc>
        <w:tc>
          <w:tcPr>
            <w:tcW w:type="dxa" w:w="864"/>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890</w:t>
            </w:r>
          </w:p>
        </w:tc>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25</w:t>
            </w:r>
          </w:p>
        </w:tc>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41</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746</w:t>
            </w:r>
          </w:p>
        </w:tc>
        <w:tc>
          <w:tcPr>
            <w:tcW w:type="dxa" w:w="233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78</w:t>
            </w:r>
          </w:p>
        </w:tc>
      </w:tr>
      <w:tr>
        <w:trPr>
          <w:cantSplit/>
        </w:trPr>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2018 / UU</w:t>
            </w:r>
          </w:p>
        </w:tc>
        <w:tc>
          <w:tcPr>
            <w:tcW w:type="dxa" w:w="864"/>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1431</w:t>
            </w:r>
          </w:p>
        </w:tc>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58</w:t>
            </w:r>
          </w:p>
        </w:tc>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111</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1164</w:t>
            </w:r>
          </w:p>
        </w:tc>
        <w:tc>
          <w:tcPr>
            <w:tcW w:type="dxa" w:w="233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98</w:t>
            </w:r>
          </w:p>
        </w:tc>
      </w:tr>
      <w:tr>
        <w:trPr>
          <w:cantSplit/>
        </w:trPr>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2020 / CC</w:t>
            </w:r>
          </w:p>
        </w:tc>
        <w:tc>
          <w:tcPr>
            <w:tcW w:type="dxa" w:w="864"/>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517</w:t>
            </w:r>
          </w:p>
        </w:tc>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34</w:t>
            </w:r>
          </w:p>
        </w:tc>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27</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421</w:t>
            </w:r>
          </w:p>
        </w:tc>
        <w:tc>
          <w:tcPr>
            <w:tcW w:type="dxa" w:w="233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35</w:t>
            </w:r>
          </w:p>
        </w:tc>
      </w:tr>
      <w:tr>
        <w:trPr>
          <w:cantSplit/>
        </w:trPr>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2020 / CU</w:t>
            </w:r>
          </w:p>
        </w:tc>
        <w:tc>
          <w:tcPr>
            <w:tcW w:type="dxa" w:w="864"/>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299</w:t>
            </w:r>
          </w:p>
        </w:tc>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22</w:t>
            </w:r>
          </w:p>
        </w:tc>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10</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241</w:t>
            </w:r>
          </w:p>
        </w:tc>
        <w:tc>
          <w:tcPr>
            <w:tcW w:type="dxa" w:w="233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26</w:t>
            </w:r>
          </w:p>
        </w:tc>
      </w:tr>
      <w:tr>
        <w:trPr>
          <w:cantSplit/>
        </w:trPr>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2020 / UC</w:t>
            </w:r>
          </w:p>
        </w:tc>
        <w:tc>
          <w:tcPr>
            <w:tcW w:type="dxa" w:w="864"/>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890</w:t>
            </w:r>
          </w:p>
        </w:tc>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66</w:t>
            </w:r>
          </w:p>
        </w:tc>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44</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710</w:t>
            </w:r>
          </w:p>
        </w:tc>
        <w:tc>
          <w:tcPr>
            <w:tcW w:type="dxa" w:w="233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70</w:t>
            </w:r>
          </w:p>
        </w:tc>
      </w:tr>
      <w:tr>
        <w:trPr>
          <w:cantSplit/>
        </w:trPr>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2020 / UU</w:t>
            </w:r>
          </w:p>
        </w:tc>
        <w:tc>
          <w:tcPr>
            <w:tcW w:type="dxa" w:w="864"/>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1431</w:t>
            </w:r>
          </w:p>
        </w:tc>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169</w:t>
            </w:r>
          </w:p>
        </w:tc>
        <w:tc>
          <w:tcPr>
            <w:tcW w:type="dxa" w:w="115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92</w:t>
            </w:r>
          </w:p>
        </w:tc>
        <w:tc>
          <w:tcPr>
            <w:tcW w:type="dxa" w:w="201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1082</w:t>
            </w:r>
          </w:p>
        </w:tc>
        <w:tc>
          <w:tcPr>
            <w:tcW w:type="dxa" w:w="2333"/>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88</w:t>
            </w:r>
          </w:p>
        </w:tc>
      </w:tr>
    </w:tbl>
    <w:p>
      <w:r>
        <w:rPr/>
        <w:t>Within each row, the four observation categories sum to the master sample. The final category is not uniformly refusal or loss to follow-up.</w:t>
      </w:r>
    </w:p>
    <w:p>
      <w:pPr>
        <w:keepNext/>
      </w:pPr>
      <w:r>
        <w:rPr>
          <w:b/>
        </w:rPr>
        <w:t>Table S4. Reported western antihypertensive medication use</w:t>
      </w:r>
    </w:p>
    <w:tbl>
      <w:tblPr>
        <w:tblW w:type="auto" w:w="0"/>
        <w:tblLayout w:type="fixed"/>
        <w:tblLook w:firstColumn="1" w:firstRow="1" w:lastColumn="0" w:lastRow="0" w:noHBand="0" w:noVBand="1" w:val="04A0"/>
      </w:tblPr>
      <w:tblGrid>
        <w:gridCol w:w="1008"/>
        <w:gridCol w:w="1008"/>
        <w:gridCol w:w="1008"/>
        <w:gridCol w:w="1728"/>
        <w:gridCol w:w="1728"/>
        <w:gridCol w:w="2189"/>
      </w:tblGrid>
      <w:tr>
        <w:trPr>
          <w:cantSplit/>
          <w:tblHeader/>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sz w:val="20"/>
              </w:rPr>
              <w:t>Group</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Wave</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N</w:t>
            </w:r>
          </w:p>
        </w:tc>
        <w:tc>
          <w:tcPr>
            <w:tcW w:type="dxa" w:w="172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Yes</w:t>
            </w:r>
          </w:p>
        </w:tc>
        <w:tc>
          <w:tcPr>
            <w:tcW w:type="dxa" w:w="172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No</w:t>
            </w:r>
          </w:p>
        </w:tc>
        <w:tc>
          <w:tcPr>
            <w:tcW w:type="dxa" w:w="2189"/>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Unknown</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CC</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2011</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488</w:t>
            </w:r>
          </w:p>
        </w:tc>
        <w:tc>
          <w:tcPr>
            <w:tcW w:type="dxa" w:w="172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324.0</w:t>
            </w:r>
          </w:p>
        </w:tc>
        <w:tc>
          <w:tcPr>
            <w:tcW w:type="dxa" w:w="172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164.0</w:t>
            </w:r>
          </w:p>
        </w:tc>
        <w:tc>
          <w:tcPr>
            <w:tcW w:type="dxa" w:w="2189"/>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0.0</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CC</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2013</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488</w:t>
            </w:r>
          </w:p>
        </w:tc>
        <w:tc>
          <w:tcPr>
            <w:tcW w:type="dxa" w:w="172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302.0</w:t>
            </w:r>
          </w:p>
        </w:tc>
        <w:tc>
          <w:tcPr>
            <w:tcW w:type="dxa" w:w="172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109.0</w:t>
            </w:r>
          </w:p>
        </w:tc>
        <w:tc>
          <w:tcPr>
            <w:tcW w:type="dxa" w:w="2189"/>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77.0</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CU</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2011</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288</w:t>
            </w:r>
          </w:p>
        </w:tc>
        <w:tc>
          <w:tcPr>
            <w:tcW w:type="dxa" w:w="172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217.0</w:t>
            </w:r>
          </w:p>
        </w:tc>
        <w:tc>
          <w:tcPr>
            <w:tcW w:type="dxa" w:w="172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71.0</w:t>
            </w:r>
          </w:p>
        </w:tc>
        <w:tc>
          <w:tcPr>
            <w:tcW w:type="dxa" w:w="2189"/>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0.0</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CU</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2013</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288</w:t>
            </w:r>
          </w:p>
        </w:tc>
        <w:tc>
          <w:tcPr>
            <w:tcW w:type="dxa" w:w="172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201.0</w:t>
            </w:r>
          </w:p>
        </w:tc>
        <w:tc>
          <w:tcPr>
            <w:tcW w:type="dxa" w:w="172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62.0</w:t>
            </w:r>
          </w:p>
        </w:tc>
        <w:tc>
          <w:tcPr>
            <w:tcW w:type="dxa" w:w="2189"/>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25.0</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UC</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2011</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823</w:t>
            </w:r>
          </w:p>
        </w:tc>
        <w:tc>
          <w:tcPr>
            <w:tcW w:type="dxa" w:w="172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221.0</w:t>
            </w:r>
          </w:p>
        </w:tc>
        <w:tc>
          <w:tcPr>
            <w:tcW w:type="dxa" w:w="172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602.0</w:t>
            </w:r>
          </w:p>
        </w:tc>
        <w:tc>
          <w:tcPr>
            <w:tcW w:type="dxa" w:w="2189"/>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0.0</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UC</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2013</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823</w:t>
            </w:r>
          </w:p>
        </w:tc>
        <w:tc>
          <w:tcPr>
            <w:tcW w:type="dxa" w:w="172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293.0</w:t>
            </w:r>
          </w:p>
        </w:tc>
        <w:tc>
          <w:tcPr>
            <w:tcW w:type="dxa" w:w="172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90.0</w:t>
            </w:r>
          </w:p>
        </w:tc>
        <w:tc>
          <w:tcPr>
            <w:tcW w:type="dxa" w:w="2189"/>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440.0</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UU</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2011</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1303</w:t>
            </w:r>
          </w:p>
        </w:tc>
        <w:tc>
          <w:tcPr>
            <w:tcW w:type="dxa" w:w="172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464.0</w:t>
            </w:r>
          </w:p>
        </w:tc>
        <w:tc>
          <w:tcPr>
            <w:tcW w:type="dxa" w:w="172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839.0</w:t>
            </w:r>
          </w:p>
        </w:tc>
        <w:tc>
          <w:tcPr>
            <w:tcW w:type="dxa" w:w="2189"/>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0.0</w:t>
            </w:r>
          </w:p>
        </w:tc>
      </w:tr>
      <w:tr>
        <w:trPr>
          <w:cantSplit/>
        </w:trPr>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UU</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2013</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1303</w:t>
            </w:r>
          </w:p>
        </w:tc>
        <w:tc>
          <w:tcPr>
            <w:tcW w:type="dxa" w:w="172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563.0</w:t>
            </w:r>
          </w:p>
        </w:tc>
        <w:tc>
          <w:tcPr>
            <w:tcW w:type="dxa" w:w="172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225.0</w:t>
            </w:r>
          </w:p>
        </w:tc>
        <w:tc>
          <w:tcPr>
            <w:tcW w:type="dxa" w:w="2189"/>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515.0</w:t>
            </w:r>
          </w:p>
        </w:tc>
      </w:tr>
    </w:tbl>
    <w:p>
      <w:r>
        <w:rPr/>
        <w:t>Counts use the complete-case stroke sample. Treatment categories, doses and adherence cannot be inferred. Reported start/stop/both counts are supplied in Additional file 2.</w:t>
      </w:r>
    </w:p>
    <w:p>
      <w:pPr>
        <w:keepNext/>
      </w:pPr>
      <w:r>
        <w:rPr>
          <w:b/>
        </w:rPr>
        <w:t>Table S5. Baseline characteristics of included and excluded participants</w:t>
      </w:r>
    </w:p>
    <w:tbl>
      <w:tblPr>
        <w:tblW w:type="auto" w:w="0"/>
        <w:tblLayout w:type="fixed"/>
        <w:tblLook w:firstColumn="1" w:firstRow="1" w:lastColumn="0" w:lastRow="0" w:noHBand="0" w:noVBand="1" w:val="04A0"/>
      </w:tblPr>
      <w:tblGrid>
        <w:gridCol w:w="2160"/>
        <w:gridCol w:w="936"/>
        <w:gridCol w:w="936"/>
        <w:gridCol w:w="1080"/>
        <w:gridCol w:w="2448"/>
        <w:gridCol w:w="821"/>
      </w:tblGrid>
      <w:tr>
        <w:trPr>
          <w:cantSplit/>
          <w:tblHeader/>
        </w:trPr>
        <w:tc>
          <w:tcPr>
            <w:tcW w:type="dxa" w:w="216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sz w:val="20"/>
              </w:rPr>
              <w:t>Variable / included</w:t>
            </w:r>
          </w:p>
        </w:tc>
        <w:tc>
          <w:tcPr>
            <w:tcW w:type="dxa" w:w="93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Total N</w:t>
            </w:r>
          </w:p>
        </w:tc>
        <w:tc>
          <w:tcPr>
            <w:tcW w:type="dxa" w:w="93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Missing</w:t>
            </w:r>
          </w:p>
        </w:tc>
        <w:tc>
          <w:tcPr>
            <w:tcW w:type="dxa" w:w="108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Observed N</w:t>
            </w:r>
          </w:p>
        </w:tc>
        <w:tc>
          <w:tcPr>
            <w:tcW w:type="dxa" w:w="244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Mean (SD)</w:t>
            </w:r>
          </w:p>
        </w:tc>
        <w:tc>
          <w:tcPr>
            <w:tcW w:type="dxa" w:w="8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SMD</w:t>
            </w:r>
          </w:p>
        </w:tc>
      </w:tr>
      <w:tr>
        <w:trPr>
          <w:cantSplit/>
        </w:trPr>
        <w:tc>
          <w:tcPr>
            <w:tcW w:type="dxa" w:w="216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age / yes</w:t>
            </w:r>
          </w:p>
        </w:tc>
        <w:tc>
          <w:tcPr>
            <w:tcW w:type="dxa" w:w="93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2902</w:t>
            </w:r>
          </w:p>
        </w:tc>
        <w:tc>
          <w:tcPr>
            <w:tcW w:type="dxa" w:w="93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w:t>
            </w:r>
          </w:p>
        </w:tc>
        <w:tc>
          <w:tcPr>
            <w:tcW w:type="dxa" w:w="108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2902</w:t>
            </w:r>
          </w:p>
        </w:tc>
        <w:tc>
          <w:tcPr>
            <w:tcW w:type="dxa" w:w="244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60.964 (9.219)</w:t>
            </w:r>
          </w:p>
        </w:tc>
        <w:tc>
          <w:tcPr>
            <w:tcW w:type="dxa" w:w="8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-0.186</w:t>
            </w:r>
          </w:p>
        </w:tc>
      </w:tr>
      <w:tr>
        <w:trPr>
          <w:cantSplit/>
        </w:trPr>
        <w:tc>
          <w:tcPr>
            <w:tcW w:type="dxa" w:w="216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age / no</w:t>
            </w:r>
          </w:p>
        </w:tc>
        <w:tc>
          <w:tcPr>
            <w:tcW w:type="dxa" w:w="93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3424</w:t>
            </w:r>
          </w:p>
        </w:tc>
        <w:tc>
          <w:tcPr>
            <w:tcW w:type="dxa" w:w="93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w:t>
            </w:r>
          </w:p>
        </w:tc>
        <w:tc>
          <w:tcPr>
            <w:tcW w:type="dxa" w:w="108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3424</w:t>
            </w:r>
          </w:p>
        </w:tc>
        <w:tc>
          <w:tcPr>
            <w:tcW w:type="dxa" w:w="244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62.813 (10.609)</w:t>
            </w:r>
          </w:p>
        </w:tc>
        <w:tc>
          <w:tcPr>
            <w:tcW w:type="dxa" w:w="8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-0.186</w:t>
            </w:r>
          </w:p>
        </w:tc>
      </w:tr>
      <w:tr>
        <w:trPr>
          <w:cantSplit/>
        </w:trPr>
        <w:tc>
          <w:tcPr>
            <w:tcW w:type="dxa" w:w="216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BMI / yes</w:t>
            </w:r>
          </w:p>
        </w:tc>
        <w:tc>
          <w:tcPr>
            <w:tcW w:type="dxa" w:w="93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2902</w:t>
            </w:r>
          </w:p>
        </w:tc>
        <w:tc>
          <w:tcPr>
            <w:tcW w:type="dxa" w:w="93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w:t>
            </w:r>
          </w:p>
        </w:tc>
        <w:tc>
          <w:tcPr>
            <w:tcW w:type="dxa" w:w="108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2902</w:t>
            </w:r>
          </w:p>
        </w:tc>
        <w:tc>
          <w:tcPr>
            <w:tcW w:type="dxa" w:w="244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24.439 (4.018)</w:t>
            </w:r>
          </w:p>
        </w:tc>
        <w:tc>
          <w:tcPr>
            <w:tcW w:type="dxa" w:w="8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0.025</w:t>
            </w:r>
          </w:p>
        </w:tc>
      </w:tr>
      <w:tr>
        <w:trPr>
          <w:cantSplit/>
        </w:trPr>
        <w:tc>
          <w:tcPr>
            <w:tcW w:type="dxa" w:w="216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BMI / no</w:t>
            </w:r>
          </w:p>
        </w:tc>
        <w:tc>
          <w:tcPr>
            <w:tcW w:type="dxa" w:w="93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3424</w:t>
            </w:r>
          </w:p>
        </w:tc>
        <w:tc>
          <w:tcPr>
            <w:tcW w:type="dxa" w:w="93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1042</w:t>
            </w:r>
          </w:p>
        </w:tc>
        <w:tc>
          <w:tcPr>
            <w:tcW w:type="dxa" w:w="108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2382</w:t>
            </w:r>
          </w:p>
        </w:tc>
        <w:tc>
          <w:tcPr>
            <w:tcW w:type="dxa" w:w="244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24.334 (4.193)</w:t>
            </w:r>
          </w:p>
        </w:tc>
        <w:tc>
          <w:tcPr>
            <w:tcW w:type="dxa" w:w="8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0.025</w:t>
            </w:r>
          </w:p>
        </w:tc>
      </w:tr>
      <w:tr>
        <w:trPr>
          <w:cantSplit/>
        </w:trPr>
        <w:tc>
          <w:tcPr>
            <w:tcW w:type="dxa" w:w="216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SBP / yes</w:t>
            </w:r>
          </w:p>
        </w:tc>
        <w:tc>
          <w:tcPr>
            <w:tcW w:type="dxa" w:w="93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2902</w:t>
            </w:r>
          </w:p>
        </w:tc>
        <w:tc>
          <w:tcPr>
            <w:tcW w:type="dxa" w:w="93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w:t>
            </w:r>
          </w:p>
        </w:tc>
        <w:tc>
          <w:tcPr>
            <w:tcW w:type="dxa" w:w="108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2902</w:t>
            </w:r>
          </w:p>
        </w:tc>
        <w:tc>
          <w:tcPr>
            <w:tcW w:type="dxa" w:w="244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146.732 (19.540)</w:t>
            </w:r>
          </w:p>
        </w:tc>
        <w:tc>
          <w:tcPr>
            <w:tcW w:type="dxa" w:w="8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-0.115</w:t>
            </w:r>
          </w:p>
        </w:tc>
      </w:tr>
      <w:tr>
        <w:trPr>
          <w:cantSplit/>
        </w:trPr>
        <w:tc>
          <w:tcPr>
            <w:tcW w:type="dxa" w:w="216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SBP / no</w:t>
            </w:r>
          </w:p>
        </w:tc>
        <w:tc>
          <w:tcPr>
            <w:tcW w:type="dxa" w:w="93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3424</w:t>
            </w:r>
          </w:p>
        </w:tc>
        <w:tc>
          <w:tcPr>
            <w:tcW w:type="dxa" w:w="93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977</w:t>
            </w:r>
          </w:p>
        </w:tc>
        <w:tc>
          <w:tcPr>
            <w:tcW w:type="dxa" w:w="108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2447</w:t>
            </w:r>
          </w:p>
        </w:tc>
        <w:tc>
          <w:tcPr>
            <w:tcW w:type="dxa" w:w="244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149.033 (20.543)</w:t>
            </w:r>
          </w:p>
        </w:tc>
        <w:tc>
          <w:tcPr>
            <w:tcW w:type="dxa" w:w="8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-0.115</w:t>
            </w:r>
          </w:p>
        </w:tc>
      </w:tr>
      <w:tr>
        <w:trPr>
          <w:cantSplit/>
        </w:trPr>
        <w:tc>
          <w:tcPr>
            <w:tcW w:type="dxa" w:w="216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DBP / yes</w:t>
            </w:r>
          </w:p>
        </w:tc>
        <w:tc>
          <w:tcPr>
            <w:tcW w:type="dxa" w:w="93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2902</w:t>
            </w:r>
          </w:p>
        </w:tc>
        <w:tc>
          <w:tcPr>
            <w:tcW w:type="dxa" w:w="93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w:t>
            </w:r>
          </w:p>
        </w:tc>
        <w:tc>
          <w:tcPr>
            <w:tcW w:type="dxa" w:w="108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2902</w:t>
            </w:r>
          </w:p>
        </w:tc>
        <w:tc>
          <w:tcPr>
            <w:tcW w:type="dxa" w:w="244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83.067 (12.031)</w:t>
            </w:r>
          </w:p>
        </w:tc>
        <w:tc>
          <w:tcPr>
            <w:tcW w:type="dxa" w:w="8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-0.027</w:t>
            </w:r>
          </w:p>
        </w:tc>
      </w:tr>
      <w:tr>
        <w:trPr>
          <w:cantSplit/>
        </w:trPr>
        <w:tc>
          <w:tcPr>
            <w:tcW w:type="dxa" w:w="216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DBP / no</w:t>
            </w:r>
          </w:p>
        </w:tc>
        <w:tc>
          <w:tcPr>
            <w:tcW w:type="dxa" w:w="93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3424</w:t>
            </w:r>
          </w:p>
        </w:tc>
        <w:tc>
          <w:tcPr>
            <w:tcW w:type="dxa" w:w="93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977</w:t>
            </w:r>
          </w:p>
        </w:tc>
        <w:tc>
          <w:tcPr>
            <w:tcW w:type="dxa" w:w="108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2447</w:t>
            </w:r>
          </w:p>
        </w:tc>
        <w:tc>
          <w:tcPr>
            <w:tcW w:type="dxa" w:w="244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83.389 (12.213)</w:t>
            </w:r>
          </w:p>
        </w:tc>
        <w:tc>
          <w:tcPr>
            <w:tcW w:type="dxa" w:w="8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-0.027</w:t>
            </w:r>
          </w:p>
        </w:tc>
      </w:tr>
      <w:tr>
        <w:trPr>
          <w:cantSplit/>
        </w:trPr>
        <w:tc>
          <w:tcPr>
            <w:tcW w:type="dxa" w:w="216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male / yes</w:t>
            </w:r>
          </w:p>
        </w:tc>
        <w:tc>
          <w:tcPr>
            <w:tcW w:type="dxa" w:w="93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2902</w:t>
            </w:r>
          </w:p>
        </w:tc>
        <w:tc>
          <w:tcPr>
            <w:tcW w:type="dxa" w:w="93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w:t>
            </w:r>
          </w:p>
        </w:tc>
        <w:tc>
          <w:tcPr>
            <w:tcW w:type="dxa" w:w="108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2902</w:t>
            </w:r>
          </w:p>
        </w:tc>
        <w:tc>
          <w:tcPr>
            <w:tcW w:type="dxa" w:w="244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0.446 (0.497)</w:t>
            </w:r>
          </w:p>
        </w:tc>
        <w:tc>
          <w:tcPr>
            <w:tcW w:type="dxa" w:w="8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-0.091</w:t>
            </w:r>
          </w:p>
        </w:tc>
      </w:tr>
      <w:tr>
        <w:trPr>
          <w:cantSplit/>
        </w:trPr>
        <w:tc>
          <w:tcPr>
            <w:tcW w:type="dxa" w:w="216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male / no</w:t>
            </w:r>
          </w:p>
        </w:tc>
        <w:tc>
          <w:tcPr>
            <w:tcW w:type="dxa" w:w="93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3424</w:t>
            </w:r>
          </w:p>
        </w:tc>
        <w:tc>
          <w:tcPr>
            <w:tcW w:type="dxa" w:w="93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w:t>
            </w:r>
          </w:p>
        </w:tc>
        <w:tc>
          <w:tcPr>
            <w:tcW w:type="dxa" w:w="108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3424</w:t>
            </w:r>
          </w:p>
        </w:tc>
        <w:tc>
          <w:tcPr>
            <w:tcW w:type="dxa" w:w="244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0.491 (0.500)</w:t>
            </w:r>
          </w:p>
        </w:tc>
        <w:tc>
          <w:tcPr>
            <w:tcW w:type="dxa" w:w="8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-0.091</w:t>
            </w:r>
          </w:p>
        </w:tc>
      </w:tr>
      <w:tr>
        <w:trPr>
          <w:cantSplit/>
        </w:trPr>
        <w:tc>
          <w:tcPr>
            <w:tcW w:type="dxa" w:w="216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baseline_stroke / yes</w:t>
            </w:r>
          </w:p>
        </w:tc>
        <w:tc>
          <w:tcPr>
            <w:tcW w:type="dxa" w:w="93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2902</w:t>
            </w:r>
          </w:p>
        </w:tc>
        <w:tc>
          <w:tcPr>
            <w:tcW w:type="dxa" w:w="93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w:t>
            </w:r>
          </w:p>
        </w:tc>
        <w:tc>
          <w:tcPr>
            <w:tcW w:type="dxa" w:w="108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2902</w:t>
            </w:r>
          </w:p>
        </w:tc>
        <w:tc>
          <w:tcPr>
            <w:tcW w:type="dxa" w:w="244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0.000 (0.000)</w:t>
            </w:r>
          </w:p>
        </w:tc>
        <w:tc>
          <w:tcPr>
            <w:tcW w:type="dxa" w:w="8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-0.430</w:t>
            </w:r>
          </w:p>
        </w:tc>
      </w:tr>
      <w:tr>
        <w:trPr>
          <w:cantSplit/>
        </w:trPr>
        <w:tc>
          <w:tcPr>
            <w:tcW w:type="dxa" w:w="216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baseline_stroke / no</w:t>
            </w:r>
          </w:p>
        </w:tc>
        <w:tc>
          <w:tcPr>
            <w:tcW w:type="dxa" w:w="93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3424</w:t>
            </w:r>
          </w:p>
        </w:tc>
        <w:tc>
          <w:tcPr>
            <w:tcW w:type="dxa" w:w="936"/>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22</w:t>
            </w:r>
          </w:p>
        </w:tc>
        <w:tc>
          <w:tcPr>
            <w:tcW w:type="dxa" w:w="108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3402</w:t>
            </w:r>
          </w:p>
        </w:tc>
        <w:tc>
          <w:tcPr>
            <w:tcW w:type="dxa" w:w="244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0.085 (0.278)</w:t>
            </w:r>
          </w:p>
        </w:tc>
        <w:tc>
          <w:tcPr>
            <w:tcW w:type="dxa" w:w="82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-0.430</w:t>
            </w:r>
          </w:p>
        </w:tc>
      </w:tr>
    </w:tbl>
    <w:p>
      <w:r>
        <w:rPr/>
        <w:t>Included denotes the final complete-case sample; excluded combines all other baseline hypertensive participants. Means for binary variables are proportions. This comparison is descriptive.</w:t>
      </w:r>
    </w:p>
    <w:p>
      <w:pPr>
        <w:keepNext/>
      </w:pPr>
      <w:r>
        <w:rPr>
          <w:b/>
        </w:rPr>
        <w:t>Table S6. Covariate missingness before complete-case selection</w:t>
      </w:r>
    </w:p>
    <w:tbl>
      <w:tblPr>
        <w:tblW w:type="auto" w:w="0"/>
        <w:tblLayout w:type="fixed"/>
        <w:tblLook w:firstColumn="1" w:firstRow="1" w:lastColumn="0" w:lastRow="0" w:noHBand="0" w:noVBand="1" w:val="04A0"/>
      </w:tblPr>
      <w:tblGrid>
        <w:gridCol w:w="5040"/>
        <w:gridCol w:w="3917"/>
      </w:tblGrid>
      <w:tr>
        <w:trPr>
          <w:cantSplit/>
          <w:tblHeader/>
        </w:trPr>
        <w:tc>
          <w:tcPr>
            <w:tcW w:type="dxa" w:w="504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sz w:val="20"/>
              </w:rPr>
              <w:t>Variable</w:t>
            </w:r>
          </w:p>
        </w:tc>
        <w:tc>
          <w:tcPr>
            <w:tcW w:type="dxa" w:w="3917"/>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Missing</w:t>
            </w:r>
          </w:p>
        </w:tc>
      </w:tr>
      <w:tr>
        <w:trPr>
          <w:cantSplit/>
        </w:trPr>
        <w:tc>
          <w:tcPr>
            <w:tcW w:type="dxa" w:w="504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age10</w:t>
            </w:r>
          </w:p>
        </w:tc>
        <w:tc>
          <w:tcPr>
            <w:tcW w:type="dxa" w:w="3917"/>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w:t>
            </w:r>
          </w:p>
        </w:tc>
      </w:tr>
      <w:tr>
        <w:trPr>
          <w:cantSplit/>
        </w:trPr>
        <w:tc>
          <w:tcPr>
            <w:tcW w:type="dxa" w:w="504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male</w:t>
            </w:r>
          </w:p>
        </w:tc>
        <w:tc>
          <w:tcPr>
            <w:tcW w:type="dxa" w:w="3917"/>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w:t>
            </w:r>
          </w:p>
        </w:tc>
      </w:tr>
      <w:tr>
        <w:trPr>
          <w:cantSplit/>
        </w:trPr>
        <w:tc>
          <w:tcPr>
            <w:tcW w:type="dxa" w:w="504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education</w:t>
            </w:r>
          </w:p>
        </w:tc>
        <w:tc>
          <w:tcPr>
            <w:tcW w:type="dxa" w:w="3917"/>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w:t>
            </w:r>
          </w:p>
        </w:tc>
      </w:tr>
      <w:tr>
        <w:trPr>
          <w:cantSplit/>
        </w:trPr>
        <w:tc>
          <w:tcPr>
            <w:tcW w:type="dxa" w:w="504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rural</w:t>
            </w:r>
          </w:p>
        </w:tc>
        <w:tc>
          <w:tcPr>
            <w:tcW w:type="dxa" w:w="3917"/>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w:t>
            </w:r>
          </w:p>
        </w:tc>
      </w:tr>
      <w:tr>
        <w:trPr>
          <w:cantSplit/>
        </w:trPr>
        <w:tc>
          <w:tcPr>
            <w:tcW w:type="dxa" w:w="504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bmi5</w:t>
            </w:r>
          </w:p>
        </w:tc>
        <w:tc>
          <w:tcPr>
            <w:tcW w:type="dxa" w:w="3917"/>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32</w:t>
            </w:r>
          </w:p>
        </w:tc>
      </w:tr>
      <w:tr>
        <w:trPr>
          <w:cantSplit/>
        </w:trPr>
        <w:tc>
          <w:tcPr>
            <w:tcW w:type="dxa" w:w="504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smoke</w:t>
            </w:r>
          </w:p>
        </w:tc>
        <w:tc>
          <w:tcPr>
            <w:tcW w:type="dxa" w:w="3917"/>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6</w:t>
            </w:r>
          </w:p>
        </w:tc>
      </w:tr>
      <w:tr>
        <w:trPr>
          <w:cantSplit/>
        </w:trPr>
        <w:tc>
          <w:tcPr>
            <w:tcW w:type="dxa" w:w="504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alcohol</w:t>
            </w:r>
          </w:p>
        </w:tc>
        <w:tc>
          <w:tcPr>
            <w:tcW w:type="dxa" w:w="3917"/>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w:t>
            </w:r>
          </w:p>
        </w:tc>
      </w:tr>
      <w:tr>
        <w:trPr>
          <w:cantSplit/>
        </w:trPr>
        <w:tc>
          <w:tcPr>
            <w:tcW w:type="dxa" w:w="504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diabetes</w:t>
            </w:r>
          </w:p>
        </w:tc>
        <w:tc>
          <w:tcPr>
            <w:tcW w:type="dxa" w:w="3917"/>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24</w:t>
            </w:r>
          </w:p>
        </w:tc>
      </w:tr>
      <w:tr>
        <w:trPr>
          <w:cantSplit/>
        </w:trPr>
        <w:tc>
          <w:tcPr>
            <w:tcW w:type="dxa" w:w="504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heart</w:t>
            </w:r>
          </w:p>
        </w:tc>
        <w:tc>
          <w:tcPr>
            <w:tcW w:type="dxa" w:w="3917"/>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12</w:t>
            </w:r>
          </w:p>
        </w:tc>
      </w:tr>
      <w:tr>
        <w:trPr>
          <w:cantSplit/>
        </w:trPr>
        <w:tc>
          <w:tcPr>
            <w:tcW w:type="dxa" w:w="504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med</w:t>
            </w:r>
          </w:p>
        </w:tc>
        <w:tc>
          <w:tcPr>
            <w:tcW w:type="dxa" w:w="3917"/>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15</w:t>
            </w:r>
          </w:p>
        </w:tc>
      </w:tr>
      <w:tr>
        <w:trPr>
          <w:cantSplit/>
        </w:trPr>
        <w:tc>
          <w:tcPr>
            <w:tcW w:type="dxa" w:w="504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sbp10</w:t>
            </w:r>
          </w:p>
        </w:tc>
        <w:tc>
          <w:tcPr>
            <w:tcW w:type="dxa" w:w="3917"/>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w:t>
            </w:r>
          </w:p>
        </w:tc>
      </w:tr>
      <w:tr>
        <w:trPr>
          <w:cantSplit/>
        </w:trPr>
        <w:tc>
          <w:tcPr>
            <w:tcW w:type="dxa" w:w="504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dbp10</w:t>
            </w:r>
          </w:p>
        </w:tc>
        <w:tc>
          <w:tcPr>
            <w:tcW w:type="dxa" w:w="3917"/>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w:t>
            </w:r>
          </w:p>
        </w:tc>
      </w:tr>
    </w:tbl>
    <w:p>
      <w:r>
        <w:rPr/>
        <w:t>Among 2982 participants with usable stroke follow-up, 80 have at least one missing clinical covariate. Counts overlap. age10, age per 10 years; bmi5, BMI per 5 kg/m</w:t>
      </w:r>
      <w:r>
        <w:rPr>
          <w:vertAlign w:val="superscript"/>
        </w:rPr>
        <w:t>2</w:t>
      </w:r>
      <w:r>
        <w:rPr/>
        <w:t>; sbp10/dbp10, pressure per 10 mmHg; rural, rural hukou; med, baseline western antihypertensive medication.</w:t>
      </w:r>
    </w:p>
    <w:p>
      <w:pPr>
        <w:keepNext/>
      </w:pPr>
      <w:r>
        <w:rPr>
          <w:b/>
        </w:rPr>
        <w:t>Table S7. Revision-stage additional models</w:t>
      </w:r>
    </w:p>
    <w:tbl>
      <w:tblPr>
        <w:tblW w:type="auto" w:w="0"/>
        <w:tblLayout w:type="fixed"/>
        <w:tblLook w:firstColumn="1" w:firstRow="1" w:lastColumn="0" w:lastRow="0" w:noHBand="0" w:noVBand="1" w:val="04A0"/>
      </w:tblPr>
      <w:tblGrid>
        <w:gridCol w:w="3888"/>
        <w:gridCol w:w="720"/>
        <w:gridCol w:w="1008"/>
        <w:gridCol w:w="3341"/>
      </w:tblGrid>
      <w:tr>
        <w:trPr>
          <w:cantSplit/>
          <w:tblHeader/>
        </w:trPr>
        <w:tc>
          <w:tcPr>
            <w:tcW w:type="dxa" w:w="388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sz w:val="20"/>
              </w:rPr>
              <w:t>Analysis</w:t>
            </w:r>
          </w:p>
        </w:tc>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N</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Events</w:t>
            </w:r>
          </w:p>
        </w:tc>
        <w:tc>
          <w:tcPr>
            <w:tcW w:type="dxa" w:w="334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HR (95% CI)</w:t>
            </w:r>
          </w:p>
        </w:tc>
      </w:tr>
      <w:tr>
        <w:trPr>
          <w:cantSplit/>
        </w:trPr>
        <w:tc>
          <w:tcPr>
            <w:tcW w:type="dxa" w:w="388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continuous SBP decrease per10</w:t>
            </w:r>
          </w:p>
        </w:tc>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2126</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190</w:t>
            </w:r>
          </w:p>
        </w:tc>
        <w:tc>
          <w:tcPr>
            <w:tcW w:type="dxa" w:w="334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0.922 (0.857–0.992)</w:t>
            </w:r>
          </w:p>
        </w:tc>
      </w:tr>
      <w:tr>
        <w:trPr>
          <w:cantSplit/>
        </w:trPr>
        <w:tc>
          <w:tcPr>
            <w:tcW w:type="dxa" w:w="388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continuous DBP decrease per5</w:t>
            </w:r>
          </w:p>
        </w:tc>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2126</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190</w:t>
            </w:r>
          </w:p>
        </w:tc>
        <w:tc>
          <w:tcPr>
            <w:tcW w:type="dxa" w:w="334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0.901 (0.843–0.963)</w:t>
            </w:r>
          </w:p>
        </w:tc>
      </w:tr>
      <w:tr>
        <w:trPr>
          <w:cantSplit/>
        </w:trPr>
        <w:tc>
          <w:tcPr>
            <w:tcW w:type="dxa" w:w="388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intervals over4years censored at last negative</w:t>
            </w:r>
          </w:p>
        </w:tc>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2120</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180</w:t>
            </w:r>
          </w:p>
        </w:tc>
        <w:tc>
          <w:tcPr>
            <w:tcW w:type="dxa" w:w="334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0.710 (0.506–0.997)</w:t>
            </w:r>
          </w:p>
        </w:tc>
      </w:tr>
      <w:tr>
        <w:trPr>
          <w:cantSplit/>
        </w:trPr>
        <w:tc>
          <w:tcPr>
            <w:tcW w:type="dxa" w:w="3888"/>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seated and fully compliant both visits</w:t>
            </w:r>
          </w:p>
        </w:tc>
        <w:tc>
          <w:tcPr>
            <w:tcW w:type="dxa" w:w="72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1985</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181</w:t>
            </w:r>
          </w:p>
        </w:tc>
        <w:tc>
          <w:tcPr>
            <w:tcW w:type="dxa" w:w="3341"/>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0.702 (0.499–0.988)</w:t>
            </w:r>
          </w:p>
        </w:tc>
      </w:tr>
    </w:tbl>
    <w:p>
      <w:r>
        <w:rPr/>
        <w:t>All are post-revision analyses. Continuous changes are adjusted for baseline pressure and are not measurement-error corrections.</w:t>
      </w:r>
    </w:p>
    <w:p>
      <w:r>
        <w:rPr/>
        <w:t>The semiparametric interval-censored PH model included 2126 participants and 190 events: HR 0.686 (0.463–0.959). All 300 community bootstrap fits completed; the interval is a bootstrap percentile interval.</w:t>
      </w:r>
    </w:p>
    <w:p>
      <w:pPr>
        <w:keepNext/>
      </w:pPr>
      <w:r>
        <w:rPr>
          <w:b/>
        </w:rPr>
        <w:t>Table S8. Hypothetical unreported stroke before death</w:t>
      </w:r>
    </w:p>
    <w:tbl>
      <w:tblPr>
        <w:tblW w:type="auto" w:w="0"/>
        <w:tblLayout w:type="fixed"/>
        <w:tblLook w:firstColumn="1" w:firstRow="1" w:lastColumn="0" w:lastRow="0" w:noHBand="0" w:noVBand="1" w:val="04A0"/>
      </w:tblPr>
      <w:tblGrid>
        <w:gridCol w:w="2160"/>
        <w:gridCol w:w="1872"/>
        <w:gridCol w:w="1008"/>
        <w:gridCol w:w="1440"/>
        <w:gridCol w:w="2477"/>
      </w:tblGrid>
      <w:tr>
        <w:trPr>
          <w:cantSplit/>
          <w:tblHeader/>
        </w:trPr>
        <w:tc>
          <w:tcPr>
            <w:tcW w:type="dxa" w:w="216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sz w:val="20"/>
              </w:rPr>
              <w:t>Scenario</w:t>
            </w:r>
          </w:p>
        </w:tc>
        <w:tc>
          <w:tcPr>
            <w:tcW w:type="dxa" w:w="187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Assumed UC / UU fraction</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Draws</w:t>
            </w:r>
          </w:p>
        </w:tc>
        <w:tc>
          <w:tcPr>
            <w:tcW w:type="dxa" w:w="144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Median HR</w:t>
            </w:r>
          </w:p>
        </w:tc>
        <w:tc>
          <w:tcPr>
            <w:tcW w:type="dxa" w:w="2477"/>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sz w:val="20"/>
              </w:rPr>
              <w:t>Simulation 2.5–97.5%</w:t>
            </w:r>
          </w:p>
        </w:tc>
      </w:tr>
      <w:tr>
        <w:trPr>
          <w:cantSplit/>
        </w:trPr>
        <w:tc>
          <w:tcPr>
            <w:tcW w:type="dxa" w:w="216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none</w:t>
            </w:r>
          </w:p>
        </w:tc>
        <w:tc>
          <w:tcPr>
            <w:tcW w:type="dxa" w:w="187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 / 0</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w:t>
            </w:r>
          </w:p>
        </w:tc>
        <w:tc>
          <w:tcPr>
            <w:tcW w:type="dxa" w:w="144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0.683</w:t>
            </w:r>
          </w:p>
        </w:tc>
        <w:tc>
          <w:tcPr>
            <w:tcW w:type="dxa" w:w="2477"/>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0.683–0.683</w:t>
            </w:r>
          </w:p>
        </w:tc>
      </w:tr>
      <w:tr>
        <w:trPr>
          <w:cantSplit/>
        </w:trPr>
        <w:tc>
          <w:tcPr>
            <w:tcW w:type="dxa" w:w="216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equal 10pct</w:t>
            </w:r>
          </w:p>
        </w:tc>
        <w:tc>
          <w:tcPr>
            <w:tcW w:type="dxa" w:w="187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0.1 / 0.1</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100</w:t>
            </w:r>
          </w:p>
        </w:tc>
        <w:tc>
          <w:tcPr>
            <w:tcW w:type="dxa" w:w="144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0.685</w:t>
            </w:r>
          </w:p>
        </w:tc>
        <w:tc>
          <w:tcPr>
            <w:tcW w:type="dxa" w:w="2477"/>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0.621–0.751</w:t>
            </w:r>
          </w:p>
        </w:tc>
      </w:tr>
      <w:tr>
        <w:trPr>
          <w:cantSplit/>
        </w:trPr>
        <w:tc>
          <w:tcPr>
            <w:tcW w:type="dxa" w:w="216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equal 20pct</w:t>
            </w:r>
          </w:p>
        </w:tc>
        <w:tc>
          <w:tcPr>
            <w:tcW w:type="dxa" w:w="187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0.2 / 0.2</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100</w:t>
            </w:r>
          </w:p>
        </w:tc>
        <w:tc>
          <w:tcPr>
            <w:tcW w:type="dxa" w:w="144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0.688</w:t>
            </w:r>
          </w:p>
        </w:tc>
        <w:tc>
          <w:tcPr>
            <w:tcW w:type="dxa" w:w="2477"/>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0.627–0.758</w:t>
            </w:r>
          </w:p>
        </w:tc>
      </w:tr>
      <w:tr>
        <w:trPr>
          <w:cantSplit/>
        </w:trPr>
        <w:tc>
          <w:tcPr>
            <w:tcW w:type="dxa" w:w="216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UC 20pct UU 0</w:t>
            </w:r>
          </w:p>
        </w:tc>
        <w:tc>
          <w:tcPr>
            <w:tcW w:type="dxa" w:w="187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0.2 / 0</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100</w:t>
            </w:r>
          </w:p>
        </w:tc>
        <w:tc>
          <w:tcPr>
            <w:tcW w:type="dxa" w:w="144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0.857</w:t>
            </w:r>
          </w:p>
        </w:tc>
        <w:tc>
          <w:tcPr>
            <w:tcW w:type="dxa" w:w="2477"/>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0.791–0.923</w:t>
            </w:r>
          </w:p>
        </w:tc>
      </w:tr>
      <w:tr>
        <w:trPr>
          <w:cantSplit/>
        </w:trPr>
        <w:tc>
          <w:tcPr>
            <w:tcW w:type="dxa" w:w="2160"/>
            <w:vAlign w:val="center"/>
            <w:tcBorders>
              <w:top w:val="single" w:sz="4" w:color="000000"/>
              <w:left w:val="single" w:sz="4" w:color="000000"/>
              <w:bottom w:val="single" w:sz="4" w:color="000000"/>
              <w:right w:val="single" w:sz="4" w:color="000000"/>
            </w:tcBorders>
          </w:tcPr>
          <w:p>
            <w:pPr>
              <w:spacing w:line="276" w:lineRule="auto" w:after="80" w:before="80"/>
              <w:jc w:val="left"/>
            </w:pPr>
            <w:r>
              <w:rPr>
                <w:b w:val="0"/>
                <w:sz w:val="20"/>
              </w:rPr>
              <w:t>UC 0 UU 20pct</w:t>
            </w:r>
          </w:p>
        </w:tc>
        <w:tc>
          <w:tcPr>
            <w:tcW w:type="dxa" w:w="1872"/>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 / 0.2</w:t>
            </w:r>
          </w:p>
        </w:tc>
        <w:tc>
          <w:tcPr>
            <w:tcW w:type="dxa" w:w="1008"/>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100</w:t>
            </w:r>
          </w:p>
        </w:tc>
        <w:tc>
          <w:tcPr>
            <w:tcW w:type="dxa" w:w="1440"/>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0.553</w:t>
            </w:r>
          </w:p>
        </w:tc>
        <w:tc>
          <w:tcPr>
            <w:tcW w:type="dxa" w:w="2477"/>
            <w:vAlign w:val="center"/>
            <w:tcBorders>
              <w:top w:val="single" w:sz="4" w:color="000000"/>
              <w:left w:val="single" w:sz="4" w:color="000000"/>
              <w:bottom w:val="single" w:sz="4" w:color="000000"/>
              <w:right w:val="single" w:sz="4" w:color="000000"/>
            </w:tcBorders>
          </w:tcPr>
          <w:p>
            <w:pPr>
              <w:spacing w:line="276" w:lineRule="auto" w:after="80" w:before="80"/>
              <w:jc w:val="center"/>
            </w:pPr>
            <w:r>
              <w:rPr>
                <w:b w:val="0"/>
                <w:sz w:val="20"/>
              </w:rPr>
              <w:t>0.520–0.588</w:t>
            </w:r>
          </w:p>
        </w:tc>
      </w:tr>
    </w:tbl>
    <w:p>
      <w:r>
        <w:rPr/>
        <w:t>These are hypothetical probabilities, not estimated event rates. Simulation quantiles describe assignment variation and are not confidence intervals. The original sample has 2126 participants, with 71 UC and 175 UU deaths eligible for reassignment.</w:t>
      </w:r>
    </w:p>
    <w:p>
      <w:pPr>
        <w:pStyle w:val="Heading1"/>
      </w:pPr>
      <w:r>
        <w:rPr/>
        <w:t>S7 Descriptive interval-censored survival</w:t>
      </w:r>
    </w:p>
    <w:p>
      <w:pPr>
        <w:keepNext/>
        <w:spacing w:line="240" w:lineRule="auto"/>
        <w:jc w:val="center"/>
      </w:pPr>
      <w:r>
        <w:drawing>
          <wp:inline xmlns:a="http://schemas.openxmlformats.org/drawingml/2006/main" xmlns:pic="http://schemas.openxmlformats.org/drawingml/2006/picture">
            <wp:extent cx="5897880" cy="4028353"/>
            <wp:docPr id="1" name="Picture 1"/>
            <wp:cNvGraphicFramePr>
              <a:graphicFrameLocks noChangeAspect="1"/>
            </wp:cNvGraphicFramePr>
            <a:graphic>
              <a:graphicData uri="http://schemas.openxmlformats.org/drawingml/2006/picture">
                <pic:pic>
                  <pic:nvPicPr>
                    <pic:cNvPr id="0" name="FigureS1_Turnbull.png"/>
                    <pic:cNvPicPr/>
                  </pic:nvPicPr>
                  <pic:blipFill>
                    <a:blip r:embed="rId10"/>
                    <a:stretch>
                      <a:fillRect/>
                    </a:stretch>
                  </pic:blipFill>
                  <pic:spPr>
                    <a:xfrm>
                      <a:off x="0" y="0"/>
                      <a:ext cx="5897880" cy="4028353"/>
                    </a:xfrm>
                    <a:prstGeom prst="rect"/>
                  </pic:spPr>
                </pic:pic>
              </a:graphicData>
            </a:graphic>
          </wp:inline>
        </w:drawing>
      </w:r>
    </w:p>
    <w:p>
      <w:pPr>
        <w:keepLines/>
        <w:spacing w:line="276" w:lineRule="auto"/>
      </w:pPr>
      <w:r>
        <w:rPr>
          <w:sz w:val="20"/>
        </w:rPr>
        <w:t>Figure S1. Unadjusted Turnbull estimates among initially uncontrolled participants. Curves describe interval-censored stroke-free survival under observation assumptions and do not estimate cumulative stroke incidence with death treated as a competing event. No uncertainty bands are shown.</w:t>
      </w:r>
    </w:p>
    <w:sectPr w:rsidR="00FC693F" w:rsidRPr="0006063C" w:rsidSect="00034616">
      <w:footerReference w:type="default" r:id="rId9"/>
      <w:pgSz w:w="11909" w:h="16834"/>
      <w:pgMar w:top="1152" w:right="1080" w:bottom="1152" w:left="1296" w:header="720" w:footer="720" w:gutter="0"/>
      <w:cols w:space="720"/>
      <w:docGrid w:linePitch="360"/>
      <w:lnNumType w:countBy="1" w:start="0" w:restart="continuous" w:distance="25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80"/>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76" w:lineRule="auto"/>
      <w:outlineLvl w:val="0"/>
    </w:pPr>
    <w:rPr>
      <w:rFonts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80" w:line="276" w:lineRule="auto"/>
      <w:outlineLvl w:val="1"/>
    </w:pPr>
    <w:rPr>
      <w:rFonts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76" w:lineRule="auto"/>
      <w:contextualSpacing/>
    </w:pPr>
    <w:rPr>
      <w:rFonts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Binbin Zhang and coauthors</dc:creator>
  <cp:keywords/>
  <dc:description>generated by python-docx</dc:description>
  <cp:lastModifiedBy/>
  <cp:revision>1</cp:revision>
  <dcterms:created xsi:type="dcterms:W3CDTF">2013-12-23T23:15:00Z</dcterms:created>
  <dcterms:modified xsi:type="dcterms:W3CDTF">2013-12-23T23:15:00Z</dcterms:modified>
  <cp:category/>
</cp:coreProperties>
</file>