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keepLines/>
        <w:spacing w:after="200" w:before="0"/>
      </w:pPr>
      <w:r>
        <w:rPr>
          <w:rFonts w:ascii="Times New Roman" w:cs="Times New Roman" w:eastAsia="宋体" w:hAnsi="Times New Roman"/>
          <w:b/>
          <w:bCs/>
          <w:sz w:val="32"/>
          <w:szCs w:val="32"/>
        </w:rPr>
        <w:t xml:space="preserve">Additional file 1. Roster provenance, commercial-track admission verification, annual funnel, and encoding coverage (Figure S1; Tables S1–S4)</w:t>
      </w:r>
    </w:p>
    <w:p>
      <w:pPr>
        <w:spacing w:after="120" w:before="0" w:line="360"/>
        <w:jc w:val="both"/>
      </w:pPr>
      <w:r>
        <w:rPr>
          <w:rFonts w:ascii="Times New Roman" w:cs="Times New Roman" w:eastAsia="宋体" w:hAnsi="Times New Roman"/>
          <w:sz w:val="22"/>
          <w:szCs w:val="22"/>
        </w:rPr>
        <w:t xml:space="preserve">Manuscript: "Selective uptake of medicines outside China's National Reimbursement Drug List by commercial specialty-drug rosters: a multi-product audit of the 2020–2025 negotiation cohorts," submitted to </w:t>
      </w:r>
      <w:r>
        <w:rPr>
          <w:rFonts w:ascii="Times New Roman" w:cs="Times New Roman" w:eastAsia="宋体" w:hAnsi="Times New Roman"/>
          <w:i/>
          <w:iCs/>
          <w:sz w:val="22"/>
          <w:szCs w:val="22"/>
        </w:rPr>
        <w:t xml:space="preserve">BMC Health Services Research</w:t>
      </w:r>
      <w:r>
        <w:rPr>
          <w:rFonts w:ascii="Times New Roman" w:cs="Times New Roman" w:eastAsia="宋体" w:hAnsi="Times New Roman"/>
          <w:sz w:val="22"/>
          <w:szCs w:val="22"/>
        </w:rPr>
        <w:t xml:space="preserve">.</w:t>
      </w:r>
    </w:p>
    <w:p>
      <w:pPr>
        <w:sectPr>
          <w:footerReference w:type="default" r:id="rId7"/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keepNext/>
        <w:spacing w:after="40" w:before="120"/>
        <w:jc w:val="center"/>
      </w:pPr>
      <w:r>
        <w:drawing>
          <wp:inline distT="0" distB="0" distL="0" distR="0">
            <wp:extent cx="6581775" cy="4381500"/>
            <wp:effectExtent t="0" r="0" b="0" l="0"/>
            <wp:docPr id="1" name="FigS1_attribute_gradients_v34.png" descr="Figure S1. Roster-listing gradients within attribute-encoded subsets of the main pool (descriptive; unadjusted; each att" title="FigS1_attribute_gradients_v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160" w:before="0" w:line="276"/>
        <w:jc w:val="left"/>
      </w:pPr>
      <w:r>
        <w:rPr>
          <w:rFonts w:ascii="Times New Roman" w:cs="Times New Roman" w:eastAsia="宋体" w:hAnsi="Times New Roman"/>
          <w:b/>
          <w:bCs/>
          <w:sz w:val="18"/>
          <w:szCs w:val="18"/>
        </w:rPr>
        <w:t xml:space="preserve">Figure S1.</w:t>
      </w:r>
      <w:r>
        <w:rPr>
          <w:rFonts w:ascii="Times New Roman" w:cs="Times New Roman" w:eastAsia="宋体" w:hAnsi="Times New Roman"/>
          <w:sz w:val="18"/>
          <w:szCs w:val="18"/>
        </w:rPr>
        <w:t xml:space="preserve"> Roster-listing gradients within attribute-encoded subsets of the main pool (descriptive; unadjusted; each attribute reported on its own encoded denominator). (A) Innovativeness (encoded n=176, incl. 16 TCM shown in Table S5). (B) Evidence tier by study design and endpoint type (encoded n=127). (C) Annual treatment cost (encoded n=170). (D) ATC main group (encoded n=176; D/G/S groups, all zero-listing, are omitted). Non-encoded strata are shown separately in Table S5 (listing 1.9–3.4%); gradients reproduce in the near-complete 2025 entrant cohort (n=88).</w:t>
      </w:r>
    </w:p>
    <w:p>
      <w:pPr>
        <w:sectPr>
          <w:footerReference w:type="default" r:id="rId8"/>
          <w:pgSz w:w="16838" w:h="11906" w:orient="landscape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keepNext/>
        <w:keepLines/>
        <w:spacing w:after="100" w:before="180"/>
      </w:pP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Table S1. Full source provenance for the 14 products (all URLs accessed 2026-09-08)</w:t>
      </w:r>
    </w:p>
    <w:p>
      <w:pPr>
        <w:spacing w:after="0" w:before="60"/>
      </w:pPr>
    </w:p>
    <w:tbl>
      <w:tblPr>
        <w:tblW w:type="dxa" w:w="13958"/>
        <w:tblBorders>
          <w:top w:val="single" w:color="000000" w:sz="8"/>
          <w:left w:val="none" w:color="FFFFFF" w:sz="0"/>
          <w:bottom w:val="single" w:color="000000" w:sz="8"/>
          <w:right w:val="none" w:color="FFFFFF" w:sz="0"/>
          <w:insideH w:val="none" w:color="FFFFFF" w:sz="0"/>
          <w:insideV w:val="none" w:color="FFFFFF" w:sz="0"/>
        </w:tblBorders>
        <w:tblCellMar>
          <w:top w:type="dxa" w:w="30"/>
          <w:left w:type="dxa" w:w="80"/>
          <w:bottom w:type="dxa" w:w="30"/>
          <w:right w:type="dxa" w:w="80"/>
        </w:tblCellMar>
      </w:tblPr>
      <w:tblGrid>
        <w:gridCol w:w="669"/>
        <w:gridCol w:w="2581"/>
        <w:gridCol w:w="1912"/>
        <w:gridCol w:w="2581"/>
        <w:gridCol w:w="4397"/>
        <w:gridCol w:w="1818"/>
      </w:tblGrid>
      <w:tr>
        <w:trPr>
          <w:cantSplit/>
          <w:tblHeader/>
        </w:trPr>
        <w:tc>
          <w:tcPr>
            <w:tcW w:type="dxa" w:w="669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#</w:t>
            </w:r>
          </w:p>
        </w:tc>
        <w:tc>
          <w:tcPr>
            <w:tcW w:type="dxa" w:w="2581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Product full name</w:t>
            </w:r>
          </w:p>
        </w:tc>
        <w:tc>
          <w:tcPr>
            <w:tcW w:type="dxa" w:w="1912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Underwriter</w:t>
            </w:r>
          </w:p>
        </w:tc>
        <w:tc>
          <w:tcPr>
            <w:tcW w:type="dxa" w:w="2581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Roster version / effective date</w:t>
            </w:r>
          </w:p>
        </w:tc>
        <w:tc>
          <w:tcPr>
            <w:tcW w:type="dxa" w:w="4397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Official URL (verified open)</w:t>
            </w:r>
          </w:p>
        </w:tc>
        <w:tc>
          <w:tcPr>
            <w:tcW w:type="dxa" w:w="1818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Source type</w:t>
            </w:r>
          </w:p>
        </w:tc>
      </w:tr>
      <w:tr>
        <w:trPr>
          <w:cantSplit/>
          <w:tblHeader w:val="false"/>
        </w:trPr>
        <w:tc>
          <w:tcPr>
            <w:tcW w:type="dxa" w:w="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北京普惠健康保 2026</w:t>
            </w:r>
          </w:p>
        </w:tc>
        <w:tc>
          <w:tcPr>
            <w:tcW w:type="dxa" w:w="1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PICC &amp; China Life lead; Taikang/CPIC/PingAn/Beijing Life co-insurance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2026 roster (launched 2025-11; adjusted to 176 drugs 2026-08-07, retroactive to 2026-01-01)</w:t>
            </w:r>
          </w:p>
        </w:tc>
        <w:tc>
          <w:tcPr>
            <w:tcW w:type="dxa" w:w="4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https://news.bjd.com.cn/2026/08/07/11904764.shtml ; Beijing Healthcare Security Administration: https://ybj.beijing.gov.cn/2020_zwfw/2020_cjwt/202511/t20251112_4278670.html</w:t>
            </w:r>
          </w:p>
        </w:tc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Official media roster release; government Q&amp;A</w:t>
            </w:r>
          </w:p>
        </w:tc>
      </w:tr>
      <w:tr>
        <w:trPr>
          <w:cantSplit/>
          <w:tblHeader w:val="false"/>
        </w:trPr>
        <w:tc>
          <w:tcPr>
            <w:tcW w:type="dxa" w:w="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沪惠保 2026 (Shanghai city-customised supplementary medical insurance)</w:t>
            </w:r>
          </w:p>
        </w:tc>
        <w:tc>
          <w:tcPr>
            <w:tcW w:type="dxa" w:w="1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CPIC Life lead, co-insurance body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2026 claims notice (2026-04); enrolment from 2026-05-25</w:t>
            </w:r>
          </w:p>
        </w:tc>
        <w:tc>
          <w:tcPr>
            <w:tcW w:type="dxa" w:w="4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https://mcdpro.cbit.com.cn/hhb/static-file/cms/tk/site/mcdpro.cbit.com.cn/hhb/static-file/SXYHB/shanghailanmu/1111709934518534144.html</w:t>
            </w:r>
          </w:p>
        </w:tc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Co-insurance official claims-notice page</w:t>
            </w:r>
          </w:p>
        </w:tc>
      </w:tr>
      <w:tr>
        <w:trPr>
          <w:cantSplit/>
          <w:tblHeader w:val="false"/>
        </w:trPr>
        <w:tc>
          <w:tcPr>
            <w:tcW w:type="dxa" w:w="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深圳惠民保 2026</w:t>
            </w:r>
          </w:p>
        </w:tc>
        <w:tc>
          <w:tcPr>
            <w:tcW w:type="dxa" w:w="1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China Life Shenzhen et al. (5 insurers)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2026-05-06 (enrolment 2026-05-07)</w:t>
            </w:r>
          </w:p>
        </w:tc>
        <w:tc>
          <w:tcPr>
            <w:tcW w:type="dxa" w:w="4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https://hsa.sz.gov.cn/ztzl/szhmb/cbdy/content/post_10593003.html</w:t>
            </w:r>
          </w:p>
        </w:tc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Municipal healthcare-security bureau page</w:t>
            </w:r>
          </w:p>
        </w:tc>
      </w:tr>
      <w:tr>
        <w:trPr>
          <w:cantSplit/>
          <w:tblHeader w:val="false"/>
        </w:trPr>
        <w:tc>
          <w:tcPr>
            <w:tcW w:type="dxa" w:w="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苏惠保 2026</w:t>
            </w:r>
          </w:p>
        </w:tc>
        <w:tc>
          <w:tcPr>
            <w:tcW w:type="dxa" w:w="1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Soochow Life lead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2025-10-20 launch</w:t>
            </w:r>
          </w:p>
        </w:tc>
        <w:tc>
          <w:tcPr>
            <w:tcW w:type="dxa" w:w="4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http://js.cnr.cn/tyjk/20251020/t20251020_527402324.shtml ; terms: https://cschannel.alipay.com/mobile/helpDetail.htm?help_id=201736332723</w:t>
            </w:r>
          </w:p>
        </w:tc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Official media launch report; full terms text</w:t>
            </w:r>
          </w:p>
        </w:tc>
      </w:tr>
      <w:tr>
        <w:trPr>
          <w:cantSplit/>
          <w:tblHeader w:val="false"/>
        </w:trPr>
        <w:tc>
          <w:tcPr>
            <w:tcW w:type="dxa" w:w="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惠蓉保 2026 (Chengdu)</w:t>
            </w:r>
          </w:p>
        </w:tc>
        <w:tc>
          <w:tcPr>
            <w:tcW w:type="dxa" w:w="1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10-insurer co-insurance (Sichuan/Chengdu bureaus guided)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announced 2026-05-11; effective 2026-07-01</w:t>
            </w:r>
          </w:p>
        </w:tc>
        <w:tc>
          <w:tcPr>
            <w:tcW w:type="dxa" w:w="4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https://cdyb.chengdu.gov.cn/ylbzj/c128983/2026-05/11/content_829dcf7261e84086b318a05a7bca00c6.shtml</w:t>
            </w:r>
          </w:p>
        </w:tc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Municipal healthcare-security bureau announcement</w:t>
            </w:r>
          </w:p>
        </w:tc>
      </w:tr>
      <w:tr>
        <w:trPr>
          <w:cantSplit/>
          <w:tblHeader w:val="false"/>
        </w:trPr>
        <w:tc>
          <w:tcPr>
            <w:tcW w:type="dxa" w:w="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6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南京宁惠保 phases III–VI</w:t>
            </w:r>
          </w:p>
        </w:tc>
        <w:tc>
          <w:tcPr>
            <w:tcW w:type="dxa" w:w="1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PICC lead; co-insurance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phase III 28 drugs (2022-09-19); IV 36 (2023-09-19); V 45 (2024-09-19); VI 50 (2025-09-16)</w:t>
            </w:r>
          </w:p>
        </w:tc>
        <w:tc>
          <w:tcPr>
            <w:tcW w:type="dxa" w:w="4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VI: https://www.nanjing.gov.cn/zzb/ywdt/msxx/202509/t20250917_5650868.html ; V: https://www.nanjing.gov.cn/zzb/ywdt/msxx/202410/t20241012_5125767.html ; IV: https://www.jiangsu.gov.cn/art/2023/9/20/art_88959_11024815.html ; III: insurer brochure hosted by Nanjing University</w:t>
            </w:r>
          </w:p>
        </w:tc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Municipal/provincial government pages; insurer brochure for phase III</w:t>
            </w:r>
          </w:p>
        </w:tc>
      </w:tr>
      <w:tr>
        <w:trPr>
          <w:cantSplit/>
          <w:tblHeader w:val="false"/>
        </w:trPr>
        <w:tc>
          <w:tcPr>
            <w:tcW w:type="dxa" w:w="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7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东莞莞家福 2025/2026</w:t>
            </w:r>
          </w:p>
        </w:tc>
        <w:tc>
          <w:tcPr>
            <w:tcW w:type="dxa" w:w="1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co-insurance (Dongguan bureaus guided)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no dedicated roster (open formulary); statement 2025-02-27; 2026 edition launched 2026-04-22</w:t>
            </w:r>
          </w:p>
        </w:tc>
        <w:tc>
          <w:tcPr>
            <w:tcW w:type="dxa" w:w="4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https://static.nfnews.com/content/202502/27/c11031144.html</w:t>
            </w:r>
          </w:p>
        </w:tc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Government-contributed policy explainer</w:t>
            </w:r>
          </w:p>
        </w:tc>
      </w:tr>
      <w:tr>
        <w:trPr>
          <w:cantSplit/>
          <w:tblHeader w:val="false"/>
        </w:trPr>
        <w:tc>
          <w:tcPr>
            <w:tcW w:type="dxa" w:w="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广州穗岁康 2026</w:t>
            </w:r>
          </w:p>
        </w:tc>
        <w:tc>
          <w:tcPr>
            <w:tcW w:type="dxa" w:w="1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China Life lead; PICC P&amp;C/PingAn P&amp;C/CPIC P&amp;C co-insurance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open formulary ("no drug-rostering limit"); proposal 2025-12-22</w:t>
            </w:r>
          </w:p>
        </w:tc>
        <w:tc>
          <w:tcPr>
            <w:tcW w:type="dxa" w:w="4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https://www.gz.gov.cn/zt/zzyyzq/tzgg/content/post_10608829.html</w:t>
            </w:r>
          </w:p>
        </w:tc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Municipal government joint proposal</w:t>
            </w:r>
          </w:p>
        </w:tc>
      </w:tr>
      <w:tr>
        <w:trPr>
          <w:cantSplit/>
          <w:tblHeader w:val="false"/>
        </w:trPr>
        <w:tc>
          <w:tcPr>
            <w:tcW w:type="dxa" w:w="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9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众安尊享e生 2026 (series since 2016-08)</w:t>
            </w:r>
          </w:p>
        </w:tc>
        <w:tc>
          <w:tcPr>
            <w:tcW w:type="dxa" w:w="1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ZhongAn Online P&amp;C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2026 specialty-drug roster PDF; product page</w:t>
            </w:r>
          </w:p>
        </w:tc>
        <w:tc>
          <w:tcPr>
            <w:tcW w:type="dxa" w:w="4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roster: https://static.zhongan.com/upload/online/material/1765784826536.pdf ; product: https://m.zhongan.com/gp/99633347</w:t>
            </w:r>
          </w:p>
        </w:tc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Insurer official roster PDF + product page</w:t>
            </w:r>
          </w:p>
        </w:tc>
      </w:tr>
      <w:tr>
        <w:trPr>
          <w:cantSplit/>
          <w:tblHeader w:val="false"/>
        </w:trPr>
        <w:tc>
          <w:tcPr>
            <w:tcW w:type="dxa" w:w="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好医保·长期医疗 / filed 悠臻保2025款 (series since 2018-05)</w:t>
            </w:r>
          </w:p>
        </w:tc>
        <w:tc>
          <w:tcPr>
            <w:tcW w:type="dxa" w:w="1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PICC Health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filing 人保健康[2025]063号; product page 2026-06-01</w:t>
            </w:r>
          </w:p>
        </w:tc>
        <w:tc>
          <w:tcPr>
            <w:tcW w:type="dxa" w:w="4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https://www.picchealth.com/picchealth/webfile/629925/2026-06-01/7100.html</w:t>
            </w:r>
          </w:p>
        </w:tc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Insurer official product/terms page</w:t>
            </w:r>
          </w:p>
        </w:tc>
      </w:tr>
      <w:tr>
        <w:trPr>
          <w:cantSplit/>
          <w:tblHeader w:val="false"/>
        </w:trPr>
        <w:tc>
          <w:tcPr>
            <w:tcW w:type="dxa" w:w="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11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平安e生保·百万医疗 2026旗舰版 (series since 2016)</w:t>
            </w:r>
          </w:p>
        </w:tc>
        <w:tc>
          <w:tcPr>
            <w:tcW w:type="dxa" w:w="1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PingAn Health Insurance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released 2025-12-01</w:t>
            </w:r>
          </w:p>
        </w:tc>
        <w:tc>
          <w:tcPr>
            <w:tcW w:type="dxa" w:w="4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https://ehis-ows.health.pingan.com/health_new/news/articles/14987979559889024469</w:t>
            </w:r>
          </w:p>
        </w:tc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Insurer official release</w:t>
            </w:r>
          </w:p>
        </w:tc>
      </w:tr>
      <w:tr>
        <w:trPr>
          <w:cantSplit/>
          <w:tblHeader w:val="false"/>
        </w:trPr>
        <w:tc>
          <w:tcPr>
            <w:tcW w:type="dxa" w:w="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12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蓝医保·长期医疗 E款 (series since 2022-04)</w:t>
            </w:r>
          </w:p>
        </w:tc>
        <w:tc>
          <w:tcPr>
            <w:tcW w:type="dxa" w:w="1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CPIC Health Insurance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product explainer 2026-06-17; terms-appendix PDF 2026-02-11</w:t>
            </w:r>
          </w:p>
        </w:tc>
        <w:tc>
          <w:tcPr>
            <w:tcW w:type="dxa" w:w="4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explainer: https://m.cpic.com.cn/c/2026-06-17/1883958.shtml ; PDF (downloaded &amp; parsed by team): https://www.cpic.com.cn/upload/resources/file/2026/02/11/93040.pdf</w:t>
            </w:r>
          </w:p>
        </w:tc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Insurer official page + terms-appendix PDF</w:t>
            </w:r>
          </w:p>
        </w:tc>
      </w:tr>
      <w:tr>
        <w:trPr>
          <w:cantSplit/>
          <w:tblHeader w:val="false"/>
        </w:trPr>
        <w:tc>
          <w:tcPr>
            <w:tcW w:type="dxa" w:w="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13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太保附加互联网特定药品费用B款医疗保险</w:t>
            </w:r>
          </w:p>
        </w:tc>
        <w:tc>
          <w:tcPr>
            <w:tcW w:type="dxa" w:w="1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CPIC Health Insurance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filing 太平洋健康险[2025]051号; roster PDF 2026-01-28</w:t>
            </w:r>
          </w:p>
        </w:tc>
        <w:tc>
          <w:tcPr>
            <w:tcW w:type="dxa" w:w="4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PDF (downloaded &amp; parsed by team): https://www.cpic.com.cn/upload/resources/file/2026/01/28/92822.pdf</w:t>
            </w:r>
          </w:p>
        </w:tc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Insurer official roster PDF</w:t>
            </w:r>
          </w:p>
        </w:tc>
      </w:tr>
      <w:tr>
        <w:trPr>
          <w:cantSplit/>
          <w:tblHeader w:val="false"/>
        </w:trPr>
        <w:tc>
          <w:tcPr>
            <w:tcW w:type="dxa" w:w="669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14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泰康在线住院费用医疗保险2025版K款 (roster YWTY020)</w:t>
            </w:r>
          </w:p>
        </w:tc>
        <w:tc>
          <w:tcPr>
            <w:tcW w:type="dxa" w:w="1912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Taikang Online P&amp;C</w:t>
            </w:r>
          </w:p>
        </w:tc>
        <w:tc>
          <w:tcPr>
            <w:tcW w:type="dxa" w:w="2581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roster PDF 2026-04-30 (87 pages; names applicable terms)</w:t>
            </w:r>
          </w:p>
        </w:tc>
        <w:tc>
          <w:tcPr>
            <w:tcW w:type="dxa" w:w="4397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PDF (downloaded &amp; parsed by team): https://www.tk.cn/tkcms/article/252f4776b873fc3b76a7459acf51fa7b.pdf</w:t>
            </w:r>
          </w:p>
        </w:tc>
        <w:tc>
          <w:tcPr>
            <w:tcW w:type="dxa" w:w="1818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Insurer official roster PDF</w:t>
            </w:r>
          </w:p>
        </w:tc>
      </w:tr>
    </w:tbl>
    <w:p>
      <w:pPr>
        <w:spacing w:after="120" w:before="60"/>
      </w:pPr>
    </w:p>
    <w:p>
      <w:pPr>
        <w:spacing w:after="120" w:before="0" w:line="360"/>
        <w:jc w:val="both"/>
      </w:pPr>
      <w:r>
        <w:rPr>
          <w:rFonts w:ascii="Times New Roman" w:cs="Times New Roman" w:eastAsia="宋体" w:hAnsi="Times New Roman"/>
          <w:sz w:val="22"/>
          <w:szCs w:val="22"/>
        </w:rPr>
        <w:t xml:space="preserve">Notes: (i) Every URL was opened and verified to contain the roster, terms clause, or policy statement quoted; access date 2026-09-08. (ii) All six high-limit products are annual terms updates of multi-year series (series-launch years given), not new products; the "no historical versions" statement in carrier communications refers to per-year terms versions, which are superseded rather than archived publicly. (iii) Nanjing 宁惠保 had no specialty-drug roster in phases I–II (2021–2022 benefit years); roster-based diffs begin at phase III. (iv) Products 7–8 are open-formulary by official design; this is a coverage-policy feature, not missing data. (v) The blue medical insurance E款 terms-appendix PDF (product 12) contains the negative-list clause quoted in Table 1 row 12 / §2.3.</w:t>
      </w:r>
    </w:p>
    <w:p>
      <w:pPr>
        <w:sectPr>
          <w:footerReference w:type="default" r:id="rId9"/>
          <w:pgSz w:w="16838" w:h="11906" w:orient="landscape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keepNext/>
        <w:keepLines/>
        <w:spacing w:after="100" w:before="180"/>
      </w:pP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Table S2. Identity verification for the 19 inaugural commercial-track (CHI) admissions</w:t>
      </w:r>
    </w:p>
    <w:p>
      <w:pPr>
        <w:spacing w:after="0" w:before="60"/>
      </w:pPr>
    </w:p>
    <w:tbl>
      <w:tblPr>
        <w:tblW w:type="dxa" w:w="13958"/>
        <w:tblBorders>
          <w:top w:val="single" w:color="000000" w:sz="8"/>
          <w:left w:val="none" w:color="FFFFFF" w:sz="0"/>
          <w:bottom w:val="single" w:color="000000" w:sz="8"/>
          <w:right w:val="none" w:color="FFFFFF" w:sz="0"/>
          <w:insideH w:val="none" w:color="FFFFFF" w:sz="0"/>
          <w:insideV w:val="none" w:color="FFFFFF" w:sz="0"/>
        </w:tblBorders>
        <w:tblCellMar>
          <w:top w:type="dxa" w:w="30"/>
          <w:left w:type="dxa" w:w="80"/>
          <w:bottom w:type="dxa" w:w="30"/>
          <w:right w:type="dxa" w:w="80"/>
        </w:tblCellMar>
      </w:tblPr>
      <w:tblGrid>
        <w:gridCol w:w="2093"/>
        <w:gridCol w:w="1894"/>
        <w:gridCol w:w="2392"/>
        <w:gridCol w:w="2492"/>
        <w:gridCol w:w="1296"/>
        <w:gridCol w:w="3791"/>
      </w:tblGrid>
      <w:tr>
        <w:trPr>
          <w:cantSplit/>
          <w:tblHeader/>
        </w:trPr>
        <w:tc>
          <w:tcPr>
            <w:tcW w:type="dxa" w:w="2093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Chinese name</w:t>
            </w:r>
          </w:p>
        </w:tc>
        <w:tc>
          <w:tcPr>
            <w:tcW w:type="dxa" w:w="1894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English/INN</w:t>
            </w:r>
          </w:p>
        </w:tc>
        <w:tc>
          <w:tcPr>
            <w:tcW w:type="dxa" w:w="2392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Class &amp; target</w:t>
            </w:r>
          </w:p>
        </w:tc>
        <w:tc>
          <w:tcPr>
            <w:tcW w:type="dxa" w:w="2492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Indication(s)</w:t>
            </w:r>
          </w:p>
        </w:tc>
        <w:tc>
          <w:tcPr>
            <w:tcW w:type="dxa" w:w="1296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NMPA approval</w:t>
            </w:r>
          </w:p>
        </w:tc>
        <w:tc>
          <w:tcPr>
            <w:tcW w:type="dxa" w:w="3791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Application history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阿基仑赛注射液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axicabtagene ciloleucel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CD19 CAR-T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r/r large B-cell lymphoma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2021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BMI 2021–2024 (4 cycles); commercial 2025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瑞基奥仑赛注射液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relmacabtagene autoleucel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CD19 CAR-T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r/r LBCL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2021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BMI 2022–2025 (4 cycles); commercial 2025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伊匹木单抗注射液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ipilimumab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anti-CTLA-4 mAb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melanoma, mesothelioma (combo)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2021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BMI first application 2021; HMB 2022; commercial 2025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达妥昔单抗β注射液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dinutuximab beta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anti-GD2 mAb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high-risk neuroblastoma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2021-08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HMB 2022 (</w:t>
            </w: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before</w:t>
            </w: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 BMI application 2023); commercial 2025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盐酸沙丙蝶呤片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sapropterin dihydrochloride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BH4 analogue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phenylketonuria (PKU)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2023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BMI 2023; commercial 2025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那西妥单抗注射液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naxitamab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anti-GD2 mAb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r/r neuroblastoma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2022-11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BMI 2024; commercial 2025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泽沃基奥仑赛注射液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zevorcabtagene autoleucel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BCMA</w:t>
            </w: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 CAR-T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r/r multiple myeloma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2024-02-23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BMI 2024; commercial 2025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纳基奥仑赛注射液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inaticabtagene autoleucel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CD19</w:t>
            </w: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 CAR-T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r/r B-cell ALL / LBCL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2023-11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BMI 2024; commercial 2025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注射用替度格鲁肽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teduglutide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GLP-2 analogue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short-bowel syndrome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2024-02 (Takeda)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BMI 2024; commercial 2025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仑卡奈单抗注射液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lecanemab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anti-amyloid-β mAb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early Alzheimer's disease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2024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BMI 2025; commercial 2025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多奈单抗注射液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donanemab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anti-amyloid-β mAb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early Alzheimer's disease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2024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BMI 2025; commercial 2025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注射用维拉苷酶β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velaglucerase β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enzyme replacement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Gaucher disease (domestic, CANbridge)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2025-05-13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commercial 2025 only; never filed BMI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伊基奥仑赛注射液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equecabtagene autoleucel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BCMA</w:t>
            </w: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 CAR-T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r/r multiple myeloma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2023-06-30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BMI 2025; commercial 2025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氢溴酸他泽司他片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tazemetostat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EZH2 inhibitor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follicular lymphoma; epithelioid sarcoma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2025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BMI 2025 (not listed); HMB 2026; commercial 2025 (CHI-admitted)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埃纳妥单抗注射液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elranatamab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BCMA×CD3 bispecific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r/r multiple myeloma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2025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HMB 2026; </w:t>
            </w: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commercial 2025 only; never filed BMI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塔奎妥单抗注射液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talquetamab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GPRC5D×CD3</w:t>
            </w: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 bispecific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r/r multiple myeloma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2025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HMB 2026; </w:t>
            </w: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commercial 2025 only; never filed BMI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注射用泽尼达妥单抗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zanidatamab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HER2 bispecific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biliary tract cancer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2025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commercial 2025 only; never filed BMI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甲苯磺酰胺注射液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tosylamide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intratumoural ablative agent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malignant tumour ablation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2022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BMI 2025; HMB 2026; commercial 2025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注射用芦比替定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lurbinectedin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transcription modulator</w:t>
            </w:r>
          </w:p>
        </w:tc>
        <w:tc>
          <w:tcPr>
            <w:tcW w:type="dxa" w:w="2492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small-cell lung cancer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2024</w:t>
            </w:r>
          </w:p>
        </w:tc>
        <w:tc>
          <w:tcPr>
            <w:tcW w:type="dxa" w:w="3791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HMB 2026; </w:t>
            </w: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commercial 2025 only; never filed BMI</w:t>
            </w:r>
          </w:p>
        </w:tc>
      </w:tr>
    </w:tbl>
    <w:p>
      <w:pPr>
        <w:spacing w:after="120" w:before="60"/>
      </w:pPr>
    </w:p>
    <w:p>
      <w:pPr>
        <w:sectPr>
          <w:footerReference w:type="default" r:id="rId10"/>
          <w:pgSz w:w="16838" w:h="11906" w:orient="landscape"/>
          <w:pgMar w:top="1440" w:right="1440" w:bottom="1440" w:left="1440" w:header="708" w:footer="708" w:gutter="0"/>
          <w:pgNumType/>
          <w:docGrid w:linePitch="360"/>
        </w:sectPr>
      </w:pPr>
    </w:p>
    <w:p>
      <w:pPr>
        <w:spacing w:after="120" w:before="0" w:line="360"/>
        <w:jc w:val="both"/>
      </w:pPr>
      <w:r>
        <w:rPr>
          <w:rFonts w:ascii="Times New Roman" w:cs="Times New Roman" w:eastAsia="宋体" w:hAnsi="Times New Roman"/>
          <w:sz w:val="22"/>
          <w:szCs w:val="22"/>
        </w:rPr>
        <w:t xml:space="preserve">All 19 identities were verified against NMPA approval records and NHSA commercial-track application materials; class and target fields follow the approved labelling (inaticabtagene autoleucel 纳基奥仑赛/源瑞达 is a CD19 CAR-T for r/r B-ALL/LBCL; talquetamab 塔奎妥单抗 is a GPRC5D×CD3 bispecific; teduglutide 替度格鲁肽/瑞唯抒 is a GLP-2 analogue for short-bowel syndrome). A further listed ingredient, ravulizumab (瑞利珠单抗, 伟立瑞), appears on Beijing Puhui 2026's overseas-drug sub-roster; at roster publication (2025-11) its PNH indication had not yet received NMPA approval (approved 2026-08-20), and it is included under the overseas/Hainan pilot precedent—a genuine listing flagged as an overseas-drug case. Of the 19, exactly 5 never filed for basic-track listing (velaglucerase β, elranatamab, talquetamab, zanidatamab, lurbinectedin); the other 14 are dual-track.</w:t>
      </w:r>
    </w:p>
    <w:p>
      <w:pPr>
        <w:sectPr>
          <w:footerReference w:type="default" r:id="rId11"/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keepNext/>
        <w:keepLines/>
        <w:spacing w:after="100" w:before="180"/>
      </w:pP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Table S3. Annual NRDL funnel, 2020–2025 (basic track; 2025 commercial track shown separately)</w:t>
      </w:r>
    </w:p>
    <w:p>
      <w:pPr>
        <w:spacing w:after="0" w:before="60"/>
      </w:pPr>
    </w:p>
    <w:tbl>
      <w:tblPr>
        <w:tblW w:type="dxa" w:w="13958"/>
        <w:tblBorders>
          <w:top w:val="single" w:color="000000" w:sz="8"/>
          <w:left w:val="none" w:color="FFFFFF" w:sz="0"/>
          <w:bottom w:val="single" w:color="000000" w:sz="8"/>
          <w:right w:val="none" w:color="FFFFFF" w:sz="0"/>
          <w:insideH w:val="none" w:color="FFFFFF" w:sz="0"/>
          <w:insideV w:val="none" w:color="FFFFFF" w:sz="0"/>
        </w:tblBorders>
        <w:tblCellMar>
          <w:top w:type="dxa" w:w="30"/>
          <w:left w:type="dxa" w:w="80"/>
          <w:bottom w:type="dxa" w:w="30"/>
          <w:right w:type="dxa" w:w="80"/>
        </w:tblCellMar>
      </w:tblPr>
      <w:tblGrid>
        <w:gridCol w:w="2009"/>
        <w:gridCol w:w="2220"/>
        <w:gridCol w:w="2432"/>
        <w:gridCol w:w="2749"/>
        <w:gridCol w:w="2855"/>
        <w:gridCol w:w="1693"/>
      </w:tblGrid>
      <w:tr>
        <w:trPr>
          <w:cantSplit/>
          <w:tblHeader/>
        </w:trPr>
        <w:tc>
          <w:tcPr>
            <w:tcW w:type="dxa" w:w="2009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Cycle</w:t>
            </w:r>
          </w:p>
        </w:tc>
        <w:tc>
          <w:tcPr>
            <w:tcW w:type="dxa" w:w="22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Formal-review pool</w:t>
            </w:r>
          </w:p>
        </w:tc>
        <w:tc>
          <w:tcPr>
            <w:tcW w:type="dxa" w:w="2432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Negotiation/bidding entrants</w:t>
            </w:r>
          </w:p>
        </w:tc>
        <w:tc>
          <w:tcPr>
            <w:tcW w:type="dxa" w:w="2749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Successes</w:t>
            </w:r>
          </w:p>
        </w:tc>
        <w:tc>
          <w:tcPr>
            <w:tcW w:type="dxa" w:w="2855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Newly listed (incl. direct)</w:t>
            </w:r>
          </w:p>
        </w:tc>
        <w:tc>
          <w:tcPr>
            <w:tcW w:type="dxa" w:w="1693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/>
                <w:bCs/>
                <w:sz w:val="17"/>
                <w:szCs w:val="17"/>
              </w:rPr>
              <w:t xml:space="preserve">Listing rate</w:t>
            </w:r>
          </w:p>
        </w:tc>
      </w:tr>
      <w:tr>
        <w:trPr>
          <w:cantSplit/>
          <w:tblHeader w:val="false"/>
        </w:trPr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2020†</w:t>
            </w:r>
          </w:p>
        </w:tc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704</w:t>
            </w:r>
          </w:p>
        </w:tc>
        <w:tc>
          <w:tcPr>
            <w:tcW w:type="dxa" w:w="2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2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2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119</w:t>
            </w:r>
          </w:p>
        </w:tc>
        <w:tc>
          <w:tcPr>
            <w:tcW w:type="dxa" w:w="16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16.9%</w:t>
            </w:r>
          </w:p>
        </w:tc>
      </w:tr>
      <w:tr>
        <w:trPr>
          <w:cantSplit/>
          <w:tblHeader w:val="false"/>
        </w:trPr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2021</w:t>
            </w:r>
          </w:p>
        </w:tc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174</w:t>
            </w:r>
          </w:p>
        </w:tc>
        <w:tc>
          <w:tcPr>
            <w:tcW w:type="dxa" w:w="2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2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67 negotiated</w:t>
            </w:r>
          </w:p>
        </w:tc>
        <w:tc>
          <w:tcPr>
            <w:tcW w:type="dxa" w:w="2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74 (+7 direct)</w:t>
            </w:r>
          </w:p>
        </w:tc>
        <w:tc>
          <w:tcPr>
            <w:tcW w:type="dxa" w:w="16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42.5%</w:t>
            </w:r>
          </w:p>
        </w:tc>
      </w:tr>
      <w:tr>
        <w:trPr>
          <w:cantSplit/>
          <w:tblHeader w:val="false"/>
        </w:trPr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2022</w:t>
            </w:r>
          </w:p>
        </w:tc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199</w:t>
            </w:r>
          </w:p>
        </w:tc>
        <w:tc>
          <w:tcPr>
            <w:tcW w:type="dxa" w:w="2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2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2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108</w:t>
            </w:r>
          </w:p>
        </w:tc>
        <w:tc>
          <w:tcPr>
            <w:tcW w:type="dxa" w:w="16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54.3%</w:t>
            </w:r>
          </w:p>
        </w:tc>
      </w:tr>
      <w:tr>
        <w:trPr>
          <w:cantSplit/>
          <w:tblHeader w:val="false"/>
        </w:trPr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2023</w:t>
            </w:r>
          </w:p>
        </w:tc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226</w:t>
            </w:r>
          </w:p>
        </w:tc>
        <w:tc>
          <w:tcPr>
            <w:tcW w:type="dxa" w:w="2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2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2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126</w:t>
            </w:r>
          </w:p>
        </w:tc>
        <w:tc>
          <w:tcPr>
            <w:tcW w:type="dxa" w:w="16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55.8%</w:t>
            </w:r>
          </w:p>
        </w:tc>
      </w:tr>
      <w:tr>
        <w:trPr>
          <w:cantSplit/>
          <w:tblHeader w:val="false"/>
        </w:trPr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2024</w:t>
            </w:r>
          </w:p>
        </w:tc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249</w:t>
            </w:r>
          </w:p>
        </w:tc>
        <w:tc>
          <w:tcPr>
            <w:tcW w:type="dxa" w:w="2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2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2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91</w:t>
            </w:r>
          </w:p>
        </w:tc>
        <w:tc>
          <w:tcPr>
            <w:tcW w:type="dxa" w:w="16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36.5%</w:t>
            </w:r>
          </w:p>
        </w:tc>
      </w:tr>
      <w:tr>
        <w:trPr>
          <w:cantSplit/>
          <w:tblHeader w:val="false"/>
        </w:trPr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2025 basic</w:t>
            </w:r>
          </w:p>
        </w:tc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311</w:t>
            </w:r>
          </w:p>
        </w:tc>
        <w:tc>
          <w:tcPr>
            <w:tcW w:type="dxa" w:w="2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127 (+2 direct)</w:t>
            </w:r>
          </w:p>
        </w:tc>
        <w:tc>
          <w:tcPr>
            <w:tcW w:type="dxa" w:w="2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112 (105 negotiation + 7 bidding; 88.2% of entrants)</w:t>
            </w:r>
          </w:p>
        </w:tc>
        <w:tc>
          <w:tcPr>
            <w:tcW w:type="dxa" w:w="2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114 (incl. 50 Class-1)</w:t>
            </w:r>
          </w:p>
        </w:tc>
        <w:tc>
          <w:tcPr>
            <w:tcW w:type="dxa" w:w="16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36.7%</w:t>
            </w:r>
          </w:p>
        </w:tc>
      </w:tr>
      <w:tr>
        <w:trPr>
          <w:cantSplit/>
          <w:tblHeader w:val="false"/>
        </w:trPr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2025 renewals</w:t>
            </w:r>
          </w:p>
        </w:tc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224 reviewed</w:t>
            </w:r>
          </w:p>
        </w:tc>
        <w:tc>
          <w:tcPr>
            <w:tcW w:type="dxa" w:w="2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178 renewed (148 simple, mean −8.4% for 15; 30 renegotiated, mean −13.8%)</w:t>
            </w:r>
          </w:p>
        </w:tc>
        <w:tc>
          <w:tcPr>
            <w:tcW w:type="dxa" w:w="2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2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8 failures (4.3%) + 21 routine removals = 29 exits</w:t>
            </w:r>
          </w:p>
        </w:tc>
        <w:tc>
          <w:tcPr>
            <w:tcW w:type="dxa" w:w="16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2025 commercial</w:t>
            </w:r>
          </w:p>
        </w:tc>
        <w:tc>
          <w:tcPr>
            <w:tcW w:type="dxa" w:w="22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141 filed</w:t>
            </w:r>
          </w:p>
        </w:tc>
        <w:tc>
          <w:tcPr>
            <w:tcW w:type="dxa" w:w="2432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121 passed review (79 dual-track)</w:t>
            </w:r>
          </w:p>
        </w:tc>
        <w:tc>
          <w:tcPr>
            <w:tcW w:type="dxa" w:w="2749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19 admitted</w:t>
            </w:r>
          </w:p>
        </w:tc>
        <w:tc>
          <w:tcPr>
            <w:tcW w:type="dxa" w:w="2855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19</w:t>
            </w:r>
          </w:p>
        </w:tc>
        <w:tc>
          <w:tcPr>
            <w:tcW w:type="dxa" w:w="1693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10" w:before="10" w:line="276"/>
              <w:jc w:val="center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120" w:before="60"/>
      </w:pPr>
    </w:p>
    <w:p>
      <w:pPr>
        <w:spacing w:after="120" w:before="0" w:line="360"/>
        <w:jc w:val="both"/>
      </w:pPr>
      <w:r>
        <w:rPr>
          <w:rFonts w:ascii="Times New Roman" w:cs="Times New Roman" w:eastAsia="宋体" w:hAnsi="Times New Roman"/>
          <w:sz w:val="22"/>
          <w:szCs w:val="22"/>
        </w:rPr>
        <w:t xml:space="preserve">† 2020 pool compiled under a broader scope; rates from 2021 use NHSA negotiation-cycle denominators. The 2021 denominator of 174 formal-review-passing applicants follows the NHSA published formal-review list [12]; the count of 74 newly listed (67 negotiated + 7 direct) follows the NHSA official interpretation of the 2021 results [24]. Sources: NHSA annual communiqués and formal-review announcements [11–17,24].</w:t>
      </w:r>
    </w:p>
    <w:p>
      <w:pPr>
        <w:sectPr>
          <w:footerReference w:type="default" r:id="rId12"/>
          <w:pgSz w:w="16838" w:h="11906" w:orient="landscape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keepNext/>
        <w:keepLines/>
        <w:spacing w:after="100" w:before="180"/>
      </w:pPr>
      <w:r>
        <w:rPr>
          <w:rFonts w:ascii="Times New Roman" w:cs="Times New Roman" w:eastAsia="宋体" w:hAnsi="Times New Roman"/>
          <w:b/>
          <w:bCs/>
          <w:sz w:val="22"/>
          <w:szCs w:val="22"/>
        </w:rPr>
        <w:t xml:space="preserve">Table S4. Encoding coverage and the 9 listed main-pool ingredients outside the encoded subset</w:t>
      </w:r>
    </w:p>
    <w:p>
      <w:pPr>
        <w:spacing w:after="120" w:before="0" w:line="360"/>
        <w:jc w:val="both"/>
      </w:pPr>
      <w:r>
        <w:rPr>
          <w:rFonts w:ascii="Times New Roman" w:cs="Times New Roman" w:eastAsia="宋体" w:hAnsi="Times New Roman"/>
          <w:sz w:val="22"/>
          <w:szCs w:val="22"/>
        </w:rPr>
        <w:t xml:space="preserve">Per-attribute encoding coverage among the 578 main-pool ingredients: innovativeness/ATC/rarity 176 (30.4%); evidence tier 127 (21.9%); price 170 (29.4%); registration class 208 (36.0%). Listed ingredients outside the innovativeness-encoded subset (n=9): imiglucerase, elosulfase alfa, liposomal doxorubicin, interferon α-2b gel, laronidase, pralatrexate, mobocertinib, agalsidase beta, alglucosidase alfa. These are predominantly long-marketed high-cost specialty drugs (lysosomal enzyme replacement, liposomal chemotherapy) that fall outside recent-innovation coding frames; their listing indicates rosters also cover established specialty drugs. Encoded vs non-encoded group comparison and the 2025 single-year sensitivity cohort are in §3.5 and Audit Appendix A3.</w:t>
      </w:r>
    </w:p>
    <w:sectPr>
      <w:footerReference w:type="default" r:id="rId13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宋体" w:hAnsi="Times New Roman"/>
        <w:sz w:val="18"/>
        <w:szCs w:val="18"/>
      </w:rPr>
      <w:t xml:space="preserve">Page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宋体" w:hAnsi="Times New Roman"/>
        <w:sz w:val="18"/>
        <w:szCs w:val="18"/>
      </w:rPr>
      <w:t xml:space="preserve"> of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宋体" w:hAnsi="Times New Roman"/>
        <w:sz w:val="18"/>
        <w:szCs w:val="18"/>
      </w:rPr>
      <w:t xml:space="preserve">Page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宋体" w:hAnsi="Times New Roman"/>
        <w:sz w:val="18"/>
        <w:szCs w:val="18"/>
      </w:rPr>
      <w:t xml:space="preserve"> of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宋体" w:hAnsi="Times New Roman"/>
        <w:sz w:val="18"/>
        <w:szCs w:val="18"/>
      </w:rPr>
      <w:t xml:space="preserve">Page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宋体" w:hAnsi="Times New Roman"/>
        <w:sz w:val="18"/>
        <w:szCs w:val="18"/>
      </w:rPr>
      <w:t xml:space="preserve"> of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宋体" w:hAnsi="Times New Roman"/>
        <w:sz w:val="18"/>
        <w:szCs w:val="18"/>
      </w:rPr>
      <w:t xml:space="preserve">Page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宋体" w:hAnsi="Times New Roman"/>
        <w:sz w:val="18"/>
        <w:szCs w:val="18"/>
      </w:rPr>
      <w:t xml:space="preserve"> of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宋体" w:hAnsi="Times New Roman"/>
        <w:sz w:val="18"/>
        <w:szCs w:val="18"/>
      </w:rPr>
      <w:t xml:space="preserve">Page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宋体" w:hAnsi="Times New Roman"/>
        <w:sz w:val="18"/>
        <w:szCs w:val="18"/>
      </w:rPr>
      <w:t xml:space="preserve"> of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宋体" w:hAnsi="Times New Roman"/>
        <w:sz w:val="18"/>
        <w:szCs w:val="18"/>
      </w:rPr>
      <w:t xml:space="preserve">Page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宋体" w:hAnsi="Times New Roman"/>
        <w:sz w:val="18"/>
        <w:szCs w:val="18"/>
      </w:rPr>
      <w:t xml:space="preserve"> of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宋体" w:hAnsi="Times New Roman"/>
        <w:sz w:val="18"/>
        <w:szCs w:val="18"/>
      </w:rPr>
      <w:t xml:space="preserve">Page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宋体" w:hAnsi="Times New Roman"/>
        <w:sz w:val="18"/>
        <w:szCs w:val="18"/>
      </w:rPr>
      <w:t xml:space="preserve"> of </w:t>
    </w:r>
    <w:r>
      <w:rPr>
        <w:rFonts w:ascii="Times New Roman" w:cs="Times New Roman" w:eastAsia="宋体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keepNext/>
      <w:keepLines/>
      <w:spacing w:after="200" w:before="0"/>
      <w:outlineLvl w:val="0"/>
    </w:pPr>
    <w:rPr>
      <w:rFonts w:ascii="Times New Roman" w:cs="Times New Roman" w:eastAsia="宋体" w:hAnsi="Times New Roman"/>
      <w:b/>
      <w:bCs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240"/>
      <w:outlineLvl w:val="1"/>
    </w:pPr>
    <w:rPr>
      <w:rFonts w:ascii="Times New Roman" w:cs="Times New Roman" w:eastAsia="宋体" w:hAnsi="Times New Roman"/>
      <w:b/>
      <w:bCs/>
      <w:color w:val="000000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keepLines/>
      <w:spacing w:after="100" w:before="180"/>
      <w:outlineLvl w:val="2"/>
    </w:pPr>
    <w:rPr>
      <w:rFonts w:ascii="Times New Roman" w:cs="Times New Roman" w:eastAsia="宋体" w:hAnsi="Times New Roman"/>
      <w:b/>
      <w:bCs/>
      <w:color w:val="00000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footer" Target="footer7.xml"/><Relationship Id="rId14" Type="http://schemas.openxmlformats.org/officeDocument/2006/relationships/image" Target="media/06c241f382a34e0b57d725891e452247b832dd86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RQ2 BHSR submission</dc:creator>
  <cp:lastModifiedBy>Un-named</cp:lastModifiedBy>
  <cp:revision>1</cp:revision>
  <dcterms:created xsi:type="dcterms:W3CDTF">2026-09-12T13:12:08.981Z</dcterms:created>
  <dcterms:modified xsi:type="dcterms:W3CDTF">2026-09-12T13:12:08.981Z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