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spacing w:after="200" w:before="0"/>
      </w:pPr>
      <w:r>
        <w:rPr>
          <w:rFonts w:ascii="Times New Roman" w:cs="Times New Roman" w:eastAsia="宋体" w:hAnsi="Times New Roman"/>
          <w:b/>
          <w:bCs/>
          <w:sz w:val="32"/>
          <w:szCs w:val="32"/>
        </w:rPr>
        <w:t xml:space="preserve">Additional file 2. Attribute listing, within-ATC stratification, and roster dynamics (Tables S5–S7), with audit appendices A1–A3</w:t>
      </w: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Manuscript: "Selective uptake of medicines outside China's National Reimbursement Drug List by commercial specialty-drug rosters: a multi-product audit of the 2020–2025 negotiation cohorts," submitted to </w:t>
      </w:r>
      <w:r>
        <w:rPr>
          <w:rFonts w:ascii="Times New Roman" w:cs="Times New Roman" w:eastAsia="宋体" w:hAnsi="Times New Roman"/>
          <w:i/>
          <w:iCs/>
          <w:sz w:val="22"/>
          <w:szCs w:val="22"/>
        </w:rPr>
        <w:t xml:space="preserve">BMC Health Services Research</w:t>
      </w:r>
      <w:r>
        <w:rPr>
          <w:rFonts w:ascii="Times New Roman" w:cs="Times New Roman" w:eastAsia="宋体" w:hAnsi="Times New Roman"/>
          <w:sz w:val="22"/>
          <w:szCs w:val="22"/>
        </w:rPr>
        <w:t xml:space="preserve">.</w:t>
      </w:r>
    </w:p>
    <w:p>
      <w:pPr>
        <w:sectPr>
          <w:footerReference w:type="default" r:id="rId7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0" w:before="60"/>
      </w:pPr>
    </w:p>
    <w:tbl>
      <w:tblPr>
        <w:tblW w:type="dxa" w:w="13958"/>
        <w:tblBorders>
          <w:top w:val="single" w:color="000000" w:sz="8"/>
          <w:left w:val="none" w:color="FFFFFF" w:sz="0"/>
          <w:bottom w:val="single" w:color="000000" w:sz="8"/>
          <w:right w:val="none" w:color="FFFFFF" w:sz="0"/>
          <w:insideH w:val="none" w:color="FFFFFF" w:sz="0"/>
          <w:insideV w:val="none" w:color="FFFFFF" w:sz="0"/>
        </w:tblBorders>
        <w:tblCellMar>
          <w:top w:type="dxa" w:w="30"/>
          <w:left w:type="dxa" w:w="80"/>
          <w:bottom w:type="dxa" w:w="30"/>
          <w:right w:type="dxa" w:w="80"/>
        </w:tblCellMar>
      </w:tblPr>
      <w:tblGrid>
        <w:gridCol w:w="5494"/>
        <w:gridCol w:w="4306"/>
        <w:gridCol w:w="1633"/>
        <w:gridCol w:w="2525"/>
      </w:tblGrid>
      <w:tr>
        <w:trPr>
          <w:cantSplit/>
          <w:tblHeader/>
        </w:trPr>
        <w:tc>
          <w:tcPr>
            <w:tcW w:type="dxa" w:w="5494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Attribute</w:t>
            </w:r>
          </w:p>
        </w:tc>
        <w:tc>
          <w:tcPr>
            <w:tcW w:type="dxa" w:w="4306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Level</w:t>
            </w:r>
          </w:p>
        </w:tc>
        <w:tc>
          <w:tcPr>
            <w:tcW w:type="dxa" w:w="1633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n (encoded)</w:t>
            </w:r>
          </w:p>
        </w:tc>
        <w:tc>
          <w:tcPr>
            <w:tcW w:type="dxa" w:w="2525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Listed n (%)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Innovativeness (encoded 176; non-encoded 402, of whom 9 listed = 2.2%)</w:t>
            </w: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First-in-class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27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26 (96.3%)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Fast-follow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62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35 (56.5%)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Me-better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 (33.3%)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Modified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Low-innovation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61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 (4.9%)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TCM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Evidence tier (encoded 127; non-encoded 451, of whom 10 listed = 2.2%)</w:t>
            </w: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E1 RCT + hard endpoint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22 (61.1%)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E2 RCT + surrogate endpoint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 (23.9%)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E3 single-arm + hard endpoint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 (83.3%)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E4 single-arm + surrogate endpoint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32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24 (75.0%)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BE bioequivalence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 (28.6%)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Rarity (encoded 176; non-encoded 402, of whom 9 listed = 2.2%)</w:t>
            </w: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Orphan/rare disease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35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22 (62.9%)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Non-rare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141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43 (30.5%)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Annual cost (encoded 170; non-encoded 408, of whom 14 listed = 3.4%)</w:t>
            </w: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&gt;500k yuan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33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31 (93.9%)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200–500k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18 (90.0%)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50–200k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 (52.9%)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&lt;50k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100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 (2.0%)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Registration class (encoded 208; non-encoded 370, of whom 7 listed = 1.9%)</w:t>
            </w: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ATMP (cell/gene)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 (100%)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Class 1 innovative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87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57 (65.5%)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Class 1 innovative (subclass)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 (25.0%)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Class 5.1 imported innovative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 (14.3%)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Class 2 modified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Class 3 (domestic generic of imported originator)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39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 (2.6%)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Generic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29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 (3.4%)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Class 4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TCM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Other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ATC class (encoded 176; non-encoded 402, of whom 9 listed = 2.2%)</w:t>
            </w: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L antineoplastic &amp; immunomodulating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55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46 (83.6%)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 alimentary/metabolism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 (36.4%)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N nervous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 (19.0%)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 musculoskeletal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 (25.0%)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 blood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12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 (16.7%)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V various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 (22.2%)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 systemic hormones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 (25.0%)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J systemic anti-infectives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 cardiovascular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 respiratory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D dermatological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G genitourinary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  <w:tr>
        <w:trPr>
          <w:cantSplit/>
          <w:tblHeader w:val="false"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</w:p>
        </w:tc>
        <w:tc>
          <w:tcPr>
            <w:tcW w:type="dxa" w:w="4306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S sensory</w:t>
            </w:r>
          </w:p>
        </w:tc>
        <w:tc>
          <w:tcPr>
            <w:tcW w:type="dxa" w:w="1633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2525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0 (0%)</w:t>
            </w:r>
          </w:p>
        </w:tc>
      </w:tr>
    </w:tbl>
    <w:p>
      <w:pPr>
        <w:spacing w:after="120" w:before="60"/>
      </w:pPr>
    </w:p>
    <w:p>
      <w:pPr>
        <w:sectPr>
          <w:footerReference w:type="default" r:id="rId8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All comparisons are unadjusted; each attribute is reported on its own encoded denominator with the non-encoded stratum shown separately (the non-encoded denominator differs slightly by attribute because attribute coding coverage varies). ATC L combines antineoplastic and immunomodulating agents and is not synonymous with oncology. Registration class follows the NMPA legal classification (药品注册管理办法, 2020): "Class 3" chemical drugs are domestic applicants' copies of originator products already marketed overseas but not yet approved in China—a generic-of-imported category; Class 1 denotes genuinely new molecular entities. The four-ingredient "Class 1 innovative (one subclass)" stratum denotes Class-1-registered products that are follow-on or derivative innovations around an established target or structural scaffold (a new structural subclass within an established class), as distinct from first-in-class novel-molecule Class 1 products. This legal registration class is reported separately from the independent innovativeness variable (inn: FIC/FAST/MEB/MOD/LOW/TCM), which grades therapeutic novelty per se; the two need not coincide. Western medicines overall: 74/430 (17.2%); TCM overall: 0/148.</w:t>
      </w:r>
    </w:p>
    <w:p>
      <w:pPr>
        <w:sectPr>
          <w:footerReference w:type="default" r:id="rId9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keepNext/>
        <w:keepLines/>
        <w:spacing w:after="100" w:before="180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Table S6. Within-ATC-area stratification of listing (encoded subset, main pool)</w:t>
      </w:r>
    </w:p>
    <w:p>
      <w:pPr>
        <w:spacing w:after="0" w:before="60"/>
      </w:pPr>
    </w:p>
    <w:tbl>
      <w:tblPr>
        <w:tblW w:type="dxa" w:w="13958"/>
        <w:tblBorders>
          <w:top w:val="single" w:color="000000" w:sz="8"/>
          <w:left w:val="none" w:color="FFFFFF" w:sz="0"/>
          <w:bottom w:val="single" w:color="000000" w:sz="8"/>
          <w:right w:val="none" w:color="FFFFFF" w:sz="0"/>
          <w:insideH w:val="none" w:color="FFFFFF" w:sz="0"/>
          <w:insideV w:val="none" w:color="FFFFFF" w:sz="0"/>
        </w:tblBorders>
        <w:tblCellMar>
          <w:top w:type="dxa" w:w="30"/>
          <w:left w:type="dxa" w:w="80"/>
          <w:bottom w:type="dxa" w:w="30"/>
          <w:right w:type="dxa" w:w="80"/>
        </w:tblCellMar>
      </w:tblPr>
      <w:tblGrid>
        <w:gridCol w:w="3056"/>
        <w:gridCol w:w="1935"/>
        <w:gridCol w:w="4482"/>
        <w:gridCol w:w="4485"/>
      </w:tblGrid>
      <w:tr>
        <w:trPr>
          <w:cantSplit/>
          <w:tblHeader/>
        </w:trPr>
        <w:tc>
          <w:tcPr>
            <w:tcW w:type="dxa" w:w="3056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Area</w:t>
            </w:r>
          </w:p>
        </w:tc>
        <w:tc>
          <w:tcPr>
            <w:tcW w:type="dxa" w:w="1935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n (listed, %)</w:t>
            </w:r>
          </w:p>
        </w:tc>
        <w:tc>
          <w:tcPr>
            <w:tcW w:type="dxa" w:w="4482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Innovativeness contrast</w:t>
            </w:r>
          </w:p>
        </w:tc>
        <w:tc>
          <w:tcPr>
            <w:tcW w:type="dxa" w:w="4485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Evidence-tier contrast</w:t>
            </w:r>
          </w:p>
        </w:tc>
      </w:tr>
      <w:tr>
        <w:trPr>
          <w:cantSplit/>
          <w:tblHeader w:val="false"/>
        </w:trPr>
        <w:tc>
          <w:tcPr>
            <w:tcW w:type="dxa" w:w="3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L (antineoplastic &amp; immunomodulating)</w:t>
            </w:r>
          </w:p>
        </w:tc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55 (46, 83.6%)</w:t>
            </w:r>
          </w:p>
        </w:tc>
        <w:tc>
          <w:tcPr>
            <w:tcW w:type="dxa" w:w="4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FIC 21/21 (100%); FAST 24/28 (85.7%); MEB 1/2; LOW 0/4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E1 19/19 (100%); E4 21/23 (91.3%); E3 2/3 (66.7%); E2 4/7 (57.1%)</w:t>
            </w:r>
          </w:p>
        </w:tc>
      </w:tr>
      <w:tr>
        <w:trPr>
          <w:cantSplit/>
          <w:tblHeader w:val="false"/>
        </w:trPr>
        <w:tc>
          <w:tcPr>
            <w:tcW w:type="dxa" w:w="3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 (alimentary/metabolism)</w:t>
            </w:r>
          </w:p>
        </w:tc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22 (8, 36.4%)</w:t>
            </w:r>
          </w:p>
        </w:tc>
        <w:tc>
          <w:tcPr>
            <w:tcW w:type="dxa" w:w="4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FAST 5/9 (55.6%); FIC 1/1; LOW 2/8 (25.0%); MOD 0/3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E4 3/5 (60.0%); E2 1/7 (14.3%); BE 1/3; E3 1/1</w:t>
            </w:r>
          </w:p>
        </w:tc>
      </w:tr>
      <w:tr>
        <w:trPr>
          <w:cantSplit/>
          <w:tblHeader w:val="false"/>
        </w:trPr>
        <w:tc>
          <w:tcPr>
            <w:tcW w:type="dxa" w:w="3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N (nervous)</w:t>
            </w:r>
          </w:p>
        </w:tc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21 (4, 19.0%)</w:t>
            </w:r>
          </w:p>
        </w:tc>
        <w:tc>
          <w:tcPr>
            <w:tcW w:type="dxa" w:w="4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FIC 1/1 (100%); FAST 3/9 (33.3%); LOW 0/10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E1 1/3 (33.3%); E2 3/16 (18.8%)</w:t>
            </w:r>
          </w:p>
        </w:tc>
      </w:tr>
      <w:tr>
        <w:trPr>
          <w:cantSplit/>
          <w:tblHeader w:val="false"/>
        </w:trPr>
        <w:tc>
          <w:tcPr>
            <w:tcW w:type="dxa" w:w="3056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J (systemic anti-infectives)</w:t>
            </w:r>
          </w:p>
        </w:tc>
        <w:tc>
          <w:tcPr>
            <w:tcW w:type="dxa" w:w="1935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16 (0, 0%)</w:t>
            </w:r>
          </w:p>
        </w:tc>
        <w:tc>
          <w:tcPr>
            <w:tcW w:type="dxa" w:w="448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FAST 0/7; LOW 0/8; TCM 0/1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E1 0/5; E2 0/2; E4 0/1; BE 0/1</w:t>
            </w:r>
          </w:p>
        </w:tc>
      </w:tr>
    </w:tbl>
    <w:p>
      <w:pPr>
        <w:spacing w:after="120" w:before="60"/>
      </w:pPr>
    </w:p>
    <w:p>
      <w:pPr>
        <w:sectPr>
          <w:footerReference w:type="default" r:id="rId10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\* The E4-vs-E2 contrast in area A is directionally large but rests on a small cell and does not reach nominal significance; it is reported as an observed small-cell pattern, not an independent effect. Within L, E1 and E4 are both near ceiling and cannot be separated. Within J, zero listing across strata precludes discrimination. 2025 single-year entrant cohort (n=88, near-complete encoding): FIC 15/15 (100%), FAST 18/36 (50.0%), MEB 1/3, LOW 0/19, TCM 0/12; ATC L 25/28 (89.3%), A 2/8, N 3/12, J 0/9; price &lt;50k 0/50—gradients reproduce in the 2025 cohort (§3.5).</w:t>
      </w:r>
    </w:p>
    <w:p>
      <w:pPr>
        <w:sectPr>
          <w:footerReference w:type="default" r:id="rId11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keepNext/>
        <w:keepLines/>
        <w:spacing w:after="100" w:before="180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Table S7. Roster-change events on products with annual published rosters, benefit years 2021–2026</w:t>
      </w:r>
    </w:p>
    <w:p>
      <w:pPr>
        <w:spacing w:after="0" w:before="60"/>
      </w:pPr>
    </w:p>
    <w:tbl>
      <w:tblPr>
        <w:tblW w:type="dxa" w:w="13958"/>
        <w:tblBorders>
          <w:top w:val="single" w:color="000000" w:sz="8"/>
          <w:left w:val="none" w:color="FFFFFF" w:sz="0"/>
          <w:bottom w:val="single" w:color="000000" w:sz="8"/>
          <w:right w:val="none" w:color="FFFFFF" w:sz="0"/>
          <w:insideH w:val="none" w:color="FFFFFF" w:sz="0"/>
          <w:insideV w:val="none" w:color="FFFFFF" w:sz="0"/>
        </w:tblBorders>
        <w:tblCellMar>
          <w:top w:type="dxa" w:w="30"/>
          <w:left w:type="dxa" w:w="80"/>
          <w:bottom w:type="dxa" w:w="30"/>
          <w:right w:type="dxa" w:w="80"/>
        </w:tblCellMar>
      </w:tblPr>
      <w:tblGrid>
        <w:gridCol w:w="1852"/>
        <w:gridCol w:w="2099"/>
        <w:gridCol w:w="2099"/>
        <w:gridCol w:w="7908"/>
      </w:tblGrid>
      <w:tr>
        <w:trPr>
          <w:cantSplit/>
          <w:tblHeader/>
        </w:trPr>
        <w:tc>
          <w:tcPr>
            <w:tcW w:type="dxa" w:w="1852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Benefit year</w:t>
            </w:r>
          </w:p>
        </w:tc>
        <w:tc>
          <w:tcPr>
            <w:tcW w:type="dxa" w:w="2099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Additions (drug-level)</w:t>
            </w:r>
          </w:p>
        </w:tc>
        <w:tc>
          <w:tcPr>
            <w:tcW w:type="dxa" w:w="2099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Removals (drug-level)</w:t>
            </w:r>
          </w:p>
        </w:tc>
        <w:tc>
          <w:tcPr>
            <w:tcW w:type="dxa" w:w="7908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Notable events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2021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early roster consolidation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2022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41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idursulfase beta removed (Suzhou)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2023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29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Nanjing phase III roster established (28 drugs)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 CAR-T added (Nanjing phase IV)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dual-track inaugural cycle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2026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agalsidase beta removed (Shanghai, ~45M yuan cumulative claims); axicabtagene ciloleucel removed (Shanghai; domestic CAR-T entry at 899k yuan)</w:t>
            </w:r>
          </w:p>
        </w:tc>
      </w:tr>
      <w:tr>
        <w:trPr>
          <w:cantSplit/>
          <w:tblHeader w:val="false"/>
        </w:trPr>
        <w:tc>
          <w:tcPr>
            <w:tcW w:type="dxa" w:w="185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Total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114</w:t>
            </w:r>
          </w:p>
        </w:tc>
        <w:tc>
          <w:tcPr>
            <w:tcW w:type="dxa" w:w="2099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87</w:t>
            </w:r>
          </w:p>
        </w:tc>
        <w:tc>
          <w:tcPr>
            <w:tcW w:type="dxa" w:w="7908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201 drug-level events</w:t>
            </w:r>
          </w:p>
        </w:tc>
      </w:tr>
    </w:tbl>
    <w:p>
      <w:pPr>
        <w:spacing w:after="120" w:before="60"/>
      </w:pP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Note: the underlying annual-diff ledger records 246 product-year events across five city products with archived successive rosters (Suzhou, Shanghai, Beijing, Chengdu, Nanjing; the Shenzhen product had no diff archive and enters coverage matching only). Of these, 201 are the drug-level add/remove events shown (114 additions + 87 removals, 2021–2026; no drug-level events are recorded for 2020). The remaining 45 are non-drug-level events: 34 scope expansions, 7 indication adjustments, 2 years without a dedicated roster (Nanjing phases I–II), 1 benefit-cap change, and 1 scope contraction; all are itemised with source URLs in the archived ledger.</w:t>
      </w:r>
    </w:p>
    <w:p>
      <w:pPr>
        <w:sectPr>
          <w:footerReference w:type="default" r:id="rId12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keepNext/>
        <w:keepLines/>
        <w:spacing w:after="120" w:before="240"/>
      </w:pPr>
      <w:r>
        <w:rPr>
          <w:rFonts w:ascii="Times New Roman" w:cs="Times New Roman" w:eastAsia="宋体" w:hAnsi="Times New Roman"/>
          <w:b/>
          <w:bCs/>
          <w:sz w:val="26"/>
          <w:szCs w:val="26"/>
        </w:rPr>
        <w:t xml:space="preserve">Audit Appendix</w:t>
      </w: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A1. Component-level cohort and comparator audit.</w:t>
      </w:r>
      <w:r>
        <w:rPr>
          <w:rFonts w:ascii="Times New Roman" w:cs="Times New Roman" w:eastAsia="宋体" w:hAnsi="Times New Roman"/>
          <w:sz w:val="22"/>
          <w:szCs w:val="22"/>
        </w:rPr>
        <w:t xml:space="preserve"> The 1,394 ingredients in the 2020–2025 formal-review universe were re-adjudicated against the complete 2025 NRDL (医保发〔2025〕33号, 3,253 items: 1,446 western + 1,335 Chinese patent medicines including 95 ethnic + 472 negotiation-phase items), extracted with a layout-preserving column-coordinate pipeline (each section's identified count matching the official subtotal) and cross-referenced to the 2016–2025 historical panel and NHSA removal notices. Three mutually exclusive groups result: the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main pool (578)</w:t>
      </w:r>
      <w:r>
        <w:rPr>
          <w:rFonts w:ascii="Times New Roman" w:cs="Times New Roman" w:eastAsia="宋体" w:hAnsi="Times New Roman"/>
          <w:sz w:val="22"/>
          <w:szCs w:val="22"/>
        </w:rPr>
        <w:t xml:space="preserve"> whose component was never listed; the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dosage-form gap group (115)</w:t>
      </w:r>
      <w:r>
        <w:rPr>
          <w:rFonts w:ascii="Times New Roman" w:cs="Times New Roman" w:eastAsia="宋体" w:hAnsi="Times New Roman"/>
          <w:sz w:val="22"/>
          <w:szCs w:val="22"/>
        </w:rPr>
        <w:t xml:space="preserve"> whose component is listed in some form but whose applied form remained unlisted at endpoint (see A2); and the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NRDL-listed comparator (701)</w:t>
      </w:r>
      <w:r>
        <w:rPr>
          <w:rFonts w:ascii="Times New Roman" w:cs="Times New Roman" w:eastAsia="宋体" w:hAnsi="Times New Roman"/>
          <w:sz w:val="22"/>
          <w:szCs w:val="22"/>
        </w:rPr>
        <w:t xml:space="preserve">. Reverse check of the 701 comparator ingredients against the 2025 directory: 630 (89.9%) directly name-matched—comprising the originally matched ingredients plus 11 re-adjudicated dosage-form candidates whose component and applied form both proved already listed in the 2025 directory. Of these 11, only temozolomide for injection is itself enumerated on a commercial roster and is counted within the comparator's listing rate; rosters enumerate ingredients by name, not by dosage form. The remaining 71 were adjudicated in a drug-by-drug mutually exclusive ledger (`P41_final_对照池审计71台账_20260909.csv`):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40 fixed-dose/compounded preparations</w:t>
      </w:r>
      <w:r>
        <w:rPr>
          <w:rFonts w:ascii="Times New Roman" w:cs="Times New Roman" w:eastAsia="宋体" w:hAnsi="Times New Roman"/>
          <w:sz w:val="22"/>
          <w:szCs w:val="22"/>
        </w:rPr>
        <w:t xml:space="preserve"> (drug–solvent combination infusions, parenteral-nutrition multi-chamber bags, peritoneal-dialysis/haemofiltration fluids), re-checked preparation by preparation: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38 are themselves listed</w:t>
      </w:r>
      <w:r>
        <w:rPr>
          <w:rFonts w:ascii="Times New Roman" w:cs="Times New Roman" w:eastAsia="宋体" w:hAnsi="Times New Roman"/>
          <w:sz w:val="22"/>
          <w:szCs w:val="22"/>
        </w:rPr>
        <w:t xml:space="preserve"> in the 2025 directory under their preparation name (including antibiotic–saline/glucose combination packs, multi-chamber bags listed as e.g. "fat emulsion/amino acid/glucose injection", and compound danshen dripping pills within the bracketed compound-danshen entry);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2 have listed components but the specific fixed-dose product is not itself enumerated</w:t>
      </w:r>
      <w:r>
        <w:rPr>
          <w:rFonts w:ascii="Times New Roman" w:cs="Times New Roman" w:eastAsia="宋体" w:hAnsi="Times New Roman"/>
          <w:sz w:val="22"/>
          <w:szCs w:val="22"/>
        </w:rPr>
        <w:t xml:space="preserve">—compound amino acid injection (17AA-III) (other compound amino acid formulations are listed) and compound polyethylene glycol (3350) electrolyte oral solution (the (3350) electrolyte </w:t>
      </w:r>
      <w:r>
        <w:rPr>
          <w:rFonts w:ascii="Times New Roman" w:cs="Times New Roman" w:eastAsia="宋体" w:hAnsi="Times New Roman"/>
          <w:i/>
          <w:iCs/>
          <w:sz w:val="22"/>
          <w:szCs w:val="22"/>
        </w:rPr>
        <w:t xml:space="preserve">powder</w:t>
      </w:r>
      <w:r>
        <w:rPr>
          <w:rFonts w:ascii="Times New Roman" w:cs="Times New Roman" w:eastAsia="宋体" w:hAnsi="Times New Roman"/>
          <w:sz w:val="22"/>
          <w:szCs w:val="22"/>
        </w:rPr>
        <w:t xml:space="preserve"> is listed, not the oral solution). These 2 are reported separately and excluded in a sensitivity analysis (commercial listing 0/2; comparator rate 168/699 = 24.0%, unchanged);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21 ingredients present in the 2025 directory under parsing/naming variants</w:t>
      </w:r>
      <w:r>
        <w:rPr>
          <w:rFonts w:ascii="Times New Roman" w:cs="Times New Roman" w:eastAsia="宋体" w:hAnsi="Times New Roman"/>
          <w:sz w:val="22"/>
          <w:szCs w:val="22"/>
        </w:rPr>
        <w:t xml:space="preserve"> (including iodine-[131I] sodium iodide capsule, renewed for 2026–2027; eptacog alfa [activated factor VIIa]; sevelamer carbonate; methoxy polyethylene glycol-epoetin beta); and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10 ingredients historically listed and subsequently removed</w:t>
      </w:r>
      <w:r>
        <w:rPr>
          <w:rFonts w:ascii="Times New Roman" w:cs="Times New Roman" w:eastAsia="宋体" w:hAnsi="Times New Roman"/>
          <w:sz w:val="22"/>
          <w:szCs w:val="22"/>
        </w:rPr>
        <w:t xml:space="preserve">—8 removed at end-2025 (beinaglutide, danoprevir sodium, ravidasvir hydrochloride, alirocumab, duvelisib, octafluoropropane lipid microspheres, sodium oligomannate, linperlisib; reimbursement ceases 2026-07 after a transition period), elbasvir/grazoprevir removed 2024-01, and cefditoren pivoxil granules removed 2025-01. Groups sum exactly: 630 + 40 + 21 + 10 = 701. Audit tables: `P41_final_主池_成分未进医保_20260909.csv` (578), `P41_final_剂型缺口110验证_20260909.csv` (115), `P41_final_剂型误转16剔除_20260909.csv` (11 reclassified to comparator), `P41_final_对照池审计71台账_20260909.csv` (71); locked numbers in `P41_final_数字铁律_20260909.txt`.</w:t>
      </w: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A2. Dosage-form gap group (115).</w:t>
      </w:r>
      <w:r>
        <w:rPr>
          <w:rFonts w:ascii="Times New Roman" w:cs="Times New Roman" w:eastAsia="宋体" w:hAnsi="Times New Roman"/>
          <w:sz w:val="22"/>
          <w:szCs w:val="22"/>
        </w:rPr>
        <w:t xml:space="preserve"> Endpoint verification applied strict single-ingredient name matching against the complete 2025 directory for every candidate whose component is listed in some dosage form: an entry counts as a true gap only when the applied dosage form is absent from the 2025 directory at endpoint (not inferred from a single failed application year). This confirmed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115 true dosage-form gaps</w:t>
      </w:r>
      <w:r>
        <w:rPr>
          <w:rFonts w:ascii="Times New Roman" w:cs="Times New Roman" w:eastAsia="宋体" w:hAnsi="Times New Roman"/>
          <w:sz w:val="22"/>
          <w:szCs w:val="22"/>
        </w:rPr>
        <w:t xml:space="preserve"> (`P41_final_剂型缺口110验证_20260909.csv`); of these,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6 had the specific gap dosage form itself enumerated on commercial rosters</w:t>
      </w:r>
      <w:r>
        <w:rPr>
          <w:rFonts w:ascii="Times New Roman" w:cs="Times New Roman" w:eastAsia="宋体" w:hAnsi="Times New Roman"/>
          <w:sz w:val="22"/>
          <w:szCs w:val="22"/>
        </w:rPr>
        <w:t xml:space="preserve">: edaravone sublingual tablet (MMI), triptorelin pamoate injection (MMI), palonosetron capsules (MMI), melphalan hydrochloride for injection (HMB + MMI), bendamustine injection (MMI), and baclofen oral solution (HMB)—2 on HMB and 5 on MMI rosters. </w:t>
      </w: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11 candidates were re-adjudicated as false gaps</w:t>
      </w:r>
      <w:r>
        <w:rPr>
          <w:rFonts w:ascii="Times New Roman" w:cs="Times New Roman" w:eastAsia="宋体" w:hAnsi="Times New Roman"/>
          <w:sz w:val="22"/>
          <w:szCs w:val="22"/>
        </w:rPr>
        <w:t xml:space="preserve"> because both component and applied dosage form were already in the 2025 directory (postpartum-zhuyu capsules, edaravone injection, jianwei xiaoshi tablets, ceftazidime/avibactam for injection, oseltamivir phosphate for oral suspension, gongxueting granules, xiao'er qingrening granules, tripterygium/Kunming shanhaitang tablets, temozolomide for injection, niuhuang qingxin pills, esomeprazole magnesium for oral suspension); of these 11, only temozolomide for injection is itself enumerated on a commercial roster; it is an NRDL-listed item (both the component and the injectable form are in the 2025 directory) and is counted within the comparator (701) listing rate rather than in any gap-group numerator, consistent with rosters listing ingredients by name rather than by dosage form. Temozolomide for injection therefore belongs to the comparator pool and is not counted as a dosage-form gap. TCM ingredients (148 in the main pool) use NMPA TCM registration categories and are reported as a separate stratum (0 listed).</w:t>
      </w: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A3. Temporal classification detail and encoding-related selection.</w:t>
      </w:r>
      <w:r>
        <w:rPr>
          <w:rFonts w:ascii="Times New Roman" w:cs="Times New Roman" w:eastAsia="宋体" w:hAnsi="Times New Roman"/>
          <w:sz w:val="22"/>
          <w:szCs w:val="22"/>
        </w:rPr>
        <w:t xml:space="preserve"> Of 74 listed main-pool ingredients, 19 have reconstructible HMB first-listing years: T1 (commercial before first BMI application) = dinutuximab β (HMB 2022 vs application 2023); T2 (same year, month order unrecoverable) = socazolimab (BMI application 2024, HMB 2024); T3 (after BMI outcomes published) = tazemetostat, tosylamide, talazoparib, benmelstobart (BMI 2025 → HMB 2026), ipilimumab (BMI 2021 → HMB 2022), inotuzumab ozogamicin (BMI 2022 → HMB 2023); commercial-track-only (never filed BMI, not orderable, HMB-dated) = elranatamab, talquetamab, lurbinectedin, gilteritinib, radium-223, mogamulizumab, adebelimab, putilizumab, teclistamab, amivantamab, enfortumab vedotin—exactly the 11 commercial-track-only ingredients appearing on the four archived city rosters (Beijing, Shanghai, Suzhou, Chengdu). The other 8 commercial-track-only listed ingredients—tafasitamab (坦昔妥单抗, on the Beijing 2026 current roster and an MMI roster), odevixibat (奥德昔巴特, Beijing 2026 current roster), tofersen (托夫生, Shenzhen current roster), dalnacogene ponparvovec (波哌达可基, a factor-IX AAV gene therapy for haemophilia B, on the Beijing 2026 and Shanghai 2026 current rosters and an MMI roster), zanidatamab (on a current city roster and MMI), ravulizumab (瑞利珠单抗, on the Beijing 2026 overseas sub-roster, see Table S2 note), velaglucerase β (MMI cross-section), and yttrium-90 microspheres (MMI roster only)—appear only on current (non-archived) Shenzhen/Beijing/Shanghai editions, the Beijing overseas sub-roster, or MMI current cross-sections and therefore have no reconstructible HMB first-listing year. The remaining 55 listed main-pool ingredients lack reconstructible HMB years. Approval-to-first-HMB-listing intervals among the 19 HMB-dated: median 1 year (0y×1, 1y×10, 2y×6, 3y×1, 4y×1). Filing tracks in the main pool: basic-only 487 (21 listed, 4.3%), dual-track 68 (34 listed, 50.0%), commercial-only 23 (19 listed, 82.6%). The 19 ingredients recommended for the inaugural CHI catalogue are not coextensive with the 23 commercial-only ingredients: only 5 never filed for basic-track listing. Per-drug table: P34 time-chain; track table: P35_M5. Encoding-related selection: because attribute coding used commercially salient reference tables, encoded ingredients over-represent listed drugs (encoded listing 36.9% for innovativeness/ATC subset vs 2.2% non-encoded); the 2025 single-year entrant cohort (n=88, near-complete encoding, listing 34/88 = 38.6%) reproduces every principal gradient (§3.5), and all within-attribute rates are reported on their own encoded denominators with the non-encoded stratum shown separately.</w:t>
      </w:r>
    </w:p>
    <w:sectPr>
      <w:footerReference w:type="default" r:id="rId13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keepNext/>
      <w:keepLines/>
      <w:spacing w:after="200" w:before="0"/>
      <w:outlineLvl w:val="0"/>
    </w:pPr>
    <w:rPr>
      <w:rFonts w:ascii="Times New Roman" w:cs="Times New Roman" w:eastAsia="宋体" w:hAnsi="Times New Roman"/>
      <w:b/>
      <w:bCs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240"/>
      <w:outlineLvl w:val="1"/>
    </w:pPr>
    <w:rPr>
      <w:rFonts w:ascii="Times New Roman" w:cs="Times New Roman" w:eastAsia="宋体" w:hAnsi="Times New Roman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180"/>
      <w:outlineLvl w:val="2"/>
    </w:pPr>
    <w:rPr>
      <w:rFonts w:ascii="Times New Roman" w:cs="Times New Roman" w:eastAsia="宋体" w:hAnsi="Times New Roman"/>
      <w:b/>
      <w:b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RQ2 BHSR submission</dc:creator>
  <cp:lastModifiedBy>Un-named</cp:lastModifiedBy>
  <cp:revision>1</cp:revision>
  <dcterms:created xsi:type="dcterms:W3CDTF">2026-09-12T13:12:51.796Z</dcterms:created>
  <dcterms:modified xsi:type="dcterms:W3CDTF">2026-09-12T13:12:51.796Z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